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医养康智慧服务一体化云平台采购项目需求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医养康智慧服务一体化云平台</w:t>
      </w:r>
    </w:p>
    <w:p>
      <w:pPr>
        <w:spacing w:line="360" w:lineRule="auto"/>
        <w:ind w:left="432"/>
        <w:rPr>
          <w:rFonts w:ascii="宋体" w:hAnsi="宋体"/>
          <w:sz w:val="22"/>
        </w:rPr>
      </w:pPr>
    </w:p>
    <w:p>
      <w:pPr>
        <w:pStyle w:val="2"/>
        <w:numPr>
          <w:ilvl w:val="0"/>
          <w:numId w:val="3"/>
        </w:numPr>
        <w:spacing w:before="0" w:after="0"/>
        <w:rPr>
          <w:rFonts w:ascii="宋体" w:hAnsi="宋体" w:eastAsia="宋体"/>
          <w:b/>
          <w:bCs/>
          <w:vanish/>
          <w:kern w:val="44"/>
          <w:szCs w:val="21"/>
        </w:rPr>
      </w:pPr>
      <w:r>
        <w:rPr>
          <w:rFonts w:hint="eastAsia" w:ascii="宋体" w:hAnsi="宋体"/>
          <w:sz w:val="32"/>
          <w:szCs w:val="32"/>
        </w:rPr>
        <w:t>采购清单</w:t>
      </w:r>
    </w:p>
    <w:p/>
    <w:p>
      <w:pPr>
        <w:pStyle w:val="72"/>
        <w:spacing w:before="156" w:after="156"/>
        <w:rPr>
          <w:rFonts w:hint="default" w:cs="Times New Roman"/>
          <w:lang w:val="en-US" w:eastAsia="zh-CN"/>
        </w:rPr>
      </w:pPr>
      <w:r>
        <w:rPr>
          <w:rFonts w:hint="eastAsia" w:cs="Times New Roman"/>
          <w:lang w:val="en-US" w:eastAsia="zh-CN"/>
        </w:rPr>
        <w:t>2.1、项目需求（软件类）</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3209"/>
        <w:gridCol w:w="22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4" w:type="pct"/>
            <w:tcBorders>
              <w:tl2br w:val="nil"/>
            </w:tcBorders>
            <w:shd w:val="clear" w:color="auto" w:fill="FFFFFF"/>
            <w:vAlign w:val="center"/>
          </w:tcPr>
          <w:p>
            <w:pPr>
              <w:widowControl/>
              <w:jc w:val="center"/>
              <w:textAlignment w:val="center"/>
              <w:rPr>
                <w:rFonts w:cs="宋体"/>
                <w:b w:val="0"/>
                <w:bCs/>
                <w:color w:val="000000"/>
                <w:kern w:val="0"/>
                <w:sz w:val="22"/>
              </w:rPr>
            </w:pPr>
            <w:r>
              <w:rPr>
                <w:rFonts w:hint="eastAsia" w:cs="宋体"/>
                <w:b w:val="0"/>
                <w:bCs/>
                <w:color w:val="000000"/>
                <w:kern w:val="0"/>
                <w:sz w:val="22"/>
              </w:rPr>
              <w:t>序号</w:t>
            </w:r>
          </w:p>
        </w:tc>
        <w:tc>
          <w:tcPr>
            <w:tcW w:w="1728" w:type="pct"/>
            <w:shd w:val="clear" w:color="auto" w:fill="FFFFFF"/>
            <w:vAlign w:val="center"/>
          </w:tcPr>
          <w:p>
            <w:pPr>
              <w:widowControl/>
              <w:jc w:val="center"/>
              <w:textAlignment w:val="center"/>
              <w:rPr>
                <w:rFonts w:cs="宋体"/>
                <w:b w:val="0"/>
                <w:bCs/>
                <w:color w:val="000000"/>
                <w:kern w:val="0"/>
                <w:sz w:val="22"/>
              </w:rPr>
            </w:pPr>
            <w:r>
              <w:rPr>
                <w:rFonts w:hint="eastAsia" w:cs="宋体"/>
                <w:b w:val="0"/>
                <w:bCs/>
                <w:color w:val="000000"/>
                <w:kern w:val="0"/>
                <w:sz w:val="22"/>
              </w:rPr>
              <w:t>项目名称</w:t>
            </w:r>
          </w:p>
        </w:tc>
        <w:tc>
          <w:tcPr>
            <w:tcW w:w="1193" w:type="pct"/>
            <w:shd w:val="clear" w:color="auto" w:fill="FFFFFF"/>
            <w:vAlign w:val="center"/>
          </w:tcPr>
          <w:p>
            <w:pPr>
              <w:widowControl/>
              <w:jc w:val="center"/>
              <w:textAlignment w:val="center"/>
              <w:rPr>
                <w:rFonts w:cs="宋体"/>
                <w:b w:val="0"/>
                <w:bCs/>
                <w:color w:val="000000"/>
                <w:kern w:val="0"/>
                <w:sz w:val="22"/>
              </w:rPr>
            </w:pPr>
            <w:r>
              <w:rPr>
                <w:rFonts w:hint="eastAsia" w:cs="宋体"/>
                <w:b w:val="0"/>
                <w:bCs/>
                <w:color w:val="000000"/>
                <w:kern w:val="0"/>
                <w:sz w:val="22"/>
              </w:rPr>
              <w:t>配置描述</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cs="宋体"/>
                <w:b w:val="0"/>
                <w:bCs/>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bookmarkStart w:id="0" w:name="_Hlk150272548"/>
            <w:r>
              <w:rPr>
                <w:rFonts w:hint="eastAsia" w:ascii="Times New Roman" w:hAnsi="Times New Roman" w:cs="宋体"/>
                <w:b w:val="0"/>
                <w:bCs/>
                <w:color w:val="000000"/>
                <w:kern w:val="0"/>
                <w:sz w:val="22"/>
                <w:lang w:val="en-US" w:eastAsia="zh-CN"/>
              </w:rPr>
              <w:t>1</w:t>
            </w:r>
          </w:p>
        </w:tc>
        <w:tc>
          <w:tcPr>
            <w:tcW w:w="1728"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数据湖平台</w:t>
            </w:r>
          </w:p>
        </w:tc>
        <w:tc>
          <w:tcPr>
            <w:tcW w:w="1193" w:type="pct"/>
            <w:shd w:val="clear" w:color="auto" w:fill="FFFFFF"/>
            <w:vAlign w:val="center"/>
          </w:tcPr>
          <w:p>
            <w:pPr>
              <w:widowControl/>
              <w:jc w:val="center"/>
              <w:textAlignment w:val="center"/>
              <w:rPr>
                <w:rFonts w:hint="default" w:ascii="Times New Roman" w:hAnsi="Times New Roman" w:eastAsia="宋体" w:cs="宋体"/>
                <w:b w:val="0"/>
                <w:bCs/>
                <w:color w:val="000000"/>
                <w:kern w:val="0"/>
                <w:sz w:val="22"/>
                <w:lang w:val="en-US" w:eastAsia="zh-CN"/>
              </w:rPr>
            </w:pPr>
            <w:r>
              <w:rPr>
                <w:rFonts w:hint="eastAsia" w:cs="宋体"/>
                <w:b w:val="0"/>
                <w:bCs/>
                <w:color w:val="000000"/>
                <w:kern w:val="0"/>
                <w:sz w:val="22"/>
                <w:lang w:val="en-US" w:eastAsia="zh-CN"/>
              </w:rPr>
              <w:t>配置详见4.1</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4"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2</w:t>
            </w:r>
          </w:p>
        </w:tc>
        <w:tc>
          <w:tcPr>
            <w:tcW w:w="1728"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医养康服务平台</w:t>
            </w:r>
          </w:p>
        </w:tc>
        <w:tc>
          <w:tcPr>
            <w:tcW w:w="1193" w:type="pct"/>
            <w:shd w:val="clear" w:color="auto" w:fill="FFFFFF"/>
            <w:vAlign w:val="center"/>
          </w:tcPr>
          <w:p>
            <w:pPr>
              <w:widowControl/>
              <w:jc w:val="center"/>
              <w:textAlignment w:val="center"/>
              <w:rPr>
                <w:rFonts w:hint="default" w:ascii="Times New Roman" w:hAnsi="Times New Roman" w:cs="宋体"/>
                <w:b w:val="0"/>
                <w:bCs/>
                <w:color w:val="000000"/>
                <w:kern w:val="0"/>
                <w:sz w:val="22"/>
                <w:lang w:val="en-US"/>
              </w:rPr>
            </w:pPr>
            <w:r>
              <w:rPr>
                <w:rFonts w:hint="eastAsia" w:cs="宋体"/>
                <w:b w:val="0"/>
                <w:bCs/>
                <w:color w:val="000000"/>
                <w:kern w:val="0"/>
                <w:sz w:val="22"/>
                <w:lang w:val="en-US" w:eastAsia="zh-CN"/>
              </w:rPr>
              <w:t>配置详见4.2</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4"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3</w:t>
            </w:r>
          </w:p>
        </w:tc>
        <w:tc>
          <w:tcPr>
            <w:tcW w:w="1728" w:type="pct"/>
            <w:shd w:val="clear" w:color="auto" w:fill="FFFFFF"/>
            <w:vAlign w:val="center"/>
          </w:tcPr>
          <w:p>
            <w:pPr>
              <w:widowControl/>
              <w:jc w:val="center"/>
              <w:textAlignment w:val="center"/>
              <w:rPr>
                <w:rFonts w:hint="eastAsia" w:ascii="Times New Roman" w:hAnsi="Times New Roman" w:cs="宋体"/>
                <w:b w:val="0"/>
                <w:bCs/>
                <w:color w:val="000000"/>
                <w:kern w:val="0"/>
                <w:sz w:val="22"/>
              </w:rPr>
            </w:pPr>
            <w:r>
              <w:rPr>
                <w:rFonts w:hint="eastAsia" w:ascii="Times New Roman" w:hAnsi="Times New Roman" w:cs="宋体"/>
                <w:b w:val="0"/>
                <w:bCs/>
                <w:color w:val="000000"/>
                <w:kern w:val="0"/>
                <w:sz w:val="22"/>
                <w:lang w:val="en-US" w:eastAsia="zh-CN"/>
              </w:rPr>
              <w:t>城市信息模型平台</w:t>
            </w:r>
          </w:p>
        </w:tc>
        <w:tc>
          <w:tcPr>
            <w:tcW w:w="1193" w:type="pct"/>
            <w:shd w:val="clear" w:color="auto" w:fill="FFFFFF"/>
            <w:vAlign w:val="center"/>
          </w:tcPr>
          <w:p>
            <w:pPr>
              <w:widowControl/>
              <w:jc w:val="center"/>
              <w:textAlignment w:val="center"/>
              <w:rPr>
                <w:rFonts w:hint="default" w:ascii="Times New Roman" w:hAnsi="Times New Roman" w:cs="宋体"/>
                <w:b w:val="0"/>
                <w:bCs/>
                <w:color w:val="000000"/>
                <w:kern w:val="0"/>
                <w:sz w:val="22"/>
                <w:lang w:val="en-US"/>
              </w:rPr>
            </w:pPr>
            <w:r>
              <w:rPr>
                <w:rFonts w:hint="eastAsia" w:cs="宋体"/>
                <w:b w:val="0"/>
                <w:bCs/>
                <w:color w:val="000000"/>
                <w:kern w:val="0"/>
                <w:sz w:val="22"/>
                <w:lang w:val="en-US" w:eastAsia="zh-CN"/>
              </w:rPr>
              <w:t>配置详见4.3</w:t>
            </w:r>
          </w:p>
        </w:tc>
        <w:tc>
          <w:tcPr>
            <w:tcW w:w="1193" w:type="pct"/>
            <w:shd w:val="clear" w:color="auto" w:fill="FFFFFF"/>
            <w:vAlign w:val="center"/>
          </w:tcPr>
          <w:p>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tbl>
    <w:p>
      <w:pPr>
        <w:rPr>
          <w:lang w:val="zh-CN"/>
        </w:rPr>
      </w:pPr>
    </w:p>
    <w:p>
      <w:pPr>
        <w:pStyle w:val="2"/>
        <w:numPr>
          <w:ilvl w:val="0"/>
          <w:numId w:val="3"/>
        </w:numPr>
        <w:spacing w:before="0" w:after="0"/>
        <w:rPr>
          <w:rFonts w:hint="eastAsia" w:ascii="宋体" w:hAnsi="宋体"/>
          <w:sz w:val="32"/>
          <w:szCs w:val="32"/>
          <w:lang w:val="en-US" w:eastAsia="zh-CN"/>
        </w:rPr>
      </w:pPr>
      <w:bookmarkStart w:id="1" w:name="_6.1.1、大数据服务器"/>
      <w:bookmarkEnd w:id="1"/>
      <w:r>
        <w:rPr>
          <w:rFonts w:hint="eastAsia" w:ascii="宋体" w:hAnsi="宋体"/>
          <w:sz w:val="32"/>
          <w:szCs w:val="32"/>
          <w:lang w:val="en-US" w:eastAsia="zh-CN"/>
        </w:rPr>
        <w:t>需求内容</w:t>
      </w:r>
    </w:p>
    <w:p>
      <w:pPr>
        <w:spacing w:line="360" w:lineRule="auto"/>
        <w:ind w:firstLine="420" w:firstLineChars="0"/>
        <w:rPr>
          <w:rFonts w:hint="default" w:ascii="宋体" w:hAnsi="宋体"/>
          <w:sz w:val="22"/>
          <w:lang w:val="en-US" w:eastAsia="zh-CN"/>
        </w:rPr>
      </w:pPr>
      <w:r>
        <w:rPr>
          <w:rFonts w:hint="default" w:ascii="宋体" w:hAnsi="宋体"/>
          <w:sz w:val="22"/>
          <w:lang w:val="en-US" w:eastAsia="zh-CN"/>
        </w:rPr>
        <w:t>国家重点研发计划项目“智慧医养康服务一体化技术与应用研究”已完成医养康智慧服务一体化云平台的需求调研。为进一步推进项目整体进展，加快支撑医养康智慧服务一体化新模式在华南、华中、华北三大示范区的落地与应用，计划采购数据湖平台、医养康服务平台和城市信息模型（CIM）平台等三个软件平台。首先，通过数据湖平台整合医养康基础数据以及相关的产品资源，构建医养康一体化数据湖；接着，在医养康一体化数据湖基础上二次开发医养康一体化资源中台和应用中台；最后，对医养康一体化数据湖、双中台、医养康服务平台和CIM平台等集成，搭建医养康数据与资源整合的医养康智慧服务一体化云平台。</w:t>
      </w:r>
    </w:p>
    <w:p>
      <w:pPr>
        <w:rPr>
          <w:rFonts w:hint="eastAsia"/>
        </w:rPr>
      </w:pPr>
    </w:p>
    <w:p>
      <w:pPr>
        <w:pStyle w:val="2"/>
        <w:numPr>
          <w:ilvl w:val="0"/>
          <w:numId w:val="3"/>
        </w:numPr>
        <w:spacing w:before="0" w:after="0"/>
        <w:rPr>
          <w:rFonts w:hint="eastAsia" w:ascii="宋体" w:hAnsi="宋体"/>
          <w:sz w:val="32"/>
          <w:szCs w:val="32"/>
          <w:lang w:val="en-US" w:eastAsia="zh-CN"/>
        </w:rPr>
      </w:pPr>
      <w:r>
        <w:rPr>
          <w:rFonts w:hint="eastAsia" w:ascii="宋体" w:hAnsi="宋体"/>
          <w:sz w:val="32"/>
          <w:szCs w:val="32"/>
          <w:lang w:val="en-US" w:eastAsia="zh-CN"/>
        </w:rPr>
        <w:t>技术参数</w:t>
      </w:r>
    </w:p>
    <w:p>
      <w:pPr>
        <w:pStyle w:val="72"/>
        <w:spacing w:before="156" w:after="156"/>
        <w:rPr>
          <w:rFonts w:hint="eastAsia"/>
        </w:rPr>
      </w:pPr>
      <w:bookmarkStart w:id="2" w:name="_6.1.2、容器服务器"/>
      <w:bookmarkEnd w:id="2"/>
      <w:r>
        <w:rPr>
          <w:rFonts w:hint="eastAsia"/>
          <w:lang w:val="en-US" w:eastAsia="zh-CN"/>
        </w:rPr>
        <w:t>4.</w:t>
      </w:r>
      <w:r>
        <w:rPr>
          <w:rFonts w:hint="default"/>
          <w:lang w:val="en-US" w:eastAsia="zh-CN"/>
        </w:rPr>
        <w:t>1</w:t>
      </w:r>
      <w:r>
        <w:rPr>
          <w:rFonts w:hint="eastAsia"/>
          <w:lang w:val="en-US" w:eastAsia="zh-CN"/>
        </w:rPr>
        <w:t>、数据湖平台</w:t>
      </w:r>
    </w:p>
    <w:tbl>
      <w:tblPr>
        <w:tblStyle w:val="23"/>
        <w:tblW w:w="48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725"/>
        <w:gridCol w:w="6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序号</w:t>
            </w:r>
          </w:p>
        </w:tc>
        <w:tc>
          <w:tcPr>
            <w:tcW w:w="9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指标项</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954"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数据接入</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机构数据接入：制定数据接入接口规范，医疗、养老、康复机构通过前置机安全验证后，通过数据接入接口规范提供数据导入功能。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9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设备数据接入：制定设备数据接入接口规范，支持穿戴健康管理类设备、便捷式或自助式健康监测设备、智能化养老监护设备、家庭智能服务机器人等适老化数据健康设备的数据接入；同时支持适老化环境监测设备的数据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432" w:type="pct"/>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954"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auto" w:sz="4" w:space="0"/>
              <w:right w:val="single" w:color="000000" w:sz="4" w:space="0"/>
            </w:tcBorders>
            <w:shd w:val="clear" w:color="auto" w:fill="FFFFFF"/>
            <w:vAlign w:val="center"/>
          </w:tcPr>
          <w:p>
            <w:pPr>
              <w:jc w:val="lef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数据对齐：包括语义对齐、格式对齐、结构对齐、单位和精度对齐功能，比如同一个字段在不同机构不同部门的命名和值域不相同，平台支持数据对齐实现数据映射。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954"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安全技术：支持联邦学习、多方安全计算、数据沙箱、区块链，日志审计等系统与数据安全防护技术的实现与集成。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数据集成</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数据汇聚：支持老年人在医疗机构、康复机构、养老机构、社区中心等机构产生的主动健康数据导入和解析功能。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数据源管理：老年人主动健康数据源管理包含数据的表和表字段的管理，确保数据在采集、存储、整合、呈现使用、分析和应用、归档和销毁等过程可监管、可控制。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数据采集任务：支持对数据采集任务管理，包括数据采集配置、文件采集配置、库表采集功能、文件采集功能和消息采集等功能。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采集任务监控：支持对数据采集任务进行监控管理，包括任务状态监控、采集性能监控和采集数据大屏。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9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数据开发</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离线开发：支持界面化导航和脚本方式进行数据离线开发，包括任务目录、任务开发、任务调试、任务调度、任务监控等功能。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数据治理</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数据标准：通过数据元素和数据字典定义关键业务对象和业务对象属性的数据表达方式，制定并管理医养康数据湖遵循的统一数据标准。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数据资产：形成数据资产目录，通过资源目录的定义识别有效的数据管理，提升数据资产关联性和价值性，面向平台管理人员、使用用户提供数据资产服务。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▲元数据管理：通过元数据信息收集、分析、数据血缘探查等手段，帮助数据湖平台完成数据信息的收集和管理，提升数据资源的利用率。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▲数据质量：提供一套完善的数据规则校验体系，通过数据分析检测数据质量状况，并提供质量监控，如不符质量监控规则，触发报警给相关人员。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平台管理</w:t>
            </w: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统一数据门户：统一数据门户包括统一登录认证、统计分析、应用管理以及菜单管理等功能应用。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系统日志：记录用户对数据操作的所有轨迹，形成离线文件存储，支持在线实时预览日志。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w:t>
            </w: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3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系统管理：系统管理主要指是是软件平台的日常功能，包括对用户、角色、组织、权限、日志以及项目的管理。</w:t>
            </w:r>
          </w:p>
        </w:tc>
      </w:tr>
    </w:tbl>
    <w:p>
      <w:pPr>
        <w:rPr>
          <w:rFonts w:hint="eastAsia" w:eastAsia="宋体"/>
          <w:lang w:val="en-US" w:eastAsia="zh-CN"/>
        </w:rPr>
      </w:pPr>
    </w:p>
    <w:p>
      <w:pPr>
        <w:pStyle w:val="72"/>
        <w:numPr>
          <w:ilvl w:val="0"/>
          <w:numId w:val="0"/>
        </w:numPr>
        <w:spacing w:before="156" w:after="156"/>
        <w:rPr>
          <w:rFonts w:hint="eastAsia"/>
          <w:lang w:val="en-US" w:eastAsia="zh-CN"/>
        </w:rPr>
      </w:pPr>
      <w:r>
        <w:rPr>
          <w:rFonts w:hint="eastAsia"/>
          <w:lang w:val="en-US" w:eastAsia="zh-CN"/>
        </w:rPr>
        <w:t>4.2、医养康服务平台</w:t>
      </w:r>
    </w:p>
    <w:tbl>
      <w:tblPr>
        <w:tblStyle w:val="23"/>
        <w:tblW w:w="8978" w:type="dxa"/>
        <w:jc w:val="center"/>
        <w:tblLayout w:type="autofit"/>
        <w:tblCellMar>
          <w:top w:w="0" w:type="dxa"/>
          <w:left w:w="108" w:type="dxa"/>
          <w:bottom w:w="0" w:type="dxa"/>
          <w:right w:w="108" w:type="dxa"/>
        </w:tblCellMar>
      </w:tblPr>
      <w:tblGrid>
        <w:gridCol w:w="840"/>
        <w:gridCol w:w="1693"/>
        <w:gridCol w:w="6445"/>
      </w:tblGrid>
      <w:tr>
        <w:tblPrEx>
          <w:tblCellMar>
            <w:top w:w="0" w:type="dxa"/>
            <w:left w:w="108" w:type="dxa"/>
            <w:bottom w:w="0" w:type="dxa"/>
            <w:right w:w="108" w:type="dxa"/>
          </w:tblCellMar>
        </w:tblPrEx>
        <w:trPr>
          <w:trHeight w:val="322" w:hRule="atLeast"/>
          <w:jc w:val="center"/>
        </w:trPr>
        <w:tc>
          <w:tcPr>
            <w:tcW w:w="84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bCs w:val="0"/>
                <w:sz w:val="22"/>
                <w:szCs w:val="22"/>
              </w:rPr>
              <w:t>序号</w:t>
            </w:r>
          </w:p>
        </w:tc>
        <w:tc>
          <w:tcPr>
            <w:tcW w:w="169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bCs w:val="0"/>
                <w:sz w:val="22"/>
                <w:szCs w:val="22"/>
              </w:rPr>
              <w:t>指标项</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bCs w:val="0"/>
                <w:sz w:val="22"/>
                <w:szCs w:val="22"/>
              </w:rPr>
              <w:t>技术规格要求</w:t>
            </w:r>
          </w:p>
        </w:tc>
      </w:tr>
      <w:tr>
        <w:tblPrEx>
          <w:tblCellMar>
            <w:top w:w="0" w:type="dxa"/>
            <w:left w:w="108" w:type="dxa"/>
            <w:bottom w:w="0" w:type="dxa"/>
            <w:right w:w="108" w:type="dxa"/>
          </w:tblCellMar>
        </w:tblPrEx>
        <w:trPr>
          <w:trHeight w:val="101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老年人</w:t>
            </w:r>
          </w:p>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信息中心</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老年人档案信息：支持登记记录老人基本信息、健康状况、老人近况、亲属信息等，包括监测记录、健康管理、养老服务记录、健康评估、膳食计划、用药记录、查房记录、巡视探访记录等信息，根据查询条件检索老人信息，可进行添加老人、编辑老人、删除老人信息等操作操作。</w:t>
            </w:r>
          </w:p>
        </w:tc>
      </w:tr>
      <w:tr>
        <w:tblPrEx>
          <w:tblCellMar>
            <w:top w:w="0" w:type="dxa"/>
            <w:left w:w="108" w:type="dxa"/>
            <w:bottom w:w="0" w:type="dxa"/>
            <w:right w:w="108" w:type="dxa"/>
          </w:tblCellMar>
        </w:tblPrEx>
        <w:trPr>
          <w:trHeight w:val="1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老年人二维码：服务对象二维码，获取居民基本信息和添加失能人群类型标签，系统给老人生成一张二维码服务卡，并可支持二维码打印。</w:t>
            </w:r>
          </w:p>
        </w:tc>
      </w:tr>
      <w:tr>
        <w:tblPrEx>
          <w:tblCellMar>
            <w:top w:w="0" w:type="dxa"/>
            <w:left w:w="108" w:type="dxa"/>
            <w:bottom w:w="0" w:type="dxa"/>
            <w:right w:w="108" w:type="dxa"/>
          </w:tblCellMar>
        </w:tblPrEx>
        <w:trPr>
          <w:trHeight w:val="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机构管理</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服务机构管理：新增维护服务机构信息，并可添加行政区划所属功能，可自行勾选所属区划。为服务机构新增所属区划功能，方便管理员分级管理和查询操作。</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服务人员管理：维护服务机构人员信息，添加机构人员所属区划功能，并记录服务人员工作量统计。</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社区机构人员管理：维护社区机构人员信息，添加机构人员所属区划功能，并记录服务人员工作量统计。</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评估管理</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评估模板：支持评估量表自定义配置并可生成评估模板进行使用。</w:t>
            </w:r>
          </w:p>
        </w:tc>
      </w:tr>
      <w:tr>
        <w:tblPrEx>
          <w:tblCellMar>
            <w:top w:w="0" w:type="dxa"/>
            <w:left w:w="108" w:type="dxa"/>
            <w:bottom w:w="0" w:type="dxa"/>
            <w:right w:w="108" w:type="dxa"/>
          </w:tblCellMar>
        </w:tblPrEx>
        <w:trPr>
          <w:trHeight w:val="94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▲养老需求评估量表：支持对老年人群进行日常生活活动能力，精神状态与社会参与能力，感知觉与沟通能力，老年综合征罹患情况，老年人健康养老需求评定等多种评估量表。</w:t>
            </w:r>
          </w:p>
        </w:tc>
      </w:tr>
      <w:tr>
        <w:tblPrEx>
          <w:tblCellMar>
            <w:top w:w="0" w:type="dxa"/>
            <w:left w:w="108" w:type="dxa"/>
            <w:bottom w:w="0" w:type="dxa"/>
            <w:right w:w="108" w:type="dxa"/>
          </w:tblCellMar>
        </w:tblPrEx>
        <w:trPr>
          <w:trHeight w:val="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巡视探访</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巡视探访记录：对评估完成后的居民进行长期的巡视探访，并可以查看各时间段的巡视探访记录。</w:t>
            </w:r>
          </w:p>
        </w:tc>
      </w:tr>
      <w:tr>
        <w:tblPrEx>
          <w:tblCellMar>
            <w:top w:w="0" w:type="dxa"/>
            <w:left w:w="108" w:type="dxa"/>
            <w:bottom w:w="0" w:type="dxa"/>
            <w:right w:w="108" w:type="dxa"/>
          </w:tblCellMar>
        </w:tblPrEx>
        <w:trPr>
          <w:trHeight w:val="32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服务项目管理</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服务项目类别：可新增维护不同的服务项目类别。</w:t>
            </w:r>
          </w:p>
        </w:tc>
      </w:tr>
      <w:tr>
        <w:tblPrEx>
          <w:tblCellMar>
            <w:top w:w="0" w:type="dxa"/>
            <w:left w:w="108" w:type="dxa"/>
            <w:bottom w:w="0" w:type="dxa"/>
            <w:right w:w="108" w:type="dxa"/>
          </w:tblCellMar>
        </w:tblPrEx>
        <w:trPr>
          <w:trHeight w:val="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服务类型管理：可新增维护服务项目内容，设置服务项目的服务次数、服务时长、服务要求等。</w:t>
            </w:r>
          </w:p>
        </w:tc>
      </w:tr>
      <w:tr>
        <w:tblPrEx>
          <w:tblCellMar>
            <w:top w:w="0" w:type="dxa"/>
            <w:left w:w="108" w:type="dxa"/>
            <w:bottom w:w="0" w:type="dxa"/>
            <w:right w:w="108" w:type="dxa"/>
          </w:tblCellMar>
        </w:tblPrEx>
        <w:trPr>
          <w:trHeight w:val="6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▲服务包管理：可新增维护套餐项列表，用于服务项目可将其维护成套餐包形式对居民进行服务。</w:t>
            </w:r>
          </w:p>
        </w:tc>
      </w:tr>
      <w:tr>
        <w:tblPrEx>
          <w:tblCellMar>
            <w:top w:w="0" w:type="dxa"/>
            <w:left w:w="108" w:type="dxa"/>
            <w:bottom w:w="0" w:type="dxa"/>
            <w:right w:w="108" w:type="dxa"/>
          </w:tblCellMar>
        </w:tblPrEx>
        <w:trPr>
          <w:trHeight w:val="32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订单中心</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订单列表：查看服务订单的待派单、待接单、已接单、开始服务四种订单状态的信息，查看订单操作日志。</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订单看板管理：包括服务商品类订单、实体商品类订单、居家服务订单、机构养老订单及长护订单等状态信息，及订单服务趋势和订单趋势图展示。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服务订购</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自创工单管理：养老中心的运营人员根据居民要求，创建工单并派单给对应机构，机构根据工单内容联系居民完成相应服务。</w:t>
            </w:r>
          </w:p>
        </w:tc>
      </w:tr>
      <w:tr>
        <w:tblPrEx>
          <w:tblCellMar>
            <w:top w:w="0" w:type="dxa"/>
            <w:left w:w="108" w:type="dxa"/>
            <w:bottom w:w="0" w:type="dxa"/>
            <w:right w:w="108" w:type="dxa"/>
          </w:tblCellMar>
        </w:tblPrEx>
        <w:trPr>
          <w:trHeight w:val="21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▲待派单管理：对用户下单的服务进行派单，将其派给对应服务机构或服务中心，如订单有异议可对其进行驳回订单。</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待接单管理：服务中心或机构可在平台上进行接单操作，查看订单详情及用户信息。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待派工管理：可将订单派工给对应服务人员手机微信公众号中，待服务人员接单开始服务。</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订单服务记录：已完成服务的订单列表，可以查询订单信息和日志信息，查看服务上传的照片和评价等信息。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满意度评价：获取到服务对象的满意度评价和建议，可通过采用语音或影像的方式记录服务对象对于服务质量的评价意见，可通过该平台实现对服务人员的考勤管理和绩效考核，有效监督服务过程。</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统计报表</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工作量统计报表：支持居民服务统计、服务人员服务统计、统计结算报表、服务记录台账等报表信息。服务人员工作量统计时，可点击具体服务统计指标进行查看统计详情，可跳转服务记录界面，查看服务详情。</w:t>
            </w:r>
          </w:p>
        </w:tc>
      </w:tr>
      <w:tr>
        <w:tblPrEx>
          <w:tblCellMar>
            <w:top w:w="0" w:type="dxa"/>
            <w:left w:w="108" w:type="dxa"/>
            <w:bottom w:w="0" w:type="dxa"/>
            <w:right w:w="108" w:type="dxa"/>
          </w:tblCellMar>
        </w:tblPrEx>
        <w:trPr>
          <w:trHeight w:val="122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服务监管大屏</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监管大屏统计：居家服务家监管大屏包含供居家养老位置分布、服务分析、统计分析等方面的相关功能。结合GIS地图定位提供居家养老服务组织的分布和信息查看，可查看各行政区域居家养老服务的组织数、人数、工单数、类型数等相关信息，并进行相应的占比统计，方便监管部门直观查询了解辖区内居家养老相关信息。</w:t>
            </w:r>
          </w:p>
        </w:tc>
      </w:tr>
      <w:tr>
        <w:tblPrEx>
          <w:tblCellMar>
            <w:top w:w="0" w:type="dxa"/>
            <w:left w:w="108" w:type="dxa"/>
            <w:bottom w:w="0" w:type="dxa"/>
            <w:right w:w="108" w:type="dxa"/>
          </w:tblCellMar>
        </w:tblPrEx>
        <w:trPr>
          <w:trHeight w:val="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医护人员端小程序</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待服务人群：服务人员可在待服务人群菜单中看到还未服务的居民，选择对弈居民去服务填写完善服务内容、服务日志、居民服务前拍照照片等信息。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▲服务中人群：可在服务中菜单中看到正在服务的居民，记录服务时长和人员定位信息，服务完成后可记录居民满意度评价及评价语音录音，并拍摄服务完成后照片进行对比。</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服务完成人群：可查看服务弯沉后各项目服务记录，同时关联到平台居民服务记录中。</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服务记录：可以查看各居民订购服务的完成进度、完成时间和康养人员的服务情况以及满意度评分，服务记录也可以进行打印。</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26</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巡视探访人群：服务人员可以看到分配到自己患者，可对其进行居家上门巡视探访记录。</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27</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智能设备数据监测中心</w:t>
            </w: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监测设备绑定：维护绑定智能终端，配置物联网设备信息，可进行入库、绑定、下线功能。</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28</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SOS智能呼叫功能：主要包括一键通固定呼叫功能、一键通功能手机和腕表呼叫终端、挂件呼叫终端等监测数据展示。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29</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智能定位功能：主要包括具有定位（GPS定位）功能的手环、手表、胸牌等定位终端。定时上报位置信息，查询老人最新定位信息和轨迹信息等监测数据展示。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30</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智能防跌倒预警功能：主要通过绑定毫米波雷达设备进行监测预警，同时监测房间内老人心率、呼吸、如有老人跌倒或心率呼吸出现异常，平台会进行实时报警提醒等监测数据展示。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智能床垫功能：主要通过绑定床垫获取实时监测老人心率、呼吸、体动等数据，显示老人在床、离床和离线的状态等监测数据展示。</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血压计监测数据：绑定支持IoT功能的血压计，数据实时上传，查询测量数据及信息。</w:t>
            </w:r>
          </w:p>
        </w:tc>
      </w:tr>
      <w:tr>
        <w:tblPrEx>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sz w:val="22"/>
                <w:szCs w:val="22"/>
                <w:lang w:val="en-US" w:eastAsia="zh-CN"/>
              </w:rPr>
            </w:pPr>
          </w:p>
        </w:tc>
        <w:tc>
          <w:tcPr>
            <w:tcW w:w="6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血糖仪监测数据：绑定支持IoT功能的血糖仪，数据实时上传，查询测量数据及信息。</w:t>
            </w:r>
          </w:p>
        </w:tc>
      </w:tr>
    </w:tbl>
    <w:p>
      <w:pPr>
        <w:rPr>
          <w:rFonts w:hint="eastAsia"/>
          <w:lang w:val="en-US" w:eastAsia="zh-CN"/>
        </w:rPr>
      </w:pPr>
    </w:p>
    <w:p>
      <w:pPr>
        <w:pStyle w:val="72"/>
        <w:numPr>
          <w:ilvl w:val="0"/>
          <w:numId w:val="0"/>
        </w:numPr>
        <w:spacing w:before="156" w:after="156"/>
        <w:rPr>
          <w:rFonts w:hint="eastAsia"/>
          <w:lang w:val="en-US" w:eastAsia="zh-CN"/>
        </w:rPr>
      </w:pPr>
      <w:r>
        <w:rPr>
          <w:rFonts w:hint="eastAsia"/>
          <w:lang w:val="en-US" w:eastAsia="zh-CN"/>
        </w:rPr>
        <w:t>4</w:t>
      </w:r>
      <w:bookmarkStart w:id="3" w:name="_GoBack"/>
      <w:bookmarkEnd w:id="3"/>
      <w:r>
        <w:rPr>
          <w:rFonts w:hint="eastAsia"/>
          <w:lang w:val="en-US" w:eastAsia="zh-CN"/>
        </w:rPr>
        <w:t>.3、城市信息模型平台</w:t>
      </w:r>
    </w:p>
    <w:tbl>
      <w:tblPr>
        <w:tblStyle w:val="23"/>
        <w:tblpPr w:leftFromText="180" w:rightFromText="180" w:vertAnchor="text" w:horzAnchor="page" w:tblpX="1611" w:tblpY="225"/>
        <w:tblOverlap w:val="never"/>
        <w:tblW w:w="8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644"/>
        <w:gridCol w:w="6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bCs w:val="0"/>
                <w:sz w:val="22"/>
                <w:szCs w:val="22"/>
              </w:rPr>
              <w:t>序号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bCs w:val="0"/>
                <w:sz w:val="22"/>
                <w:szCs w:val="22"/>
              </w:rPr>
              <w:t>指标项</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kern w:val="2"/>
                <w:sz w:val="21"/>
                <w:szCs w:val="24"/>
                <w:lang w:val="en-US" w:eastAsia="zh-CN" w:bidi="ar-SA"/>
              </w:rPr>
            </w:pPr>
            <w:r>
              <w:rPr>
                <w:rFonts w:hint="eastAsia" w:asciiTheme="minorEastAsia" w:hAnsiTheme="minorEastAsia" w:eastAsiaTheme="minorEastAsia" w:cstheme="minorEastAsia"/>
                <w:b/>
                <w:bCs w:val="0"/>
                <w:sz w:val="22"/>
                <w:szCs w:val="22"/>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GIS三维</w:t>
            </w:r>
          </w:p>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▲发布三维GIS服务：支持利用离线的三维场景GIS数据，发布GIS服务。支持查看三维服务。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发布三维BIM服务：支持利用离线的三维BIM数据，发布GIS服务。支持查看三维服务。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发布三维倾斜摄影服务：支持利用离线的三维倾斜摄影数据，发布GIS服务。支持查看三维服务。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发布3dtile三维服务：支持利用离线的3dtile切片文件，发布三维服务。支持查看三维服务。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GIS二维</w:t>
            </w:r>
          </w:p>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▲发布二维切片服务服务：支持利用离线的二维切片数据，发布GIS服务。支持查看二维服务。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发布二维矢量切片服务服务：支持利用离线的二维矢量切片数据，发布GIS服务。支持查看二维服务。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发布WMTS服务：发布WMTS二维GIS服务，支持查看二维服务。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发布二维要素服务：支持模糊查询、几何查询；支持shp格式文件的导入导出。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前端可视化SDK包</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前端可视化SDK包：用于实现各项地图功能，可简单配置JSON文件，即可加载各种GIS服务。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数据生产及接入</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在线地图资源：接入在线地图资源。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现状数据处理：现有的BIM、IoT、GIS数据处理并发布服务，并发布服务。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基础功能</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二三维可视化：可视化加载医养康相关的GIS、IoT、BIM模型数据，可进行鼠标移动浏览等操作。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系统配置：支持场景配置、图层配置、图层权限配置、功能配置、图层规则配置等操作。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业务功能</w:t>
            </w: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意外事故场景的CIM综合能力提供：支持穿戴设备和室内外监控设备实时监测老年人的生命体征，实现老年人居家或社区突发疾病或意外摔倒等意外监测，运用 CIM 模型实时定位老年人所在的位置，支持通过平台就近派医护人员和救护车前往，实时显示老年人、医护人员、救护车的实时位置，显示老年人最近的医疗机构，规划前往医疗机构的最短路径，送往医院做针对性急救与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意外事故场景的CIM能力提供（救护车路径规划）：采用高德或者百度的导航能力。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sz w:val="22"/>
                <w:szCs w:val="22"/>
                <w:lang w:val="en-US" w:eastAsia="zh-CN"/>
              </w:rPr>
            </w:pPr>
          </w:p>
        </w:tc>
        <w:tc>
          <w:tcPr>
            <w:tcW w:w="6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上门服务场景的CIM能力提供：在上门服务场景中，CIM能力的提供可以分为多个步骤。首先，老年人从医养康服务平台购买服务包。然后，平台运营团队对购买情况进行审核并确认，审核通过后，老年人的家属或监护人需要进行进一步的确认。接着，根据服务需求指定医护人员，并安排随访硬件设备，医护人员进行上门服务，在服务过程中会对相关服务细节进行记录。完成上门服务后，客户将对所接受的服务进行评价。最后，这些评价信息将被上传到医养康服务平台供平台运营团队查询和分析以提升未来的服务质量和效率。</w:t>
            </w:r>
          </w:p>
        </w:tc>
      </w:tr>
    </w:tbl>
    <w:p>
      <w:pPr>
        <w:pStyle w:val="22"/>
        <w:jc w:val="left"/>
        <w:rPr>
          <w:rFonts w:hint="eastAsia"/>
          <w:lang w:val="en-US" w:eastAsia="zh-CN"/>
        </w:rPr>
      </w:pPr>
    </w:p>
    <w:p>
      <w:pPr>
        <w:pStyle w:val="22"/>
        <w:jc w:val="left"/>
        <w:rPr>
          <w:rFonts w:hint="eastAsia"/>
          <w:lang w:val="en-US" w:eastAsia="zh-CN"/>
        </w:rPr>
      </w:pPr>
      <w:r>
        <w:rPr>
          <w:rFonts w:hint="eastAsia"/>
          <w:lang w:val="en-US" w:eastAsia="zh-CN"/>
        </w:rPr>
        <w:t>四、项目工期</w:t>
      </w:r>
    </w:p>
    <w:p>
      <w:pPr>
        <w:spacing w:line="360" w:lineRule="auto"/>
        <w:ind w:left="0" w:leftChars="0" w:firstLine="42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1.自合同签订日起，须在</w:t>
      </w:r>
      <w:r>
        <w:rPr>
          <w:rFonts w:hint="eastAsia" w:asciiTheme="minorEastAsia" w:hAnsiTheme="minorEastAsia" w:eastAsiaTheme="minorEastAsia" w:cstheme="minorEastAsia"/>
          <w:szCs w:val="21"/>
          <w:u w:val="single"/>
          <w:lang w:val="en-US" w:eastAsia="zh-CN"/>
        </w:rPr>
        <w:t xml:space="preserve"> 10 </w:t>
      </w:r>
      <w:r>
        <w:rPr>
          <w:rFonts w:hint="eastAsia" w:asciiTheme="minorEastAsia" w:hAnsiTheme="minorEastAsia" w:eastAsiaTheme="minorEastAsia" w:cstheme="minorEastAsia"/>
          <w:szCs w:val="21"/>
          <w:lang w:val="en-US" w:eastAsia="zh-CN"/>
        </w:rPr>
        <w:t>个工作日内对《用户需求说明书》进行补充、确认或提出意见。</w:t>
      </w:r>
    </w:p>
    <w:p>
      <w:pPr>
        <w:spacing w:line="360" w:lineRule="auto"/>
        <w:ind w:left="0" w:leftChars="0" w:firstLine="42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2.对《用户需求说明书》提出意见后，院方组织进行用户需求调研，根据调研情况提供业务调研记录、现况分析、功能设计及说明，双方共同整理并在</w:t>
      </w:r>
      <w:r>
        <w:rPr>
          <w:rFonts w:hint="eastAsia" w:asciiTheme="minorEastAsia" w:hAnsiTheme="minorEastAsia" w:eastAsiaTheme="minorEastAsia" w:cstheme="minorEastAsia"/>
          <w:szCs w:val="21"/>
          <w:u w:val="single"/>
          <w:lang w:val="en-US" w:eastAsia="zh-CN"/>
        </w:rPr>
        <w:t xml:space="preserve">  10 </w:t>
      </w:r>
      <w:r>
        <w:rPr>
          <w:rFonts w:hint="eastAsia" w:asciiTheme="minorEastAsia" w:hAnsiTheme="minorEastAsia" w:eastAsiaTheme="minorEastAsia" w:cstheme="minorEastAsia"/>
          <w:szCs w:val="21"/>
          <w:lang w:val="en-US" w:eastAsia="zh-CN"/>
        </w:rPr>
        <w:t>个工作日内确认《需求规格说明书》。</w:t>
      </w:r>
    </w:p>
    <w:p>
      <w:pPr>
        <w:spacing w:line="360" w:lineRule="auto"/>
        <w:ind w:left="0" w:leftChars="0" w:firstLine="42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3.须在《需求规格说明书》确认后的</w:t>
      </w:r>
      <w:r>
        <w:rPr>
          <w:rFonts w:hint="eastAsia" w:asciiTheme="minorEastAsia" w:hAnsiTheme="minorEastAsia" w:eastAsiaTheme="minorEastAsia" w:cstheme="minorEastAsia"/>
          <w:szCs w:val="21"/>
          <w:u w:val="single"/>
          <w:lang w:val="en-US" w:eastAsia="zh-CN"/>
        </w:rPr>
        <w:t xml:space="preserve"> 90 </w:t>
      </w:r>
      <w:r>
        <w:rPr>
          <w:rFonts w:hint="eastAsia" w:asciiTheme="minorEastAsia" w:hAnsiTheme="minorEastAsia" w:eastAsiaTheme="minorEastAsia" w:cstheme="minorEastAsia"/>
          <w:szCs w:val="21"/>
          <w:lang w:val="en-US" w:eastAsia="zh-CN"/>
        </w:rPr>
        <w:t>个工作日内完成实施和保证系统正常工作。</w:t>
      </w:r>
    </w:p>
    <w:p>
      <w:pPr>
        <w:spacing w:line="360" w:lineRule="auto"/>
        <w:ind w:left="0" w:leftChars="0" w:firstLine="42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4.完成软件实施，并根据院方提出的新需求完成修改后，系统运行</w:t>
      </w:r>
      <w:r>
        <w:rPr>
          <w:rFonts w:hint="eastAsia" w:asciiTheme="minorEastAsia" w:hAnsiTheme="minorEastAsia" w:eastAsiaTheme="minorEastAsia" w:cstheme="minorEastAsia"/>
          <w:szCs w:val="21"/>
          <w:u w:val="single"/>
          <w:lang w:val="en-US" w:eastAsia="zh-CN"/>
        </w:rPr>
        <w:t xml:space="preserve"> 1 </w:t>
      </w:r>
      <w:r>
        <w:rPr>
          <w:rFonts w:hint="eastAsia" w:asciiTheme="minorEastAsia" w:hAnsiTheme="minorEastAsia" w:eastAsiaTheme="minorEastAsia" w:cstheme="minorEastAsia"/>
          <w:szCs w:val="21"/>
          <w:lang w:val="en-US" w:eastAsia="zh-CN"/>
        </w:rPr>
        <w:t>个月以上无软件故障出现，则向院方申请验收。</w:t>
      </w:r>
    </w:p>
    <w:p>
      <w:pPr>
        <w:pStyle w:val="22"/>
        <w:jc w:val="left"/>
        <w:rPr>
          <w:rFonts w:hint="eastAsia"/>
          <w:lang w:val="en-US" w:eastAsia="zh-CN"/>
        </w:rPr>
      </w:pPr>
      <w:r>
        <w:rPr>
          <w:rFonts w:hint="eastAsia"/>
          <w:lang w:val="en-US" w:eastAsia="zh-CN"/>
        </w:rPr>
        <w:t>五、★实施服务要求</w:t>
      </w:r>
    </w:p>
    <w:p>
      <w:pPr>
        <w:spacing w:line="360" w:lineRule="auto"/>
        <w:ind w:left="0" w:leftChars="0" w:firstLine="420" w:firstLineChars="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项目实施期内承建商提供专职工程师</w:t>
      </w:r>
      <w:r>
        <w:rPr>
          <w:rFonts w:hint="eastAsia" w:asciiTheme="minorEastAsia" w:hAnsiTheme="minorEastAsia" w:eastAsiaTheme="minorEastAsia" w:cstheme="minorEastAsia"/>
          <w:szCs w:val="21"/>
          <w:u w:val="single"/>
        </w:rPr>
        <w:t xml:space="preserve">  1 </w:t>
      </w:r>
      <w:r>
        <w:rPr>
          <w:rFonts w:hint="eastAsia" w:asciiTheme="minorEastAsia" w:hAnsiTheme="minorEastAsia" w:eastAsiaTheme="minorEastAsia" w:cstheme="minorEastAsia"/>
          <w:szCs w:val="21"/>
        </w:rPr>
        <w:t>名</w:t>
      </w:r>
      <w:r>
        <w:rPr>
          <w:rFonts w:hint="eastAsia" w:asciiTheme="minorEastAsia" w:hAnsiTheme="minorEastAsia" w:eastAsiaTheme="minorEastAsia" w:cstheme="minorEastAsia"/>
          <w:szCs w:val="21"/>
          <w:lang w:val="en-US" w:eastAsia="zh-CN"/>
        </w:rPr>
        <w:t>服务</w:t>
      </w:r>
      <w:r>
        <w:rPr>
          <w:rFonts w:hint="eastAsia" w:asciiTheme="minorEastAsia" w:hAnsiTheme="minorEastAsia" w:eastAsiaTheme="minorEastAsia" w:cstheme="minorEastAsia"/>
          <w:szCs w:val="21"/>
        </w:rPr>
        <w:t>本院，工作时间与院方工作时间一致</w:t>
      </w:r>
      <w:r>
        <w:rPr>
          <w:rFonts w:hint="eastAsia" w:asciiTheme="minorEastAsia" w:hAnsiTheme="minorEastAsia" w:eastAsiaTheme="minorEastAsia" w:cstheme="minorEastAsia"/>
          <w:szCs w:val="21"/>
          <w:lang w:eastAsia="zh-CN"/>
        </w:rPr>
        <w:t>。</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微软雅黑" w:hAnsi="微软雅黑" w:eastAsia="微软雅黑" w:cs="微软雅黑"/>
          <w:szCs w:val="21"/>
        </w:rPr>
        <w:t>★</w:t>
      </w:r>
      <w:r>
        <w:rPr>
          <w:rFonts w:hint="eastAsia" w:asciiTheme="minorEastAsia" w:hAnsiTheme="minorEastAsia" w:eastAsiaTheme="minorEastAsia" w:cstheme="minorEastAsia"/>
          <w:szCs w:val="21"/>
        </w:rPr>
        <w:t>承建商提供7*24小时响应服务。</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项目承建商需根据院方的详细需求，提交项目系统的安装、调试及培训实施方案，方案得到院方确认后实施，保证系统按时、正常地投入运行。</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验收由承建商给出具体的验收计划、测试的内容和方法，经院方审核通过后，方可进行验收测试。</w:t>
      </w:r>
    </w:p>
    <w:p>
      <w:pPr>
        <w:pStyle w:val="22"/>
        <w:jc w:val="left"/>
        <w:rPr>
          <w:rFonts w:hint="eastAsia" w:eastAsia="宋体"/>
          <w:lang w:val="en-US" w:eastAsia="zh-CN"/>
        </w:rPr>
      </w:pPr>
      <w:r>
        <w:rPr>
          <w:rFonts w:hint="eastAsia"/>
          <w:lang w:val="en-US" w:eastAsia="zh-CN"/>
        </w:rPr>
        <w:t>六</w:t>
      </w:r>
      <w:r>
        <w:rPr>
          <w:rFonts w:hint="eastAsia"/>
        </w:rPr>
        <w:t>、</w:t>
      </w:r>
      <w:r>
        <w:rPr>
          <w:rFonts w:hint="eastAsia"/>
          <w:lang w:val="en-US" w:eastAsia="zh-CN"/>
        </w:rPr>
        <w:t>保修</w:t>
      </w:r>
      <w:r>
        <w:rPr>
          <w:rFonts w:hint="eastAsia"/>
        </w:rPr>
        <w:t>服务</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一</w:t>
      </w:r>
      <w:r>
        <w:rPr>
          <w:rFonts w:hint="eastAsia" w:asciiTheme="minorEastAsia" w:hAnsiTheme="minorEastAsia" w:eastAsiaTheme="minorEastAsia" w:cstheme="minorEastAsia"/>
          <w:szCs w:val="21"/>
        </w:rPr>
        <w:t>) 整体保修；保修期自验收合格之日起计算。</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宋体" w:hAnsi="宋体"/>
        </w:rPr>
        <w:t>★</w:t>
      </w:r>
      <w:r>
        <w:rPr>
          <w:rFonts w:hint="eastAsia" w:asciiTheme="minorEastAsia" w:hAnsiTheme="minorEastAsia" w:eastAsiaTheme="minorEastAsia" w:cstheme="minorEastAsia"/>
          <w:szCs w:val="21"/>
        </w:rPr>
        <w:t>(二) 提供</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年原厂家保修服务。</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三</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在免费维护期结束前，须由</w:t>
      </w:r>
      <w:r>
        <w:rPr>
          <w:rFonts w:hint="eastAsia"/>
          <w:color w:val="000000"/>
          <w:lang w:val="en-US" w:eastAsia="zh-CN"/>
        </w:rPr>
        <w:t>项目承建商</w:t>
      </w:r>
      <w:r>
        <w:rPr>
          <w:rFonts w:hint="eastAsia" w:asciiTheme="minorEastAsia" w:hAnsiTheme="minorEastAsia" w:eastAsiaTheme="minorEastAsia" w:cstheme="minorEastAsia"/>
          <w:szCs w:val="21"/>
        </w:rPr>
        <w:t>和院方进行一次全面检查，任何缺陷必须由</w:t>
      </w:r>
      <w:r>
        <w:rPr>
          <w:rFonts w:hint="eastAsia"/>
          <w:color w:val="000000"/>
          <w:lang w:val="en-US" w:eastAsia="zh-CN"/>
        </w:rPr>
        <w:t>项目承建商</w:t>
      </w:r>
      <w:r>
        <w:rPr>
          <w:rFonts w:hint="eastAsia" w:asciiTheme="minorEastAsia" w:hAnsiTheme="minorEastAsia" w:eastAsiaTheme="minorEastAsia" w:cstheme="minorEastAsia"/>
          <w:szCs w:val="21"/>
        </w:rPr>
        <w:t>负责修复，在修复之后，</w:t>
      </w:r>
      <w:r>
        <w:rPr>
          <w:rFonts w:hint="eastAsia"/>
          <w:color w:val="000000"/>
          <w:lang w:val="en-US" w:eastAsia="zh-CN"/>
        </w:rPr>
        <w:t>项目承建商</w:t>
      </w:r>
      <w:r>
        <w:rPr>
          <w:rFonts w:hint="eastAsia" w:asciiTheme="minorEastAsia" w:hAnsiTheme="minorEastAsia" w:eastAsiaTheme="minorEastAsia" w:cstheme="minorEastAsia"/>
          <w:szCs w:val="21"/>
        </w:rPr>
        <w:t>应将缺陷原因、修复内容、完成修理及恢复正常的时间和日期等报告给院方，形成项目总结报告。</w:t>
      </w:r>
    </w:p>
    <w:p>
      <w:pPr>
        <w:spacing w:line="360" w:lineRule="auto"/>
        <w:ind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超过免费维护期的，双方另行协商签订维护合同，信息设备（产品）的维护报价不超过合同信息设备（产品）部分金额的5%。</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（五）售后服务：提供原厂厂家7*24小时免费</w:t>
      </w:r>
      <w:r>
        <w:rPr>
          <w:rFonts w:hint="eastAsia" w:asciiTheme="minorEastAsia" w:hAnsiTheme="minorEastAsia" w:eastAsiaTheme="minorEastAsia" w:cstheme="minorEastAsia"/>
          <w:szCs w:val="21"/>
          <w:lang w:val="en-US" w:eastAsia="zh-CN"/>
        </w:rPr>
        <w:t>运维</w:t>
      </w:r>
      <w:r>
        <w:rPr>
          <w:rFonts w:hint="eastAsia" w:asciiTheme="minorEastAsia" w:hAnsiTheme="minorEastAsia" w:eastAsiaTheme="minorEastAsia" w:cstheme="minorEastAsia"/>
          <w:szCs w:val="21"/>
        </w:rPr>
        <w:t>服务，提供不少于1人的驻场服务，节假日安排值班。</w:t>
      </w:r>
    </w:p>
    <w:p>
      <w:pPr>
        <w:spacing w:line="360" w:lineRule="auto"/>
        <w:ind w:left="0" w:leftChars="0" w:firstLine="42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（六）响应时间、方式：2小时内响应到院方报修处，</w:t>
      </w:r>
      <w:r>
        <w:rPr>
          <w:rFonts w:hint="eastAsia"/>
          <w:color w:val="000000"/>
          <w:lang w:val="en-US" w:eastAsia="zh-CN"/>
        </w:rPr>
        <w:t>项目承建商</w:t>
      </w:r>
      <w:r>
        <w:rPr>
          <w:rFonts w:hint="eastAsia" w:asciiTheme="minorEastAsia" w:hAnsiTheme="minorEastAsia" w:eastAsiaTheme="minorEastAsia" w:cstheme="minorEastAsia"/>
          <w:szCs w:val="21"/>
        </w:rPr>
        <w:t>需提供备件先行服务。</w:t>
      </w:r>
    </w:p>
    <w:p>
      <w:pPr>
        <w:spacing w:line="360" w:lineRule="auto"/>
        <w:rPr>
          <w:rFonts w:hint="eastAsia" w:ascii="宋体" w:hAnsi="宋体" w:cs="宋体"/>
          <w:szCs w:val="21"/>
        </w:rPr>
      </w:pPr>
    </w:p>
    <w:p>
      <w:pPr>
        <w:pStyle w:val="22"/>
        <w:numPr>
          <w:ilvl w:val="0"/>
          <w:numId w:val="4"/>
        </w:numPr>
        <w:jc w:val="left"/>
        <w:rPr>
          <w:rFonts w:hint="eastAsia"/>
        </w:rPr>
      </w:pPr>
      <w:r>
        <w:rPr>
          <w:rFonts w:hint="eastAsia"/>
        </w:rPr>
        <w:t>合同款支付方式</w:t>
      </w:r>
    </w:p>
    <w:p>
      <w:pPr>
        <w:spacing w:line="360" w:lineRule="auto"/>
        <w:ind w:left="0" w:leftChars="0" w:firstLine="420" w:firstLineChars="0"/>
        <w:rPr>
          <w:rFonts w:hint="eastAsia" w:ascii="宋体" w:hAnsi="宋体" w:cs="宋体"/>
          <w:szCs w:val="21"/>
        </w:rPr>
      </w:pPr>
      <w:r>
        <w:rPr>
          <w:rFonts w:hint="eastAsia" w:ascii="宋体" w:hAnsi="宋体" w:cs="宋体"/>
          <w:szCs w:val="21"/>
        </w:rPr>
        <w:t>(一)合同签订后，在收到</w:t>
      </w:r>
      <w:r>
        <w:rPr>
          <w:rFonts w:hint="eastAsia" w:ascii="宋体" w:hAnsi="宋体" w:cs="宋体"/>
          <w:szCs w:val="21"/>
          <w:lang w:val="en-US" w:eastAsia="zh-CN"/>
        </w:rPr>
        <w:t>项目</w:t>
      </w:r>
      <w:r>
        <w:rPr>
          <w:rFonts w:hint="eastAsia" w:ascii="宋体" w:hAnsi="宋体" w:cs="宋体"/>
          <w:szCs w:val="21"/>
        </w:rPr>
        <w:t>承建商开具相应金额正式发票后，支付合同总金额的30%；</w:t>
      </w:r>
    </w:p>
    <w:p>
      <w:pPr>
        <w:spacing w:line="360" w:lineRule="auto"/>
        <w:ind w:left="0" w:leftChars="0" w:firstLine="420" w:firstLineChars="0"/>
        <w:rPr>
          <w:rFonts w:hint="default" w:ascii="Times New Roman" w:hAnsi="Times New Roman" w:cs="Times New Roman"/>
          <w:strike/>
          <w:dstrike w:val="0"/>
          <w:color w:val="000000"/>
          <w:szCs w:val="24"/>
        </w:rPr>
      </w:pPr>
      <w:r>
        <w:rPr>
          <w:rFonts w:hint="eastAsia" w:ascii="宋体" w:hAnsi="宋体" w:cs="宋体"/>
          <w:szCs w:val="21"/>
        </w:rPr>
        <w:t>(二)软件验收通过后，在收到</w:t>
      </w:r>
      <w:r>
        <w:rPr>
          <w:rFonts w:hint="eastAsia" w:ascii="宋体" w:hAnsi="宋体" w:cs="宋体"/>
          <w:szCs w:val="21"/>
          <w:lang w:val="en-US" w:eastAsia="zh-CN"/>
        </w:rPr>
        <w:t>项目</w:t>
      </w:r>
      <w:r>
        <w:rPr>
          <w:rFonts w:hint="eastAsia" w:ascii="宋体" w:hAnsi="宋体" w:cs="宋体"/>
          <w:szCs w:val="21"/>
        </w:rPr>
        <w:t>承建商开具相应金额正式发票后，支付合同总金额的70%</w:t>
      </w:r>
      <w:r>
        <w:rPr>
          <w:rFonts w:hint="eastAsia" w:ascii="宋体" w:hAnsi="宋体" w:cs="宋体"/>
          <w:szCs w:val="21"/>
          <w:lang w:eastAsia="zh-CN"/>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64108"/>
    <w:multiLevelType w:val="singleLevel"/>
    <w:tmpl w:val="04864108"/>
    <w:lvl w:ilvl="0" w:tentative="0">
      <w:start w:val="8"/>
      <w:numFmt w:val="chineseCounting"/>
      <w:suff w:val="nothing"/>
      <w:lvlText w:val="%1、"/>
      <w:lvlJc w:val="left"/>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WQ4ZDMyMDU2MTY4ZmY4YjFhYjNkNzYxMTI0OWE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34E5759"/>
    <w:rsid w:val="03CA501F"/>
    <w:rsid w:val="04276F58"/>
    <w:rsid w:val="048A698E"/>
    <w:rsid w:val="051F0BAA"/>
    <w:rsid w:val="05AE12D1"/>
    <w:rsid w:val="08807DC0"/>
    <w:rsid w:val="0975046F"/>
    <w:rsid w:val="09972933"/>
    <w:rsid w:val="09C03B07"/>
    <w:rsid w:val="09D52C60"/>
    <w:rsid w:val="0A873492"/>
    <w:rsid w:val="0B2C354F"/>
    <w:rsid w:val="0B2E4DAA"/>
    <w:rsid w:val="0CD22E44"/>
    <w:rsid w:val="0D617DE3"/>
    <w:rsid w:val="0DD0089A"/>
    <w:rsid w:val="0DD04666"/>
    <w:rsid w:val="0DD71DDF"/>
    <w:rsid w:val="0DE52D71"/>
    <w:rsid w:val="0E4D4EA6"/>
    <w:rsid w:val="0F41270C"/>
    <w:rsid w:val="0FAA5FCB"/>
    <w:rsid w:val="0FE8038D"/>
    <w:rsid w:val="104C6824"/>
    <w:rsid w:val="109B5445"/>
    <w:rsid w:val="10D97CD5"/>
    <w:rsid w:val="10ED1476"/>
    <w:rsid w:val="10FB3693"/>
    <w:rsid w:val="12135469"/>
    <w:rsid w:val="124315DA"/>
    <w:rsid w:val="145E16ED"/>
    <w:rsid w:val="149C7544"/>
    <w:rsid w:val="14E15863"/>
    <w:rsid w:val="162776F9"/>
    <w:rsid w:val="162858D7"/>
    <w:rsid w:val="16A75D23"/>
    <w:rsid w:val="16B014D8"/>
    <w:rsid w:val="19801636"/>
    <w:rsid w:val="1A0C255E"/>
    <w:rsid w:val="1B1B2DCE"/>
    <w:rsid w:val="1BFD08D4"/>
    <w:rsid w:val="1D0165EA"/>
    <w:rsid w:val="1DFB0471"/>
    <w:rsid w:val="1E5365E3"/>
    <w:rsid w:val="1EF23289"/>
    <w:rsid w:val="1F274302"/>
    <w:rsid w:val="1F5D746C"/>
    <w:rsid w:val="1FC94C0B"/>
    <w:rsid w:val="2079293B"/>
    <w:rsid w:val="20803CC9"/>
    <w:rsid w:val="20F425EE"/>
    <w:rsid w:val="213F1567"/>
    <w:rsid w:val="21BF3B5D"/>
    <w:rsid w:val="228965CC"/>
    <w:rsid w:val="2426228E"/>
    <w:rsid w:val="252D49DD"/>
    <w:rsid w:val="25CD5C03"/>
    <w:rsid w:val="25FA00A6"/>
    <w:rsid w:val="272356CA"/>
    <w:rsid w:val="27471C24"/>
    <w:rsid w:val="278E4F1E"/>
    <w:rsid w:val="282C57E7"/>
    <w:rsid w:val="28887BBF"/>
    <w:rsid w:val="28C8725C"/>
    <w:rsid w:val="29C6608A"/>
    <w:rsid w:val="2BAF24A8"/>
    <w:rsid w:val="305A18DA"/>
    <w:rsid w:val="313A1A4C"/>
    <w:rsid w:val="313F6476"/>
    <w:rsid w:val="317908E2"/>
    <w:rsid w:val="32194889"/>
    <w:rsid w:val="322555EA"/>
    <w:rsid w:val="330469DC"/>
    <w:rsid w:val="339834F5"/>
    <w:rsid w:val="339B55AD"/>
    <w:rsid w:val="340003BA"/>
    <w:rsid w:val="370945C1"/>
    <w:rsid w:val="3AA77129"/>
    <w:rsid w:val="3AAC289A"/>
    <w:rsid w:val="3AD11A9D"/>
    <w:rsid w:val="3B1BEA99"/>
    <w:rsid w:val="3C1507B4"/>
    <w:rsid w:val="3C1D6069"/>
    <w:rsid w:val="3CDD2778"/>
    <w:rsid w:val="3E2B7643"/>
    <w:rsid w:val="3ED23E32"/>
    <w:rsid w:val="40D5220D"/>
    <w:rsid w:val="42200080"/>
    <w:rsid w:val="43337768"/>
    <w:rsid w:val="439A6E35"/>
    <w:rsid w:val="446E63AB"/>
    <w:rsid w:val="45B93656"/>
    <w:rsid w:val="461940F5"/>
    <w:rsid w:val="46406C9A"/>
    <w:rsid w:val="46A071B9"/>
    <w:rsid w:val="46B75D3F"/>
    <w:rsid w:val="48480CC1"/>
    <w:rsid w:val="488C513A"/>
    <w:rsid w:val="48965ED0"/>
    <w:rsid w:val="4948541D"/>
    <w:rsid w:val="49951CE4"/>
    <w:rsid w:val="499C52CB"/>
    <w:rsid w:val="49DF0FCF"/>
    <w:rsid w:val="49F36ACE"/>
    <w:rsid w:val="4A201EF6"/>
    <w:rsid w:val="4A357967"/>
    <w:rsid w:val="4C1F2800"/>
    <w:rsid w:val="4CB30DFF"/>
    <w:rsid w:val="4D85268B"/>
    <w:rsid w:val="51275918"/>
    <w:rsid w:val="51D774AB"/>
    <w:rsid w:val="521D79C2"/>
    <w:rsid w:val="526606C2"/>
    <w:rsid w:val="52A907F9"/>
    <w:rsid w:val="530D5254"/>
    <w:rsid w:val="54F00B42"/>
    <w:rsid w:val="551663CF"/>
    <w:rsid w:val="556C3294"/>
    <w:rsid w:val="56533E33"/>
    <w:rsid w:val="56F32878"/>
    <w:rsid w:val="576553EC"/>
    <w:rsid w:val="57F1209E"/>
    <w:rsid w:val="58354DBE"/>
    <w:rsid w:val="589436CF"/>
    <w:rsid w:val="58C056B8"/>
    <w:rsid w:val="5ABE78FA"/>
    <w:rsid w:val="5AD72AAD"/>
    <w:rsid w:val="5B4D1163"/>
    <w:rsid w:val="5C16336B"/>
    <w:rsid w:val="5C8E7193"/>
    <w:rsid w:val="5E7E6D93"/>
    <w:rsid w:val="5E987E55"/>
    <w:rsid w:val="5F5513E2"/>
    <w:rsid w:val="5FCD662E"/>
    <w:rsid w:val="60822B6A"/>
    <w:rsid w:val="630B2DD9"/>
    <w:rsid w:val="631F7C8D"/>
    <w:rsid w:val="63DE4ECC"/>
    <w:rsid w:val="645C5585"/>
    <w:rsid w:val="646B597A"/>
    <w:rsid w:val="647A167F"/>
    <w:rsid w:val="648B3FB8"/>
    <w:rsid w:val="64A86918"/>
    <w:rsid w:val="6523039D"/>
    <w:rsid w:val="65554CF2"/>
    <w:rsid w:val="656B05E4"/>
    <w:rsid w:val="6686712D"/>
    <w:rsid w:val="6692441C"/>
    <w:rsid w:val="67662C04"/>
    <w:rsid w:val="6787544C"/>
    <w:rsid w:val="67D07485"/>
    <w:rsid w:val="698A66BE"/>
    <w:rsid w:val="6A5E4559"/>
    <w:rsid w:val="6AD472F2"/>
    <w:rsid w:val="6D1D4D2C"/>
    <w:rsid w:val="6DC93334"/>
    <w:rsid w:val="6E511DCE"/>
    <w:rsid w:val="6EB21F32"/>
    <w:rsid w:val="6F4F022A"/>
    <w:rsid w:val="704837AC"/>
    <w:rsid w:val="70B54896"/>
    <w:rsid w:val="712A11B9"/>
    <w:rsid w:val="712D16A4"/>
    <w:rsid w:val="718710C4"/>
    <w:rsid w:val="73955FE3"/>
    <w:rsid w:val="73B0538E"/>
    <w:rsid w:val="74EF0832"/>
    <w:rsid w:val="75CA4C66"/>
    <w:rsid w:val="768C7E47"/>
    <w:rsid w:val="76B16AD4"/>
    <w:rsid w:val="76F3769F"/>
    <w:rsid w:val="774F263D"/>
    <w:rsid w:val="788F1E71"/>
    <w:rsid w:val="7B413328"/>
    <w:rsid w:val="7BCD092E"/>
    <w:rsid w:val="7BD77067"/>
    <w:rsid w:val="7C45009D"/>
    <w:rsid w:val="7C902574"/>
    <w:rsid w:val="7CF356AE"/>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autoRedefine/>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autoRedefine/>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autoRedefine/>
    <w:qFormat/>
    <w:uiPriority w:val="0"/>
    <w:rPr>
      <w:b/>
      <w:bCs/>
      <w:kern w:val="2"/>
      <w:sz w:val="28"/>
      <w:szCs w:val="28"/>
    </w:rPr>
  </w:style>
  <w:style w:type="character" w:customStyle="1" w:styleId="33">
    <w:name w:val="标题 6 字符"/>
    <w:link w:val="7"/>
    <w:autoRedefine/>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autoRedefine/>
    <w:semiHidden/>
    <w:qFormat/>
    <w:uiPriority w:val="0"/>
    <w:rPr>
      <w:rFonts w:ascii="等线 Light" w:hAnsi="等线 Light" w:eastAsia="等线 Light"/>
      <w:kern w:val="2"/>
      <w:sz w:val="24"/>
      <w:szCs w:val="24"/>
    </w:rPr>
  </w:style>
  <w:style w:type="character" w:customStyle="1" w:styleId="36">
    <w:name w:val="标题 9 字符"/>
    <w:link w:val="10"/>
    <w:autoRedefine/>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autoRedefine/>
    <w:qFormat/>
    <w:uiPriority w:val="0"/>
    <w:rPr>
      <w:szCs w:val="24"/>
    </w:rPr>
  </w:style>
  <w:style w:type="character" w:customStyle="1" w:styleId="39">
    <w:name w:val="正文文本 字符"/>
    <w:link w:val="13"/>
    <w:autoRedefine/>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autoRedefine/>
    <w:qFormat/>
    <w:uiPriority w:val="0"/>
    <w:rPr>
      <w:rFonts w:ascii="Calibri" w:hAnsi="Courier New"/>
      <w:kern w:val="2"/>
      <w:sz w:val="21"/>
    </w:rPr>
  </w:style>
  <w:style w:type="character" w:customStyle="1" w:styleId="42">
    <w:name w:val="批注框文本 字符"/>
    <w:link w:val="17"/>
    <w:autoRedefine/>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1130</Words>
  <Characters>6441</Characters>
  <Lines>53</Lines>
  <Paragraphs>15</Paragraphs>
  <TotalTime>0</TotalTime>
  <ScaleCrop>false</ScaleCrop>
  <LinksUpToDate>false</LinksUpToDate>
  <CharactersWithSpaces>7556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赵杰</cp:lastModifiedBy>
  <dcterms:modified xsi:type="dcterms:W3CDTF">2024-04-26T02:27:32Z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35C2E31CFB1938E535384E65782E47D2_43</vt:lpwstr>
  </property>
</Properties>
</file>