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1A16F">
      <w:pPr>
        <w:spacing w:before="624" w:beforeLines="200" w:afterAutospacing="0" w:line="360" w:lineRule="auto"/>
        <w:jc w:val="center"/>
        <w:rPr>
          <w:rFonts w:hint="eastAsia" w:ascii="宋体" w:hAnsi="宋体"/>
          <w:b/>
          <w:sz w:val="44"/>
          <w:szCs w:val="30"/>
        </w:rPr>
      </w:pPr>
      <w:r>
        <w:rPr>
          <w:rFonts w:hint="eastAsia" w:ascii="宋体" w:hAnsi="宋体"/>
          <w:b/>
          <w:sz w:val="44"/>
          <w:szCs w:val="30"/>
        </w:rPr>
        <w:t>老年综合评估系统升级改造项目（2026年）</w:t>
      </w:r>
    </w:p>
    <w:p w14:paraId="1F36E075">
      <w:pPr>
        <w:spacing w:beforeAutospacing="0" w:after="312" w:afterLines="100" w:line="360" w:lineRule="auto"/>
        <w:jc w:val="center"/>
        <w:rPr>
          <w:rFonts w:ascii="宋体" w:hAnsi="宋体"/>
          <w:b/>
          <w:sz w:val="44"/>
          <w:szCs w:val="30"/>
        </w:rPr>
      </w:pPr>
      <w:r>
        <w:rPr>
          <w:rFonts w:hint="eastAsia" w:ascii="宋体" w:hAnsi="宋体"/>
          <w:b/>
          <w:sz w:val="44"/>
          <w:szCs w:val="30"/>
        </w:rPr>
        <w:t>需求</w:t>
      </w:r>
    </w:p>
    <w:p w14:paraId="4113284A">
      <w:pPr>
        <w:pStyle w:val="2"/>
        <w:numPr>
          <w:ilvl w:val="0"/>
          <w:numId w:val="3"/>
        </w:numPr>
        <w:spacing w:before="0" w:after="0"/>
        <w:rPr>
          <w:rFonts w:ascii="宋体" w:hAnsi="宋体"/>
          <w:sz w:val="32"/>
          <w:szCs w:val="32"/>
        </w:rPr>
      </w:pPr>
      <w:r>
        <w:rPr>
          <w:rFonts w:hint="eastAsia" w:ascii="宋体" w:hAnsi="宋体"/>
          <w:sz w:val="32"/>
          <w:szCs w:val="32"/>
        </w:rPr>
        <w:t>项目名称</w:t>
      </w:r>
    </w:p>
    <w:p w14:paraId="73B87DEB">
      <w:pPr>
        <w:spacing w:line="360" w:lineRule="auto"/>
        <w:ind w:left="432"/>
        <w:rPr>
          <w:rFonts w:hint="default" w:ascii="宋体" w:hAnsi="宋体" w:eastAsia="宋体"/>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老年综合评估系统升级改造项目（2026年）</w:t>
      </w:r>
    </w:p>
    <w:p w14:paraId="2723F81E">
      <w:pPr>
        <w:spacing w:line="360" w:lineRule="auto"/>
        <w:ind w:left="432"/>
        <w:rPr>
          <w:rFonts w:ascii="宋体" w:hAnsi="宋体"/>
          <w:sz w:val="22"/>
        </w:rPr>
      </w:pPr>
    </w:p>
    <w:p w14:paraId="4770787F">
      <w:pPr>
        <w:pStyle w:val="2"/>
        <w:numPr>
          <w:ilvl w:val="0"/>
          <w:numId w:val="3"/>
        </w:numPr>
        <w:spacing w:before="0" w:after="0"/>
        <w:rPr>
          <w:rFonts w:ascii="宋体" w:hAnsi="宋体" w:eastAsia="宋体"/>
          <w:b/>
          <w:bCs/>
          <w:vanish/>
          <w:kern w:val="44"/>
          <w:szCs w:val="21"/>
        </w:rPr>
      </w:pPr>
      <w:r>
        <w:rPr>
          <w:rFonts w:hint="eastAsia"/>
          <w:sz w:val="32"/>
          <w:szCs w:val="32"/>
          <w:lang w:val="en-US" w:eastAsia="zh-CN"/>
        </w:rPr>
        <w:t>项目内容</w:t>
      </w:r>
    </w:p>
    <w:p w14:paraId="1B2D9331"/>
    <w:p w14:paraId="439AEE2C">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cs="Times New Roman"/>
          <w:lang w:val="en-US" w:eastAsia="zh-CN"/>
        </w:rPr>
      </w:pPr>
      <w:r>
        <w:rPr>
          <w:rFonts w:hint="eastAsia" w:cs="Times New Roman"/>
          <w:lang w:val="en-US" w:eastAsia="zh-CN"/>
        </w:rPr>
        <w:t>老年综合评估系统软件面向医院门诊、住院查房、护理评估及延续照护等业务场景建设，旨在为老年患者评估工作的规范开展提供统一的信息化支撑平台。系统可服务于医院临床科室、护理单元、专职评估人员及相关医务人员，满足门诊接诊评估、住院期间综合评估、查房辅助评估、护理风险筛查与连续评估等多场景应用需求。</w:t>
      </w:r>
    </w:p>
    <w:p w14:paraId="1A84BF10">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cs="Times New Roman"/>
          <w:lang w:val="en-US" w:eastAsia="zh-CN"/>
        </w:rPr>
      </w:pPr>
      <w:r>
        <w:rPr>
          <w:rFonts w:hint="eastAsia" w:cs="Times New Roman"/>
          <w:lang w:val="en-US" w:eastAsia="zh-CN"/>
        </w:rPr>
        <w:t>本系统评估指标在业内专家指导下，依据老年医学、护理及相关专业标准规范进行设计与配置，在保证评估内容科学、规范、完整的基础上，实现评估数据录入、自动评分、结果判定、智能提示及报告生成等功能。系统既可生成面向老年患者的评估报告与指导建议，也可生成供医生、护士及相关专业人员参考的专业评估报告，为临床诊疗决策、护理干预、风险识别和健康管理提供支持。通过优化评估流程与操作方</w:t>
      </w:r>
      <w:bookmarkStart w:id="5" w:name="_GoBack"/>
      <w:bookmarkEnd w:id="5"/>
      <w:r>
        <w:rPr>
          <w:rFonts w:hint="eastAsia" w:cs="Times New Roman"/>
          <w:lang w:val="en-US" w:eastAsia="zh-CN"/>
        </w:rPr>
        <w:t>式，系统可有效提升门诊、住院及护理评估工作的规范性、连续性和工作效率。</w:t>
      </w:r>
    </w:p>
    <w:tbl>
      <w:tblPr>
        <w:tblStyle w:val="24"/>
        <w:tblW w:w="0" w:type="auto"/>
        <w:tblInd w:w="0" w:type="dxa"/>
        <w:tblLayout w:type="fixed"/>
        <w:tblCellMar>
          <w:top w:w="0" w:type="dxa"/>
          <w:left w:w="108" w:type="dxa"/>
          <w:bottom w:w="0" w:type="dxa"/>
          <w:right w:w="108" w:type="dxa"/>
        </w:tblCellMar>
      </w:tblPr>
      <w:tblGrid>
        <w:gridCol w:w="551"/>
        <w:gridCol w:w="817"/>
        <w:gridCol w:w="3022"/>
        <w:gridCol w:w="3570"/>
        <w:gridCol w:w="1157"/>
      </w:tblGrid>
      <w:tr w14:paraId="0ECE8A07">
        <w:tblPrEx>
          <w:tblCellMar>
            <w:top w:w="0" w:type="dxa"/>
            <w:left w:w="108" w:type="dxa"/>
            <w:bottom w:w="0" w:type="dxa"/>
            <w:right w:w="108" w:type="dxa"/>
          </w:tblCellMar>
        </w:tblPrEx>
        <w:trPr>
          <w:trHeight w:val="90" w:hRule="atLeast"/>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51875FEA">
            <w:pPr>
              <w:widowControl/>
              <w:spacing w:before="156"/>
              <w:ind w:firstLine="0" w:firstLineChars="0"/>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序号</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9DBAE6F">
            <w:pPr>
              <w:widowControl/>
              <w:spacing w:before="156"/>
              <w:ind w:firstLine="0" w:firstLineChars="0"/>
              <w:jc w:val="center"/>
              <w:textAlignment w:val="center"/>
              <w:rPr>
                <w:rFonts w:hint="eastAsia"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b/>
                <w:bCs/>
                <w:color w:val="000000"/>
                <w:kern w:val="0"/>
                <w:sz w:val="24"/>
                <w:szCs w:val="24"/>
                <w:lang w:bidi="ar"/>
              </w:rPr>
              <w:t>产品</w:t>
            </w:r>
          </w:p>
          <w:p w14:paraId="1FEB7646">
            <w:pPr>
              <w:widowControl/>
              <w:spacing w:before="156"/>
              <w:ind w:firstLine="0" w:firstLineChars="0"/>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类型</w:t>
            </w:r>
          </w:p>
        </w:tc>
        <w:tc>
          <w:tcPr>
            <w:tcW w:w="3022" w:type="dxa"/>
            <w:tcBorders>
              <w:top w:val="single" w:color="000000" w:sz="4" w:space="0"/>
              <w:left w:val="single" w:color="000000" w:sz="4" w:space="0"/>
              <w:bottom w:val="single" w:color="000000" w:sz="4" w:space="0"/>
              <w:right w:val="single" w:color="000000" w:sz="4" w:space="0"/>
            </w:tcBorders>
            <w:noWrap w:val="0"/>
            <w:vAlign w:val="center"/>
          </w:tcPr>
          <w:p w14:paraId="74C1C4E4">
            <w:pPr>
              <w:widowControl/>
              <w:spacing w:before="156"/>
              <w:ind w:firstLine="0" w:firstLineChars="0"/>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产品名称</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05119B61">
            <w:pPr>
              <w:widowControl/>
              <w:spacing w:before="156"/>
              <w:ind w:firstLine="0" w:firstLineChars="0"/>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lang w:bidi="ar"/>
              </w:rPr>
              <w:t>描述</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9ACE4FD">
            <w:pPr>
              <w:widowControl/>
              <w:spacing w:before="156"/>
              <w:ind w:firstLine="0" w:firstLineChars="0"/>
              <w:jc w:val="center"/>
              <w:textAlignment w:val="cente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数量</w:t>
            </w:r>
          </w:p>
        </w:tc>
      </w:tr>
      <w:tr w14:paraId="71253D8D">
        <w:tblPrEx>
          <w:tblCellMar>
            <w:top w:w="0" w:type="dxa"/>
            <w:left w:w="108" w:type="dxa"/>
            <w:bottom w:w="0" w:type="dxa"/>
            <w:right w:w="108" w:type="dxa"/>
          </w:tblCellMar>
        </w:tblPrEx>
        <w:trPr>
          <w:trHeight w:val="1097" w:hRule="atLeast"/>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3E3120F0">
            <w:pPr>
              <w:widowControl/>
              <w:spacing w:before="156"/>
              <w:ind w:firstLine="0" w:firstLineChars="0"/>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1</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57B7F">
            <w:pPr>
              <w:widowControl/>
              <w:spacing w:before="156"/>
              <w:ind w:firstLine="0" w:firstLineChars="0"/>
              <w:jc w:val="left"/>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软件服务</w:t>
            </w:r>
          </w:p>
        </w:tc>
        <w:tc>
          <w:tcPr>
            <w:tcW w:w="3022" w:type="dxa"/>
            <w:tcBorders>
              <w:top w:val="single" w:color="000000" w:sz="4" w:space="0"/>
              <w:left w:val="single" w:color="000000" w:sz="4" w:space="0"/>
              <w:bottom w:val="single" w:color="000000" w:sz="4" w:space="0"/>
              <w:right w:val="single" w:color="000000" w:sz="4" w:space="0"/>
            </w:tcBorders>
            <w:noWrap w:val="0"/>
            <w:vAlign w:val="top"/>
          </w:tcPr>
          <w:p w14:paraId="7A30D171">
            <w:pPr>
              <w:spacing w:before="156"/>
              <w:ind w:firstLine="0" w:firstLineChars="0"/>
              <w:jc w:val="left"/>
              <w:rPr>
                <w:rFonts w:hint="eastAsia" w:asciiTheme="majorEastAsia" w:hAnsiTheme="majorEastAsia" w:eastAsiaTheme="majorEastAsia" w:cstheme="majorEastAsia"/>
                <w:bCs/>
                <w:kern w:val="0"/>
                <w:sz w:val="24"/>
                <w:szCs w:val="24"/>
                <w:lang w:eastAsia="zh-CN"/>
              </w:rPr>
            </w:pPr>
            <w:r>
              <w:rPr>
                <w:rFonts w:hint="eastAsia" w:asciiTheme="majorEastAsia" w:hAnsiTheme="majorEastAsia" w:eastAsiaTheme="majorEastAsia" w:cstheme="majorEastAsia"/>
                <w:bCs/>
                <w:kern w:val="0"/>
                <w:sz w:val="24"/>
                <w:szCs w:val="24"/>
              </w:rPr>
              <w:t>老年综合评估系统维护</w:t>
            </w:r>
            <w:r>
              <w:rPr>
                <w:rFonts w:hint="eastAsia" w:asciiTheme="majorEastAsia" w:hAnsiTheme="majorEastAsia" w:eastAsiaTheme="majorEastAsia" w:cstheme="majorEastAsia"/>
                <w:bCs/>
                <w:kern w:val="0"/>
                <w:sz w:val="24"/>
                <w:szCs w:val="24"/>
                <w:lang w:eastAsia="zh-CN"/>
              </w:rPr>
              <w:t>（</w:t>
            </w:r>
            <w:r>
              <w:rPr>
                <w:rFonts w:hint="eastAsia" w:asciiTheme="majorEastAsia" w:hAnsiTheme="majorEastAsia" w:eastAsiaTheme="majorEastAsia" w:cstheme="majorEastAsia"/>
                <w:bCs/>
                <w:kern w:val="0"/>
                <w:sz w:val="24"/>
                <w:szCs w:val="24"/>
                <w:lang w:val="en-US" w:eastAsia="zh-CN"/>
              </w:rPr>
              <w:t>2026年-2027年</w:t>
            </w:r>
            <w:r>
              <w:rPr>
                <w:rFonts w:hint="eastAsia" w:asciiTheme="majorEastAsia" w:hAnsiTheme="majorEastAsia" w:eastAsiaTheme="majorEastAsia" w:cstheme="majorEastAsia"/>
                <w:bCs/>
                <w:kern w:val="0"/>
                <w:sz w:val="24"/>
                <w:szCs w:val="24"/>
                <w:lang w:eastAsia="zh-CN"/>
              </w:rPr>
              <w:t>）</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099F1C91">
            <w:pPr>
              <w:spacing w:before="156"/>
              <w:ind w:firstLine="0" w:firstLineChars="0"/>
              <w:jc w:val="left"/>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lang w:val="en-US" w:eastAsia="zh-CN"/>
              </w:rPr>
              <w:t>详见“三.详细配置参数”</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FF71364">
            <w:pPr>
              <w:spacing w:before="156"/>
              <w:ind w:firstLine="0" w:firstLineChars="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1年</w:t>
            </w:r>
          </w:p>
        </w:tc>
      </w:tr>
      <w:tr w14:paraId="6DDDDA41">
        <w:tblPrEx>
          <w:tblCellMar>
            <w:top w:w="0" w:type="dxa"/>
            <w:left w:w="108" w:type="dxa"/>
            <w:bottom w:w="0" w:type="dxa"/>
            <w:right w:w="108" w:type="dxa"/>
          </w:tblCellMar>
        </w:tblPrEx>
        <w:trPr>
          <w:trHeight w:val="759" w:hRule="atLeast"/>
        </w:trPr>
        <w:tc>
          <w:tcPr>
            <w:tcW w:w="551" w:type="dxa"/>
            <w:tcBorders>
              <w:top w:val="single" w:color="000000" w:sz="4" w:space="0"/>
              <w:left w:val="single" w:color="000000" w:sz="4" w:space="0"/>
              <w:bottom w:val="single" w:color="000000" w:sz="4" w:space="0"/>
              <w:right w:val="single" w:color="000000" w:sz="4" w:space="0"/>
            </w:tcBorders>
            <w:noWrap w:val="0"/>
            <w:vAlign w:val="center"/>
          </w:tcPr>
          <w:p w14:paraId="7C03CF89">
            <w:pPr>
              <w:widowControl/>
              <w:spacing w:before="156"/>
              <w:ind w:firstLine="0" w:firstLineChars="0"/>
              <w:textAlignment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lang w:bidi="ar"/>
              </w:rPr>
              <w:t>2</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0E424">
            <w:pPr>
              <w:spacing w:before="156"/>
              <w:ind w:firstLine="480"/>
              <w:jc w:val="center"/>
              <w:rPr>
                <w:rFonts w:hint="eastAsia" w:asciiTheme="majorEastAsia" w:hAnsiTheme="majorEastAsia" w:eastAsiaTheme="majorEastAsia" w:cstheme="majorEastAsia"/>
                <w:color w:val="000000"/>
                <w:sz w:val="24"/>
                <w:szCs w:val="24"/>
              </w:rPr>
            </w:pP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45C04D1">
            <w:pPr>
              <w:spacing w:before="156"/>
              <w:ind w:firstLine="0" w:firstLineChar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bCs/>
                <w:kern w:val="0"/>
                <w:sz w:val="24"/>
                <w:szCs w:val="24"/>
              </w:rPr>
              <w:t>开发定制功能</w:t>
            </w:r>
          </w:p>
        </w:tc>
        <w:tc>
          <w:tcPr>
            <w:tcW w:w="35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2231A">
            <w:pPr>
              <w:spacing w:before="156"/>
              <w:ind w:firstLine="0" w:firstLineChars="0"/>
              <w:jc w:val="left"/>
              <w:rPr>
                <w:rFonts w:hint="eastAsia" w:asciiTheme="majorEastAsia" w:hAnsiTheme="majorEastAsia" w:eastAsiaTheme="majorEastAsia" w:cstheme="majorEastAsia"/>
                <w:bCs/>
                <w:kern w:val="0"/>
                <w:sz w:val="24"/>
                <w:szCs w:val="24"/>
                <w:lang w:val="en-US" w:eastAsia="zh-CN"/>
              </w:rPr>
            </w:pPr>
            <w:r>
              <w:rPr>
                <w:rFonts w:hint="eastAsia" w:asciiTheme="majorEastAsia" w:hAnsiTheme="majorEastAsia" w:eastAsiaTheme="majorEastAsia" w:cstheme="majorEastAsia"/>
                <w:bCs/>
                <w:kern w:val="0"/>
                <w:sz w:val="24"/>
                <w:szCs w:val="24"/>
                <w:lang w:val="en-US" w:eastAsia="zh-CN"/>
              </w:rPr>
              <w:t>详见“三.详细配置参数”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B788E">
            <w:pPr>
              <w:spacing w:before="156"/>
              <w:ind w:firstLine="0" w:firstLineChars="0"/>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1套</w:t>
            </w:r>
          </w:p>
        </w:tc>
      </w:tr>
    </w:tbl>
    <w:p w14:paraId="566D100A">
      <w:pPr>
        <w:rPr>
          <w:lang w:val="zh-CN"/>
        </w:rPr>
      </w:pPr>
    </w:p>
    <w:p w14:paraId="13C86D4E">
      <w:pPr>
        <w:pStyle w:val="2"/>
        <w:numPr>
          <w:ilvl w:val="0"/>
          <w:numId w:val="3"/>
        </w:numPr>
        <w:spacing w:before="0" w:after="0"/>
        <w:rPr>
          <w:rFonts w:ascii="宋体" w:hAnsi="宋体"/>
          <w:sz w:val="32"/>
          <w:szCs w:val="32"/>
        </w:rPr>
      </w:pPr>
      <w:r>
        <w:rPr>
          <w:rFonts w:hint="eastAsia" w:ascii="宋体" w:hAnsi="宋体"/>
          <w:sz w:val="32"/>
          <w:szCs w:val="32"/>
        </w:rPr>
        <w:t>详细配置参数</w:t>
      </w:r>
      <w:bookmarkStart w:id="0" w:name="_6.1.1、大数据服务器"/>
      <w:bookmarkEnd w:id="0"/>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8204"/>
      </w:tblGrid>
      <w:tr w14:paraId="1F47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shd w:val="clear" w:color="auto" w:fill="auto"/>
            <w:noWrap w:val="0"/>
            <w:vAlign w:val="center"/>
          </w:tcPr>
          <w:p w14:paraId="3CF878B9">
            <w:pPr>
              <w:spacing w:before="156"/>
              <w:ind w:firstLine="0" w:firstLineChars="0"/>
              <w:jc w:val="center"/>
              <w:rPr>
                <w:rFonts w:ascii="宋体" w:hAnsi="宋体"/>
                <w:b/>
                <w:sz w:val="28"/>
                <w:szCs w:val="24"/>
              </w:rPr>
            </w:pPr>
            <w:bookmarkStart w:id="1" w:name="OLE_LINK9"/>
            <w:r>
              <w:rPr>
                <w:rFonts w:hint="eastAsia" w:ascii="宋体" w:hAnsi="宋体"/>
                <w:b/>
                <w:sz w:val="28"/>
                <w:szCs w:val="24"/>
              </w:rPr>
              <w:t>模块</w:t>
            </w:r>
          </w:p>
        </w:tc>
        <w:tc>
          <w:tcPr>
            <w:tcW w:w="8204" w:type="dxa"/>
            <w:shd w:val="clear" w:color="auto" w:fill="auto"/>
            <w:noWrap w:val="0"/>
            <w:vAlign w:val="center"/>
          </w:tcPr>
          <w:p w14:paraId="3A783456">
            <w:pPr>
              <w:spacing w:before="156"/>
              <w:ind w:firstLine="562"/>
              <w:jc w:val="center"/>
              <w:rPr>
                <w:rFonts w:ascii="宋体" w:hAnsi="宋体"/>
                <w:b/>
                <w:sz w:val="28"/>
                <w:szCs w:val="24"/>
              </w:rPr>
            </w:pPr>
            <w:r>
              <w:rPr>
                <w:rFonts w:hint="eastAsia" w:ascii="宋体" w:hAnsi="宋体"/>
                <w:b/>
                <w:sz w:val="28"/>
                <w:szCs w:val="24"/>
              </w:rPr>
              <w:t>功能需求</w:t>
            </w:r>
          </w:p>
        </w:tc>
      </w:tr>
      <w:tr w14:paraId="00DB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restart"/>
            <w:shd w:val="clear" w:color="auto" w:fill="auto"/>
            <w:noWrap w:val="0"/>
            <w:vAlign w:val="center"/>
          </w:tcPr>
          <w:p w14:paraId="3B7F9A59">
            <w:pPr>
              <w:spacing w:before="156"/>
              <w:ind w:firstLine="0" w:firstLineChars="0"/>
              <w:rPr>
                <w:rFonts w:ascii="宋体" w:hAnsi="宋体"/>
                <w:sz w:val="24"/>
                <w:szCs w:val="24"/>
              </w:rPr>
            </w:pPr>
            <w:r>
              <w:rPr>
                <w:rFonts w:hint="eastAsia" w:ascii="宋体" w:hAnsi="宋体"/>
                <w:sz w:val="24"/>
                <w:szCs w:val="24"/>
              </w:rPr>
              <w:t>1.老年综合评估系统维护（2026年-2027年）</w:t>
            </w:r>
          </w:p>
        </w:tc>
        <w:tc>
          <w:tcPr>
            <w:tcW w:w="8204" w:type="dxa"/>
            <w:shd w:val="clear" w:color="auto" w:fill="auto"/>
            <w:noWrap w:val="0"/>
            <w:vAlign w:val="center"/>
          </w:tcPr>
          <w:p w14:paraId="72F5112A">
            <w:pPr>
              <w:spacing w:before="156"/>
              <w:ind w:firstLine="0" w:firstLineChars="0"/>
              <w:rPr>
                <w:rFonts w:hint="default" w:ascii="宋体" w:hAnsi="宋体" w:eastAsia="宋体"/>
                <w:bCs/>
                <w:sz w:val="24"/>
                <w:szCs w:val="24"/>
                <w:lang w:val="en-US" w:eastAsia="zh-CN"/>
              </w:rPr>
            </w:pPr>
            <w:r>
              <w:rPr>
                <w:rFonts w:hint="eastAsia" w:ascii="宋体" w:hAnsi="宋体"/>
                <w:bCs/>
                <w:sz w:val="24"/>
                <w:szCs w:val="24"/>
              </w:rPr>
              <w:t>1.1</w:t>
            </w:r>
            <w:r>
              <w:rPr>
                <w:rFonts w:hint="eastAsia" w:ascii="宋体" w:hAnsi="宋体"/>
                <w:bCs/>
                <w:sz w:val="24"/>
                <w:szCs w:val="24"/>
                <w:lang w:val="en-US" w:eastAsia="zh-CN"/>
              </w:rPr>
              <w:t xml:space="preserve"> </w:t>
            </w:r>
            <w:r>
              <w:rPr>
                <w:rFonts w:hint="eastAsia"/>
                <w:bCs/>
                <w:sz w:val="24"/>
                <w:szCs w:val="24"/>
                <w:lang w:val="en-US" w:eastAsia="zh-CN"/>
              </w:rPr>
              <w:t>续保</w:t>
            </w:r>
            <w:r>
              <w:rPr>
                <w:rFonts w:hint="eastAsia" w:ascii="宋体" w:hAnsi="宋体"/>
                <w:bCs/>
                <w:sz w:val="24"/>
                <w:szCs w:val="24"/>
                <w:lang w:val="en-US" w:eastAsia="zh-CN"/>
              </w:rPr>
              <w:t>时间：2026年12月26日至2027年12月26日</w:t>
            </w:r>
          </w:p>
        </w:tc>
      </w:tr>
      <w:tr w14:paraId="419F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shd w:val="clear" w:color="auto" w:fill="auto"/>
            <w:noWrap w:val="0"/>
            <w:vAlign w:val="center"/>
          </w:tcPr>
          <w:p w14:paraId="7997F2F7">
            <w:pPr>
              <w:spacing w:before="156"/>
              <w:ind w:firstLine="0" w:firstLineChars="0"/>
              <w:rPr>
                <w:rFonts w:hint="eastAsia" w:ascii="宋体" w:hAnsi="宋体"/>
                <w:sz w:val="24"/>
                <w:szCs w:val="24"/>
              </w:rPr>
            </w:pPr>
          </w:p>
        </w:tc>
        <w:tc>
          <w:tcPr>
            <w:tcW w:w="8204" w:type="dxa"/>
            <w:shd w:val="clear" w:color="auto" w:fill="auto"/>
            <w:noWrap w:val="0"/>
            <w:vAlign w:val="center"/>
          </w:tcPr>
          <w:p w14:paraId="68667F4C">
            <w:pPr>
              <w:spacing w:before="156"/>
              <w:ind w:firstLine="0" w:firstLineChars="0"/>
              <w:rPr>
                <w:rFonts w:hint="eastAsia" w:ascii="宋体" w:hAnsi="宋体"/>
                <w:bCs/>
                <w:sz w:val="24"/>
                <w:szCs w:val="24"/>
              </w:rPr>
            </w:pPr>
            <w:r>
              <w:rPr>
                <w:rFonts w:hint="eastAsia" w:ascii="宋体" w:hAnsi="宋体"/>
                <w:sz w:val="24"/>
                <w:szCs w:val="24"/>
              </w:rPr>
              <w:t>1.2</w:t>
            </w:r>
            <w:r>
              <w:rPr>
                <w:rFonts w:hint="eastAsia" w:ascii="宋体" w:hAnsi="宋体"/>
                <w:bCs/>
                <w:sz w:val="24"/>
                <w:szCs w:val="24"/>
              </w:rPr>
              <w:t>微信群中关于系统使用过程中的</w:t>
            </w:r>
            <w:r>
              <w:rPr>
                <w:rFonts w:hint="eastAsia"/>
                <w:bCs/>
                <w:sz w:val="24"/>
                <w:szCs w:val="24"/>
                <w:lang w:val="en-US" w:eastAsia="zh-CN"/>
              </w:rPr>
              <w:t>功能缺陷修复、</w:t>
            </w:r>
            <w:r>
              <w:rPr>
                <w:rFonts w:hint="eastAsia" w:ascii="宋体" w:hAnsi="宋体"/>
                <w:bCs/>
                <w:sz w:val="24"/>
                <w:szCs w:val="24"/>
              </w:rPr>
              <w:t>使用答疑、异常数据清洗和恢复的工作。</w:t>
            </w:r>
          </w:p>
        </w:tc>
      </w:tr>
      <w:tr w14:paraId="474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shd w:val="clear" w:color="auto" w:fill="auto"/>
            <w:noWrap w:val="0"/>
            <w:vAlign w:val="center"/>
          </w:tcPr>
          <w:p w14:paraId="4B56F21B">
            <w:pPr>
              <w:spacing w:before="156"/>
              <w:ind w:firstLine="480"/>
              <w:rPr>
                <w:rFonts w:ascii="宋体" w:hAnsi="宋体"/>
                <w:sz w:val="24"/>
                <w:szCs w:val="24"/>
              </w:rPr>
            </w:pPr>
          </w:p>
        </w:tc>
        <w:tc>
          <w:tcPr>
            <w:tcW w:w="8204" w:type="dxa"/>
            <w:shd w:val="clear" w:color="auto" w:fill="auto"/>
            <w:noWrap w:val="0"/>
            <w:vAlign w:val="center"/>
          </w:tcPr>
          <w:p w14:paraId="41FE8F26">
            <w:pPr>
              <w:spacing w:before="156"/>
              <w:ind w:firstLine="0" w:firstLineChars="0"/>
              <w:rPr>
                <w:rFonts w:ascii="宋体" w:hAnsi="宋体"/>
                <w:sz w:val="24"/>
                <w:szCs w:val="24"/>
              </w:rPr>
            </w:pPr>
            <w:r>
              <w:rPr>
                <w:rFonts w:hint="eastAsia" w:ascii="宋体" w:hAnsi="宋体"/>
                <w:bCs/>
                <w:sz w:val="24"/>
                <w:szCs w:val="24"/>
              </w:rPr>
              <w:t>1.3</w:t>
            </w:r>
            <w:r>
              <w:rPr>
                <w:rFonts w:hint="eastAsia" w:ascii="宋体" w:hAnsi="宋体"/>
                <w:sz w:val="24"/>
                <w:szCs w:val="24"/>
              </w:rPr>
              <w:t>提供7*24小时技术支持（含节假日），如遇系统故障，2小时内电话响应，4小时排除故障，保证医院工作的正常运行。</w:t>
            </w:r>
          </w:p>
        </w:tc>
      </w:tr>
      <w:tr w14:paraId="2D6D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shd w:val="clear" w:color="auto" w:fill="auto"/>
            <w:noWrap w:val="0"/>
            <w:vAlign w:val="center"/>
          </w:tcPr>
          <w:p w14:paraId="0998C958">
            <w:pPr>
              <w:spacing w:before="156"/>
              <w:ind w:firstLine="480"/>
              <w:rPr>
                <w:rFonts w:ascii="宋体" w:hAnsi="宋体"/>
                <w:bCs/>
                <w:sz w:val="24"/>
                <w:szCs w:val="24"/>
              </w:rPr>
            </w:pPr>
          </w:p>
        </w:tc>
        <w:tc>
          <w:tcPr>
            <w:tcW w:w="8204" w:type="dxa"/>
            <w:shd w:val="clear" w:color="auto" w:fill="auto"/>
            <w:noWrap w:val="0"/>
            <w:vAlign w:val="center"/>
          </w:tcPr>
          <w:p w14:paraId="71181A0E">
            <w:pPr>
              <w:spacing w:before="156"/>
              <w:ind w:firstLine="0" w:firstLineChars="0"/>
              <w:rPr>
                <w:rFonts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4</w:t>
            </w:r>
            <w:r>
              <w:rPr>
                <w:rFonts w:hint="eastAsia" w:ascii="宋体" w:hAnsi="宋体"/>
                <w:bCs/>
                <w:sz w:val="24"/>
                <w:szCs w:val="24"/>
              </w:rPr>
              <w:t>系统日常技术维护。包括但不限于日常监控、健康检查、数据备份、服务器重启等工作。</w:t>
            </w:r>
          </w:p>
        </w:tc>
      </w:tr>
      <w:tr w14:paraId="291E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shd w:val="clear" w:color="auto" w:fill="auto"/>
            <w:noWrap w:val="0"/>
            <w:vAlign w:val="center"/>
          </w:tcPr>
          <w:p w14:paraId="56B8643D">
            <w:pPr>
              <w:spacing w:before="156"/>
              <w:ind w:firstLine="480"/>
              <w:rPr>
                <w:rFonts w:ascii="宋体" w:hAnsi="宋体"/>
                <w:bCs/>
                <w:sz w:val="24"/>
                <w:szCs w:val="24"/>
              </w:rPr>
            </w:pPr>
          </w:p>
        </w:tc>
        <w:tc>
          <w:tcPr>
            <w:tcW w:w="8204" w:type="dxa"/>
            <w:shd w:val="clear" w:color="auto" w:fill="auto"/>
            <w:noWrap w:val="0"/>
            <w:vAlign w:val="center"/>
          </w:tcPr>
          <w:p w14:paraId="75A2349F">
            <w:pPr>
              <w:spacing w:before="156"/>
              <w:ind w:firstLine="0" w:firstLineChars="0"/>
              <w:rPr>
                <w:rFonts w:ascii="宋体" w:hAnsi="宋体"/>
                <w:bCs/>
                <w:sz w:val="24"/>
                <w:szCs w:val="24"/>
              </w:rPr>
            </w:pPr>
            <w:r>
              <w:rPr>
                <w:rFonts w:hint="eastAsia" w:ascii="宋体" w:hAnsi="宋体"/>
                <w:bCs/>
                <w:sz w:val="24"/>
                <w:szCs w:val="24"/>
              </w:rPr>
              <w:t>1.</w:t>
            </w:r>
            <w:r>
              <w:rPr>
                <w:rFonts w:hint="eastAsia" w:ascii="宋体" w:hAnsi="宋体"/>
                <w:bCs/>
                <w:sz w:val="24"/>
                <w:szCs w:val="24"/>
                <w:lang w:val="en-US" w:eastAsia="zh-CN"/>
              </w:rPr>
              <w:t>5</w:t>
            </w:r>
            <w:r>
              <w:rPr>
                <w:rFonts w:hint="eastAsia" w:ascii="宋体" w:hAnsi="宋体"/>
                <w:bCs/>
                <w:sz w:val="24"/>
                <w:szCs w:val="24"/>
              </w:rPr>
              <w:t>宕机和紧急故障救援：在系统运行过程中，发生宕机或系统故障时：上报、紧急处理、事后分析等紧急处理流程。</w:t>
            </w:r>
          </w:p>
        </w:tc>
      </w:tr>
      <w:tr w14:paraId="3C12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shd w:val="clear" w:color="auto" w:fill="auto"/>
            <w:noWrap w:val="0"/>
            <w:vAlign w:val="center"/>
          </w:tcPr>
          <w:p w14:paraId="45361710">
            <w:pPr>
              <w:spacing w:before="156"/>
              <w:ind w:firstLine="480"/>
              <w:rPr>
                <w:rFonts w:ascii="宋体" w:hAnsi="宋体"/>
                <w:bCs/>
                <w:sz w:val="24"/>
                <w:szCs w:val="24"/>
              </w:rPr>
            </w:pPr>
          </w:p>
        </w:tc>
        <w:tc>
          <w:tcPr>
            <w:tcW w:w="8204" w:type="dxa"/>
            <w:shd w:val="clear" w:color="auto" w:fill="auto"/>
            <w:noWrap w:val="0"/>
            <w:vAlign w:val="center"/>
          </w:tcPr>
          <w:p w14:paraId="249E8D21">
            <w:pPr>
              <w:spacing w:before="156"/>
              <w:ind w:firstLine="0" w:firstLineChars="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系统BUG修改及</w:t>
            </w:r>
            <w:r>
              <w:rPr>
                <w:rFonts w:hint="eastAsia" w:ascii="宋体" w:hAnsi="宋体"/>
                <w:sz w:val="24"/>
                <w:szCs w:val="24"/>
                <w:lang w:val="en-US" w:eastAsia="zh-CN"/>
              </w:rPr>
              <w:t>安全</w:t>
            </w:r>
            <w:r>
              <w:rPr>
                <w:rFonts w:hint="eastAsia" w:ascii="宋体" w:hAnsi="宋体"/>
                <w:sz w:val="24"/>
                <w:szCs w:val="24"/>
              </w:rPr>
              <w:t>漏洞修复。</w:t>
            </w:r>
          </w:p>
        </w:tc>
      </w:tr>
      <w:tr w14:paraId="718B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restart"/>
            <w:shd w:val="clear" w:color="auto" w:fill="auto"/>
            <w:noWrap w:val="0"/>
            <w:vAlign w:val="center"/>
          </w:tcPr>
          <w:p w14:paraId="131E4B68">
            <w:pPr>
              <w:spacing w:before="156"/>
              <w:ind w:firstLine="0" w:firstLineChars="0"/>
              <w:rPr>
                <w:rFonts w:ascii="宋体" w:hAnsi="宋体"/>
                <w:bCs/>
                <w:sz w:val="24"/>
                <w:szCs w:val="24"/>
              </w:rPr>
            </w:pPr>
            <w:r>
              <w:rPr>
                <w:rFonts w:hint="eastAsia" w:ascii="宋体" w:hAnsi="宋体"/>
                <w:sz w:val="24"/>
                <w:szCs w:val="24"/>
                <w:lang w:val="en-US" w:eastAsia="zh-CN"/>
              </w:rPr>
              <w:t>2</w:t>
            </w:r>
            <w:r>
              <w:rPr>
                <w:rFonts w:hint="eastAsia" w:ascii="宋体" w:hAnsi="宋体"/>
                <w:sz w:val="24"/>
                <w:szCs w:val="24"/>
              </w:rPr>
              <w:t>.开发定制化功能</w:t>
            </w:r>
          </w:p>
        </w:tc>
        <w:tc>
          <w:tcPr>
            <w:tcW w:w="8204" w:type="dxa"/>
            <w:shd w:val="clear" w:color="auto" w:fill="auto"/>
            <w:noWrap w:val="0"/>
            <w:vAlign w:val="center"/>
          </w:tcPr>
          <w:p w14:paraId="353984F4">
            <w:pPr>
              <w:spacing w:before="156"/>
              <w:ind w:firstLine="0" w:firstLineChars="0"/>
              <w:rPr>
                <w:rFonts w:hint="default" w:ascii="宋体" w:hAnsi="宋体" w:eastAsia="宋体"/>
                <w:sz w:val="24"/>
                <w:szCs w:val="24"/>
                <w:lang w:val="en-US" w:eastAsia="zh-CN"/>
              </w:rPr>
            </w:pPr>
            <w:r>
              <w:rPr>
                <w:rFonts w:hint="eastAsia" w:ascii="宋体" w:hAnsi="宋体"/>
                <w:sz w:val="24"/>
                <w:szCs w:val="24"/>
                <w:lang w:val="en-US" w:eastAsia="zh-CN"/>
              </w:rPr>
              <w:t>2</w:t>
            </w:r>
            <w:r>
              <w:rPr>
                <w:rFonts w:hint="eastAsia" w:ascii="宋体" w:hAnsi="宋体"/>
                <w:sz w:val="24"/>
                <w:szCs w:val="24"/>
              </w:rPr>
              <w:t>.1对接</w:t>
            </w:r>
            <w:r>
              <w:rPr>
                <w:rFonts w:hint="eastAsia" w:ascii="宋体" w:hAnsi="宋体"/>
                <w:sz w:val="24"/>
                <w:szCs w:val="24"/>
                <w:lang w:val="en-US" w:eastAsia="zh-CN"/>
              </w:rPr>
              <w:t>医院集成平台</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5"/>
              <w:gridCol w:w="2876"/>
              <w:gridCol w:w="3587"/>
            </w:tblGrid>
            <w:tr w14:paraId="2D141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5" w:type="dxa"/>
                  <w:shd w:val="clear" w:color="auto" w:fill="auto"/>
                  <w:noWrap w:val="0"/>
                  <w:vAlign w:val="top"/>
                </w:tcPr>
                <w:p w14:paraId="61951AA8">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sz w:val="24"/>
                      <w:szCs w:val="24"/>
                    </w:rPr>
                  </w:pPr>
                  <w:r>
                    <w:rPr>
                      <w:rFonts w:ascii="宋体" w:hAnsi="宋体"/>
                      <w:sz w:val="24"/>
                      <w:szCs w:val="24"/>
                    </w:rPr>
                    <w:t>工作项</w:t>
                  </w:r>
                </w:p>
              </w:tc>
              <w:tc>
                <w:tcPr>
                  <w:tcW w:w="2876" w:type="dxa"/>
                  <w:shd w:val="clear" w:color="auto" w:fill="auto"/>
                  <w:noWrap w:val="0"/>
                  <w:vAlign w:val="top"/>
                </w:tcPr>
                <w:p w14:paraId="402EB902">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原有功能描述</w:t>
                  </w:r>
                </w:p>
              </w:tc>
              <w:tc>
                <w:tcPr>
                  <w:tcW w:w="3587" w:type="dxa"/>
                  <w:shd w:val="clear" w:color="auto" w:fill="auto"/>
                  <w:noWrap w:val="0"/>
                  <w:vAlign w:val="top"/>
                </w:tcPr>
                <w:p w14:paraId="7E5A4142">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hAnsi="宋体"/>
                      <w:sz w:val="24"/>
                      <w:szCs w:val="24"/>
                    </w:rPr>
                  </w:pPr>
                  <w:r>
                    <w:rPr>
                      <w:rFonts w:ascii="宋体" w:hAnsi="宋体"/>
                      <w:sz w:val="24"/>
                      <w:szCs w:val="24"/>
                    </w:rPr>
                    <w:t>功能描述</w:t>
                  </w:r>
                </w:p>
              </w:tc>
            </w:tr>
            <w:tr w14:paraId="654C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5" w:type="dxa"/>
                  <w:shd w:val="clear" w:color="auto" w:fill="auto"/>
                  <w:noWrap w:val="0"/>
                  <w:vAlign w:val="center"/>
                </w:tcPr>
                <w:p w14:paraId="2E04709F">
                  <w:pPr>
                    <w:jc w:val="center"/>
                    <w:rPr>
                      <w:rFonts w:ascii="宋体" w:hAnsi="宋体"/>
                      <w:sz w:val="24"/>
                      <w:szCs w:val="24"/>
                    </w:rPr>
                  </w:pPr>
                  <w:r>
                    <w:rPr>
                      <w:rFonts w:hint="eastAsia" w:asciiTheme="minorEastAsia" w:hAnsiTheme="minorEastAsia" w:eastAsiaTheme="minorEastAsia" w:cstheme="minorEastAsia"/>
                      <w:sz w:val="24"/>
                      <w:szCs w:val="24"/>
                      <w:lang w:val="en-US" w:eastAsia="zh-CN"/>
                    </w:rPr>
                    <w:t>获取评估对象基础信息</w:t>
                  </w:r>
                </w:p>
              </w:tc>
              <w:tc>
                <w:tcPr>
                  <w:tcW w:w="2876" w:type="dxa"/>
                  <w:shd w:val="clear" w:color="auto" w:fill="auto"/>
                  <w:noWrap w:val="0"/>
                  <w:vAlign w:val="top"/>
                </w:tcPr>
                <w:p w14:paraId="239F77A2">
                  <w:pPr>
                    <w:spacing w:before="156"/>
                    <w:ind w:firstLine="0" w:firstLineChars="0"/>
                    <w:rPr>
                      <w:rFonts w:ascii="宋体" w:hAnsi="宋体"/>
                      <w:sz w:val="24"/>
                      <w:szCs w:val="24"/>
                    </w:rPr>
                  </w:pPr>
                  <w:r>
                    <w:rPr>
                      <w:rFonts w:hint="eastAsia" w:asciiTheme="minorEastAsia" w:hAnsiTheme="minorEastAsia" w:eastAsiaTheme="minorEastAsia" w:cstheme="minorEastAsia"/>
                      <w:sz w:val="24"/>
                      <w:szCs w:val="24"/>
                      <w:lang w:val="en-US" w:eastAsia="zh-CN"/>
                    </w:rPr>
                    <w:t>评估员输入“评估对象</w:t>
                  </w:r>
                  <w:r>
                    <w:rPr>
                      <w:rFonts w:hint="default" w:asciiTheme="minorEastAsia" w:hAnsiTheme="minorEastAsia" w:eastAsiaTheme="minorEastAsia" w:cstheme="minorEastAsia"/>
                      <w:sz w:val="24"/>
                      <w:szCs w:val="24"/>
                      <w:lang w:val="en-US" w:eastAsia="zh-CN"/>
                    </w:rPr>
                    <w:t>住院号/</w:t>
                  </w:r>
                  <w:r>
                    <w:rPr>
                      <w:rFonts w:hint="eastAsia" w:asciiTheme="minorEastAsia" w:hAnsiTheme="minorEastAsia" w:eastAsiaTheme="minorEastAsia" w:cstheme="minorEastAsia"/>
                      <w:sz w:val="24"/>
                      <w:szCs w:val="24"/>
                      <w:lang w:val="en-US" w:eastAsia="zh-CN"/>
                    </w:rPr>
                    <w:t>门诊号”后，评估端与HIS系统对接，如HIS系统中存在该评估对象信息则自动获取并进入有评估对象基础信息的界面，评估员根据实际情况修改/补充评估对象的基础信息，确认后进入下一环节。</w:t>
                  </w:r>
                </w:p>
              </w:tc>
              <w:tc>
                <w:tcPr>
                  <w:tcW w:w="3587" w:type="dxa"/>
                  <w:vMerge w:val="restart"/>
                  <w:shd w:val="clear" w:color="auto" w:fill="auto"/>
                  <w:noWrap w:val="0"/>
                  <w:vAlign w:val="top"/>
                </w:tcPr>
                <w:p w14:paraId="11BAB133">
                  <w:pPr>
                    <w:spacing w:before="156"/>
                    <w:ind w:firstLine="0" w:firstLineChars="0"/>
                    <w:rPr>
                      <w:rFonts w:ascii="宋体" w:hAnsi="宋体"/>
                      <w:sz w:val="24"/>
                      <w:szCs w:val="24"/>
                    </w:rPr>
                  </w:pPr>
                  <w:r>
                    <w:rPr>
                      <w:rFonts w:hint="eastAsia" w:asciiTheme="minorEastAsia" w:hAnsiTheme="minorEastAsia" w:eastAsiaTheme="minorEastAsia" w:cstheme="minorEastAsia"/>
                      <w:sz w:val="24"/>
                      <w:szCs w:val="24"/>
                      <w:lang w:val="en-US" w:eastAsia="zh-CN"/>
                    </w:rPr>
                    <w:t>针对医院现非直接与HIS系统进行对接，需通过对接</w:t>
                  </w:r>
                  <w:r>
                    <w:rPr>
                      <w:rFonts w:hint="eastAsia" w:cs="宋体"/>
                      <w:kern w:val="0"/>
                      <w:sz w:val="24"/>
                      <w:szCs w:val="24"/>
                      <w:lang w:val="en-US" w:eastAsia="zh-CN" w:bidi="ar"/>
                    </w:rPr>
                    <w:t>医院</w:t>
                  </w:r>
                  <w:r>
                    <w:rPr>
                      <w:rFonts w:hint="eastAsia" w:asciiTheme="minorEastAsia" w:hAnsiTheme="minorEastAsia" w:eastAsiaTheme="minorEastAsia" w:cstheme="minorEastAsia"/>
                      <w:sz w:val="24"/>
                      <w:szCs w:val="24"/>
                      <w:lang w:val="en-US" w:eastAsia="zh-CN"/>
                    </w:rPr>
                    <w:t>集成平台，目前存在评估前患者数据拉取不完善等问题，</w:t>
                  </w:r>
                  <w:r>
                    <w:rPr>
                      <w:rFonts w:hint="eastAsia" w:ascii="宋体" w:hAnsi="宋体" w:eastAsia="宋体" w:cs="宋体"/>
                      <w:kern w:val="0"/>
                      <w:sz w:val="24"/>
                      <w:szCs w:val="24"/>
                      <w:lang w:val="en-US" w:eastAsia="zh-CN" w:bidi="ar"/>
                    </w:rPr>
                    <w:t>通过</w:t>
                  </w:r>
                  <w:r>
                    <w:rPr>
                      <w:rFonts w:hint="eastAsia" w:cs="宋体"/>
                      <w:kern w:val="0"/>
                      <w:sz w:val="24"/>
                      <w:szCs w:val="24"/>
                      <w:lang w:val="en-US" w:eastAsia="zh-CN" w:bidi="ar"/>
                    </w:rPr>
                    <w:t>统一对功能升级改造</w:t>
                  </w:r>
                  <w:r>
                    <w:rPr>
                      <w:rFonts w:hint="eastAsia" w:ascii="宋体" w:hAnsi="宋体" w:eastAsia="宋体" w:cs="宋体"/>
                      <w:kern w:val="0"/>
                      <w:sz w:val="24"/>
                      <w:szCs w:val="24"/>
                      <w:lang w:val="en-US" w:eastAsia="zh-CN" w:bidi="ar"/>
                    </w:rPr>
                    <w:t>，迁移调用</w:t>
                  </w:r>
                  <w:r>
                    <w:rPr>
                      <w:rFonts w:hint="eastAsia" w:cs="宋体"/>
                      <w:kern w:val="0"/>
                      <w:sz w:val="24"/>
                      <w:szCs w:val="24"/>
                      <w:lang w:val="en-US" w:eastAsia="zh-CN" w:bidi="ar"/>
                    </w:rPr>
                    <w:t>集成平台新的</w:t>
                  </w:r>
                  <w:r>
                    <w:rPr>
                      <w:rFonts w:hint="eastAsia" w:ascii="宋体" w:hAnsi="宋体" w:eastAsia="宋体" w:cs="宋体"/>
                      <w:kern w:val="0"/>
                      <w:sz w:val="24"/>
                      <w:szCs w:val="24"/>
                      <w:lang w:val="en-US" w:eastAsia="zh-CN" w:bidi="ar"/>
                    </w:rPr>
                    <w:t>API</w:t>
                  </w:r>
                  <w:r>
                    <w:rPr>
                      <w:rFonts w:ascii="宋体" w:hAnsi="宋体" w:eastAsia="宋体" w:cs="宋体"/>
                      <w:kern w:val="0"/>
                      <w:sz w:val="24"/>
                      <w:szCs w:val="24"/>
                      <w:lang w:val="en-US" w:eastAsia="zh-CN" w:bidi="ar"/>
                    </w:rPr>
                    <w:t>接口</w:t>
                  </w:r>
                  <w:r>
                    <w:rPr>
                      <w:rFonts w:hint="eastAsia" w:cs="宋体"/>
                      <w:kern w:val="0"/>
                      <w:sz w:val="24"/>
                      <w:szCs w:val="24"/>
                      <w:lang w:val="en-US" w:eastAsia="zh-CN" w:bidi="ar"/>
                    </w:rPr>
                    <w:t>，</w:t>
                  </w:r>
                  <w:r>
                    <w:rPr>
                      <w:rFonts w:hint="eastAsia" w:asciiTheme="minorEastAsia" w:hAnsiTheme="minorEastAsia" w:eastAsiaTheme="minorEastAsia" w:cstheme="minorEastAsia"/>
                      <w:sz w:val="24"/>
                      <w:szCs w:val="24"/>
                      <w:lang w:val="en-US" w:eastAsia="zh-CN"/>
                    </w:rPr>
                    <w:t>完成评估系统与集成平台接口对接，拉取评估所需要的</w:t>
                  </w:r>
                  <w:r>
                    <w:rPr>
                      <w:rFonts w:hint="eastAsia" w:ascii="宋体" w:hAnsi="宋体" w:eastAsia="宋体" w:cs="宋体"/>
                      <w:sz w:val="24"/>
                      <w:szCs w:val="24"/>
                      <w:vertAlign w:val="baseline"/>
                      <w:lang w:val="en-US" w:eastAsia="zh-CN"/>
                    </w:rPr>
                    <w:t>患者信息</w:t>
                  </w:r>
                  <w:r>
                    <w:rPr>
                      <w:rFonts w:hint="eastAsia" w:cs="宋体"/>
                      <w:sz w:val="24"/>
                      <w:szCs w:val="24"/>
                      <w:vertAlign w:val="baseline"/>
                      <w:lang w:val="en-US" w:eastAsia="zh-CN"/>
                    </w:rPr>
                    <w:t>和字典数据，数据包括不限于以下：患者基本信息、病案、用药情况、过敏史、吸烟和喝酒史、住院诊断等数据，</w:t>
                  </w:r>
                  <w:r>
                    <w:rPr>
                      <w:rFonts w:hint="eastAsia" w:ascii="宋体" w:hAnsi="宋体" w:eastAsia="宋体" w:cs="宋体"/>
                      <w:sz w:val="24"/>
                      <w:szCs w:val="24"/>
                      <w:vertAlign w:val="baseline"/>
                      <w:lang w:val="en-US" w:eastAsia="zh-CN"/>
                    </w:rPr>
                    <w:t>科室、性别、民族、</w:t>
                  </w:r>
                  <w:r>
                    <w:rPr>
                      <w:rFonts w:hint="eastAsia" w:ascii="宋体" w:hAnsi="宋体" w:eastAsia="宋体" w:cs="宋体"/>
                      <w:sz w:val="24"/>
                      <w:szCs w:val="24"/>
                      <w:highlight w:val="none"/>
                      <w:vertAlign w:val="baseline"/>
                      <w:lang w:val="en-US" w:eastAsia="zh-CN"/>
                    </w:rPr>
                    <w:t>宗教信仰、文化程度、婚姻状况、吸烟、喝酒、职业类型</w:t>
                  </w:r>
                  <w:r>
                    <w:rPr>
                      <w:rFonts w:hint="eastAsia" w:ascii="宋体" w:hAnsi="宋体" w:eastAsia="宋体" w:cs="宋体"/>
                      <w:sz w:val="24"/>
                      <w:szCs w:val="24"/>
                      <w:vertAlign w:val="baseline"/>
                      <w:lang w:val="en-US" w:eastAsia="zh-CN"/>
                    </w:rPr>
                    <w:t>等字典</w:t>
                  </w:r>
                  <w:r>
                    <w:rPr>
                      <w:rFonts w:hint="eastAsia" w:asciiTheme="minorEastAsia" w:hAnsiTheme="minorEastAsia" w:eastAsiaTheme="minorEastAsia" w:cstheme="minorEastAsia"/>
                      <w:sz w:val="24"/>
                      <w:szCs w:val="24"/>
                      <w:lang w:val="en-US" w:eastAsia="zh-CN"/>
                    </w:rPr>
                    <w:t>。</w:t>
                  </w:r>
                </w:p>
              </w:tc>
            </w:tr>
            <w:tr w14:paraId="35A27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5" w:type="dxa"/>
                  <w:shd w:val="clear" w:color="auto" w:fill="auto"/>
                  <w:noWrap w:val="0"/>
                  <w:vAlign w:val="center"/>
                </w:tcPr>
                <w:p w14:paraId="654C9DBD">
                  <w:pPr>
                    <w:spacing w:before="156"/>
                    <w:ind w:firstLine="0" w:firstLineChars="0"/>
                    <w:rPr>
                      <w:rFonts w:ascii="宋体" w:hAnsi="宋体"/>
                      <w:sz w:val="24"/>
                      <w:szCs w:val="24"/>
                    </w:rPr>
                  </w:pPr>
                  <w:r>
                    <w:rPr>
                      <w:rFonts w:hint="eastAsia" w:ascii="宋体" w:hAnsi="宋体" w:eastAsia="宋体" w:cs="宋体"/>
                    </w:rPr>
                    <w:t>评估档案管理</w:t>
                  </w:r>
                </w:p>
              </w:tc>
              <w:tc>
                <w:tcPr>
                  <w:tcW w:w="2876" w:type="dxa"/>
                  <w:shd w:val="clear" w:color="auto" w:fill="auto"/>
                  <w:noWrap w:val="0"/>
                  <w:vAlign w:val="bottom"/>
                </w:tcPr>
                <w:p w14:paraId="76D08942">
                  <w:pPr>
                    <w:spacing w:before="156"/>
                    <w:ind w:firstLine="0" w:firstLineChars="0"/>
                    <w:rPr>
                      <w:rFonts w:ascii="宋体" w:hAnsi="宋体"/>
                      <w:sz w:val="24"/>
                      <w:szCs w:val="24"/>
                    </w:rPr>
                  </w:pPr>
                  <w:r>
                    <w:rPr>
                      <w:rFonts w:hint="default" w:asciiTheme="minorEastAsia" w:hAnsiTheme="minorEastAsia" w:eastAsiaTheme="minorEastAsia" w:cstheme="minorEastAsia"/>
                      <w:sz w:val="24"/>
                      <w:szCs w:val="24"/>
                      <w:lang w:val="en-US" w:eastAsia="zh-CN"/>
                    </w:rPr>
                    <w:t>提供管理端的评估档案管理界面，进行评估档案列表的分页展示、查询、高级条件筛选、删除、报告批量导出、评估档案汇总表导出、查看评估对象基本信息、查看评估记录、审核评估报告。</w:t>
                  </w:r>
                </w:p>
              </w:tc>
              <w:tc>
                <w:tcPr>
                  <w:tcW w:w="3587" w:type="dxa"/>
                  <w:vMerge w:val="continue"/>
                  <w:shd w:val="clear" w:color="auto" w:fill="auto"/>
                  <w:noWrap w:val="0"/>
                  <w:vAlign w:val="top"/>
                </w:tcPr>
                <w:p w14:paraId="7F20C946">
                  <w:pPr>
                    <w:spacing w:before="156"/>
                    <w:ind w:firstLine="0" w:firstLineChars="0"/>
                    <w:rPr>
                      <w:rFonts w:ascii="宋体" w:hAnsi="宋体"/>
                      <w:sz w:val="24"/>
                      <w:szCs w:val="24"/>
                    </w:rPr>
                  </w:pPr>
                </w:p>
              </w:tc>
            </w:tr>
            <w:tr w14:paraId="1ABAF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trPr>
              <w:tc>
                <w:tcPr>
                  <w:tcW w:w="1515" w:type="dxa"/>
                  <w:shd w:val="clear" w:color="auto" w:fill="auto"/>
                  <w:noWrap w:val="0"/>
                  <w:vAlign w:val="center"/>
                </w:tcPr>
                <w:p w14:paraId="770E4E10">
                  <w:pPr>
                    <w:spacing w:before="156"/>
                    <w:ind w:firstLine="0" w:firstLineChars="0"/>
                    <w:rPr>
                      <w:rFonts w:hint="eastAsia" w:ascii="宋体" w:hAnsi="宋体" w:eastAsia="宋体" w:cs="宋体"/>
                    </w:rPr>
                  </w:pPr>
                  <w:r>
                    <w:rPr>
                      <w:rFonts w:hint="eastAsia" w:ascii="宋体" w:hAnsi="宋体" w:eastAsia="宋体" w:cs="宋体"/>
                    </w:rPr>
                    <w:t>数据统计</w:t>
                  </w:r>
                </w:p>
              </w:tc>
              <w:tc>
                <w:tcPr>
                  <w:tcW w:w="2876" w:type="dxa"/>
                  <w:shd w:val="clear" w:color="auto" w:fill="auto"/>
                  <w:noWrap w:val="0"/>
                  <w:vAlign w:val="top"/>
                </w:tcPr>
                <w:p w14:paraId="154DD2AD">
                  <w:pPr>
                    <w:spacing w:before="156"/>
                    <w:ind w:firstLine="0" w:firstLineChars="0"/>
                    <w:jc w:val="both"/>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提供管理端的数据统计界面，进行量表项的统计，评估数据可按条件筛选并导出生成Excel文件，用于教学、科研、学术等用途。</w:t>
                  </w:r>
                </w:p>
              </w:tc>
              <w:tc>
                <w:tcPr>
                  <w:tcW w:w="3587" w:type="dxa"/>
                  <w:shd w:val="clear" w:color="auto" w:fill="auto"/>
                  <w:noWrap w:val="0"/>
                  <w:vAlign w:val="top"/>
                </w:tcPr>
                <w:p w14:paraId="01D68838">
                  <w:pPr>
                    <w:spacing w:before="156"/>
                    <w:ind w:firstLine="0" w:firstLineChars="0"/>
                    <w:rPr>
                      <w:rFonts w:ascii="宋体" w:hAnsi="宋体"/>
                      <w:sz w:val="24"/>
                      <w:szCs w:val="24"/>
                    </w:rPr>
                  </w:pPr>
                  <w:r>
                    <w:rPr>
                      <w:rFonts w:hint="eastAsia" w:cs="宋体"/>
                      <w:kern w:val="0"/>
                      <w:sz w:val="24"/>
                      <w:szCs w:val="24"/>
                      <w:lang w:val="en-US" w:eastAsia="zh-CN" w:bidi="ar"/>
                    </w:rPr>
                    <w:t>通过系统功能优化，迁移调用新的API接口，定期</w:t>
                  </w:r>
                  <w:r>
                    <w:rPr>
                      <w:rFonts w:hint="eastAsia" w:ascii="宋体" w:hAnsi="宋体" w:eastAsia="宋体" w:cs="宋体"/>
                      <w:sz w:val="24"/>
                      <w:szCs w:val="24"/>
                      <w:highlight w:val="none"/>
                      <w:vertAlign w:val="baseline"/>
                      <w:lang w:val="en-US" w:eastAsia="zh-CN"/>
                    </w:rPr>
                    <w:t>同步</w:t>
                  </w:r>
                  <w:r>
                    <w:rPr>
                      <w:rFonts w:hint="eastAsia" w:cs="宋体"/>
                      <w:sz w:val="24"/>
                      <w:szCs w:val="24"/>
                      <w:highlight w:val="none"/>
                      <w:vertAlign w:val="baseline"/>
                      <w:lang w:val="en-US" w:eastAsia="zh-CN"/>
                    </w:rPr>
                    <w:t>HIS</w:t>
                  </w:r>
                  <w:r>
                    <w:rPr>
                      <w:rFonts w:hint="eastAsia" w:ascii="宋体" w:hAnsi="宋体" w:eastAsia="宋体" w:cs="宋体"/>
                      <w:sz w:val="24"/>
                      <w:szCs w:val="24"/>
                      <w:highlight w:val="none"/>
                      <w:vertAlign w:val="baseline"/>
                      <w:lang w:val="en-US" w:eastAsia="zh-CN"/>
                    </w:rPr>
                    <w:t>最新字典，</w:t>
                  </w:r>
                  <w:r>
                    <w:rPr>
                      <w:rFonts w:hint="eastAsia" w:cs="宋体"/>
                      <w:kern w:val="0"/>
                      <w:sz w:val="24"/>
                      <w:szCs w:val="24"/>
                      <w:lang w:val="en-US" w:eastAsia="zh-CN" w:bidi="ar"/>
                    </w:rPr>
                    <w:t>汇总患者信息，</w:t>
                  </w:r>
                  <w:r>
                    <w:t>支持按患者、科室、时间、量表类型、评估结果多维度统计；</w:t>
                  </w:r>
                  <w:r>
                    <w:rPr>
                      <w:rFonts w:hint="eastAsia" w:cs="宋体"/>
                      <w:kern w:val="0"/>
                      <w:sz w:val="24"/>
                      <w:szCs w:val="24"/>
                      <w:lang w:val="en-US" w:eastAsia="zh-CN" w:bidi="ar"/>
                    </w:rPr>
                    <w:t xml:space="preserve"> </w:t>
                  </w:r>
                  <w:r>
                    <w:rPr>
                      <w:rFonts w:ascii="宋体" w:hAnsi="宋体" w:eastAsia="宋体" w:cs="宋体"/>
                      <w:sz w:val="24"/>
                      <w:szCs w:val="24"/>
                    </w:rPr>
                    <w:t>完整获取患者基本信息、诊断、用药、过敏史、科室、性别、民族、文化程度、婚姻、烟酒史、职业等评估必需数据，解决信息为空、无法编辑、重复等问题。</w:t>
                  </w:r>
                </w:p>
              </w:tc>
            </w:tr>
            <w:tr w14:paraId="6DFCB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5" w:type="dxa"/>
                  <w:shd w:val="clear" w:color="auto" w:fill="auto"/>
                  <w:noWrap w:val="0"/>
                  <w:vAlign w:val="center"/>
                </w:tcPr>
                <w:p w14:paraId="18AB5CF5">
                  <w:pPr>
                    <w:spacing w:before="156"/>
                    <w:ind w:firstLine="0" w:firstLineChars="0"/>
                    <w:rPr>
                      <w:rFonts w:ascii="宋体" w:hAnsi="宋体"/>
                      <w:sz w:val="24"/>
                      <w:szCs w:val="24"/>
                    </w:rPr>
                  </w:pPr>
                  <w:r>
                    <w:rPr>
                      <w:rFonts w:ascii="宋体" w:hAnsi="宋体"/>
                      <w:sz w:val="24"/>
                      <w:szCs w:val="24"/>
                    </w:rPr>
                    <w:t>系统联调与测试</w:t>
                  </w:r>
                </w:p>
              </w:tc>
              <w:tc>
                <w:tcPr>
                  <w:tcW w:w="2876" w:type="dxa"/>
                  <w:shd w:val="clear" w:color="auto" w:fill="auto"/>
                  <w:noWrap w:val="0"/>
                  <w:vAlign w:val="top"/>
                </w:tcPr>
                <w:p w14:paraId="3583DF95">
                  <w:pPr>
                    <w:spacing w:before="156"/>
                    <w:ind w:firstLine="0" w:firstLineChars="0"/>
                    <w:rPr>
                      <w:rFonts w:ascii="宋体" w:hAnsi="宋体"/>
                      <w:sz w:val="24"/>
                      <w:szCs w:val="24"/>
                    </w:rPr>
                  </w:pPr>
                  <w:r>
                    <w:rPr>
                      <w:rFonts w:ascii="宋体" w:hAnsi="宋体"/>
                      <w:sz w:val="24"/>
                      <w:szCs w:val="24"/>
                    </w:rPr>
                    <w:t>与</w:t>
                  </w:r>
                  <w:r>
                    <w:rPr>
                      <w:rFonts w:hint="eastAsia" w:ascii="宋体" w:hAnsi="宋体"/>
                      <w:sz w:val="24"/>
                      <w:szCs w:val="24"/>
                      <w:lang w:val="en-US" w:eastAsia="zh-CN"/>
                    </w:rPr>
                    <w:t>集成平台</w:t>
                  </w:r>
                  <w:r>
                    <w:rPr>
                      <w:rFonts w:ascii="宋体" w:hAnsi="宋体"/>
                      <w:sz w:val="24"/>
                      <w:szCs w:val="24"/>
                    </w:rPr>
                    <w:t>进行接口联调</w:t>
                  </w:r>
                </w:p>
              </w:tc>
              <w:tc>
                <w:tcPr>
                  <w:tcW w:w="3587" w:type="dxa"/>
                  <w:shd w:val="clear" w:color="auto" w:fill="auto"/>
                  <w:noWrap w:val="0"/>
                  <w:vAlign w:val="top"/>
                </w:tcPr>
                <w:p w14:paraId="67D0A3AF">
                  <w:pPr>
                    <w:spacing w:before="156"/>
                    <w:ind w:firstLine="0" w:firstLineChars="0"/>
                    <w:rPr>
                      <w:rFonts w:ascii="宋体" w:hAnsi="宋体"/>
                      <w:sz w:val="24"/>
                      <w:szCs w:val="24"/>
                    </w:rPr>
                  </w:pPr>
                  <w:r>
                    <w:rPr>
                      <w:rFonts w:ascii="宋体" w:hAnsi="宋体"/>
                      <w:sz w:val="24"/>
                      <w:szCs w:val="24"/>
                    </w:rPr>
                    <w:t>确保所有接口的请求、响应数据格式、异常处理、网络通信等符合约定，保障数据交互的准确性和实时性。</w:t>
                  </w:r>
                </w:p>
              </w:tc>
            </w:tr>
          </w:tbl>
          <w:p w14:paraId="4E7ADAAA">
            <w:pPr>
              <w:spacing w:before="156"/>
              <w:ind w:firstLine="480"/>
              <w:rPr>
                <w:rFonts w:ascii="宋体" w:hAnsi="宋体"/>
                <w:sz w:val="24"/>
                <w:szCs w:val="24"/>
              </w:rPr>
            </w:pPr>
          </w:p>
        </w:tc>
      </w:tr>
      <w:tr w14:paraId="36ED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vMerge w:val="continue"/>
            <w:shd w:val="clear" w:color="auto" w:fill="auto"/>
            <w:noWrap w:val="0"/>
            <w:vAlign w:val="center"/>
          </w:tcPr>
          <w:p w14:paraId="16722130">
            <w:pPr>
              <w:spacing w:before="156"/>
              <w:ind w:firstLine="480"/>
              <w:rPr>
                <w:rFonts w:ascii="宋体" w:hAnsi="宋体"/>
                <w:sz w:val="24"/>
                <w:szCs w:val="24"/>
              </w:rPr>
            </w:pPr>
          </w:p>
        </w:tc>
        <w:tc>
          <w:tcPr>
            <w:tcW w:w="8204" w:type="dxa"/>
            <w:shd w:val="clear" w:color="auto" w:fill="auto"/>
            <w:noWrap w:val="0"/>
            <w:vAlign w:val="center"/>
          </w:tcPr>
          <w:p w14:paraId="4D43EFE7">
            <w:pPr>
              <w:spacing w:before="156"/>
              <w:rPr>
                <w:rFonts w:hint="eastAsia" w:ascii="宋体" w:hAnsi="宋体" w:eastAsia="宋体" w:cs="宋体"/>
                <w:sz w:val="24"/>
                <w:szCs w:val="24"/>
                <w:vertAlign w:val="baseline"/>
                <w:lang w:val="en-US" w:eastAsia="zh-CN"/>
              </w:rPr>
            </w:pPr>
            <w:r>
              <w:rPr>
                <w:rFonts w:hint="eastAsia" w:ascii="宋体" w:hAnsi="宋体"/>
                <w:sz w:val="24"/>
                <w:szCs w:val="24"/>
                <w:lang w:val="en-US" w:eastAsia="zh-CN"/>
              </w:rPr>
              <w:t xml:space="preserve">2.2 </w:t>
            </w:r>
            <w:r>
              <w:rPr>
                <w:rFonts w:hint="eastAsia" w:ascii="宋体" w:hAnsi="宋体" w:eastAsia="宋体" w:cs="宋体"/>
                <w:sz w:val="24"/>
                <w:szCs w:val="24"/>
                <w:vertAlign w:val="baseline"/>
                <w:lang w:val="en-US" w:eastAsia="zh-CN"/>
              </w:rPr>
              <w:t>系统UI适配调整</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936"/>
              <w:gridCol w:w="3507"/>
            </w:tblGrid>
            <w:tr w14:paraId="3ACB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96" w:type="dxa"/>
                  <w:shd w:val="clear" w:color="auto" w:fill="auto"/>
                  <w:vAlign w:val="top"/>
                </w:tcPr>
                <w:p w14:paraId="01509A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Times New Roman"/>
                      <w:kern w:val="2"/>
                      <w:sz w:val="24"/>
                      <w:szCs w:val="24"/>
                      <w:lang w:val="en-US" w:eastAsia="zh-CN" w:bidi="ar-SA"/>
                    </w:rPr>
                  </w:pPr>
                  <w:r>
                    <w:rPr>
                      <w:rFonts w:ascii="宋体" w:hAnsi="宋体"/>
                      <w:sz w:val="24"/>
                      <w:szCs w:val="24"/>
                    </w:rPr>
                    <w:t>工作项</w:t>
                  </w:r>
                </w:p>
              </w:tc>
              <w:tc>
                <w:tcPr>
                  <w:tcW w:w="2936" w:type="dxa"/>
                  <w:shd w:val="clear" w:color="auto" w:fill="auto"/>
                  <w:vAlign w:val="top"/>
                </w:tcPr>
                <w:p w14:paraId="049D3B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sz w:val="24"/>
                      <w:szCs w:val="24"/>
                    </w:rPr>
                  </w:pPr>
                  <w:r>
                    <w:rPr>
                      <w:rFonts w:hint="eastAsia" w:ascii="宋体" w:hAnsi="宋体"/>
                      <w:sz w:val="24"/>
                      <w:szCs w:val="24"/>
                      <w:lang w:val="en-US" w:eastAsia="zh-CN"/>
                    </w:rPr>
                    <w:t>原有功能描述</w:t>
                  </w:r>
                </w:p>
              </w:tc>
              <w:tc>
                <w:tcPr>
                  <w:tcW w:w="3507" w:type="dxa"/>
                  <w:shd w:val="clear" w:color="auto" w:fill="auto"/>
                  <w:vAlign w:val="top"/>
                </w:tcPr>
                <w:p w14:paraId="0646F3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Times New Roman"/>
                      <w:kern w:val="2"/>
                      <w:sz w:val="24"/>
                      <w:szCs w:val="24"/>
                      <w:lang w:val="en-US" w:eastAsia="zh-CN" w:bidi="ar-SA"/>
                    </w:rPr>
                  </w:pPr>
                  <w:r>
                    <w:rPr>
                      <w:rFonts w:ascii="宋体" w:hAnsi="宋体"/>
                      <w:sz w:val="24"/>
                      <w:szCs w:val="24"/>
                    </w:rPr>
                    <w:t>功能描述</w:t>
                  </w:r>
                </w:p>
              </w:tc>
            </w:tr>
            <w:tr w14:paraId="1B15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96" w:type="dxa"/>
                  <w:vAlign w:val="center"/>
                </w:tcPr>
                <w:p w14:paraId="7EA48EEE">
                  <w:pPr>
                    <w:spacing w:before="156"/>
                    <w:jc w:val="both"/>
                    <w:rPr>
                      <w:rFonts w:hint="default" w:ascii="宋体" w:hAnsi="宋体" w:eastAsia="宋体" w:cs="宋体"/>
                      <w:sz w:val="24"/>
                      <w:szCs w:val="24"/>
                      <w:vertAlign w:val="baseline"/>
                      <w:lang w:val="en-US" w:eastAsia="zh-CN"/>
                    </w:rPr>
                  </w:pPr>
                  <w:r>
                    <w:rPr>
                      <w:rFonts w:hint="default" w:asciiTheme="minorEastAsia" w:hAnsiTheme="minorEastAsia" w:eastAsiaTheme="minorEastAsia" w:cstheme="minorEastAsia"/>
                      <w:sz w:val="24"/>
                      <w:szCs w:val="24"/>
                      <w:lang w:val="en-US" w:eastAsia="zh-CN"/>
                    </w:rPr>
                    <w:t>管理评估端</w:t>
                  </w:r>
                  <w:r>
                    <w:rPr>
                      <w:rFonts w:hint="eastAsia" w:asciiTheme="minorEastAsia" w:hAnsiTheme="minorEastAsia" w:eastAsiaTheme="minorEastAsia" w:cstheme="minorEastAsia"/>
                      <w:sz w:val="24"/>
                      <w:szCs w:val="24"/>
                      <w:lang w:val="en-US" w:eastAsia="zh-CN"/>
                    </w:rPr>
                    <w:t>展示</w:t>
                  </w:r>
                </w:p>
              </w:tc>
              <w:tc>
                <w:tcPr>
                  <w:tcW w:w="2936" w:type="dxa"/>
                </w:tcPr>
                <w:p w14:paraId="28CA7F4B">
                  <w:pPr>
                    <w:spacing w:before="156"/>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评估端资讯的新建、编辑、发布、取消发布、删除等</w:t>
                  </w:r>
                </w:p>
                <w:p w14:paraId="42E906DC">
                  <w:pPr>
                    <w:spacing w:before="156"/>
                    <w:rPr>
                      <w:rFonts w:hint="default"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t>2、信息</w:t>
                  </w:r>
                  <w:r>
                    <w:rPr>
                      <w:rFonts w:ascii="宋体" w:hAnsi="宋体" w:eastAsia="宋体" w:cs="宋体"/>
                      <w:sz w:val="24"/>
                      <w:szCs w:val="24"/>
                    </w:rPr>
                    <w:t>多端</w:t>
                  </w:r>
                  <w:r>
                    <w:rPr>
                      <w:rFonts w:hint="eastAsia" w:ascii="宋体" w:hAnsi="宋体" w:eastAsia="宋体" w:cs="宋体"/>
                      <w:sz w:val="24"/>
                      <w:szCs w:val="24"/>
                      <w:lang w:val="en-US" w:eastAsia="zh-CN"/>
                    </w:rPr>
                    <w:t>设备</w:t>
                  </w:r>
                  <w:r>
                    <w:rPr>
                      <w:rFonts w:ascii="宋体" w:hAnsi="宋体" w:eastAsia="宋体" w:cs="宋体"/>
                      <w:sz w:val="24"/>
                      <w:szCs w:val="24"/>
                    </w:rPr>
                    <w:t>展示，</w:t>
                  </w:r>
                  <w:r>
                    <w:rPr>
                      <w:rFonts w:hint="eastAsia" w:ascii="宋体" w:hAnsi="宋体" w:eastAsia="宋体" w:cs="宋体"/>
                      <w:sz w:val="24"/>
                      <w:szCs w:val="24"/>
                      <w:lang w:val="en-US" w:eastAsia="zh-CN"/>
                    </w:rPr>
                    <w:t>有良好的</w:t>
                  </w:r>
                  <w:r>
                    <w:rPr>
                      <w:rFonts w:ascii="宋体" w:hAnsi="宋体" w:eastAsia="宋体" w:cs="宋体"/>
                      <w:sz w:val="24"/>
                      <w:szCs w:val="24"/>
                    </w:rPr>
                    <w:t>视觉效果与易用性</w:t>
                  </w:r>
                </w:p>
                <w:p w14:paraId="4C4A63B4">
                  <w:pPr>
                    <w:spacing w:before="156"/>
                    <w:rPr>
                      <w:rFonts w:hint="eastAsia" w:ascii="宋体" w:hAnsi="宋体" w:eastAsia="宋体" w:cs="宋体"/>
                      <w:sz w:val="24"/>
                      <w:szCs w:val="24"/>
                      <w:vertAlign w:val="baseline"/>
                      <w:lang w:val="en-US" w:eastAsia="zh-CN"/>
                    </w:rPr>
                  </w:pPr>
                </w:p>
              </w:tc>
              <w:tc>
                <w:tcPr>
                  <w:tcW w:w="3507" w:type="dxa"/>
                </w:tcPr>
                <w:p w14:paraId="5B63F504">
                  <w:pPr>
                    <w:numPr>
                      <w:ilvl w:val="0"/>
                      <w:numId w:val="4"/>
                    </w:numPr>
                    <w:spacing w:before="156"/>
                    <w:rPr>
                      <w:rFonts w:hint="default" w:ascii="宋体" w:hAnsi="宋体" w:eastAsia="宋体" w:cs="宋体"/>
                      <w:sz w:val="24"/>
                      <w:szCs w:val="24"/>
                      <w:lang w:val="en-US" w:eastAsia="zh-CN"/>
                    </w:rPr>
                  </w:pPr>
                  <w:r>
                    <w:rPr>
                      <w:rFonts w:hint="eastAsia" w:cs="宋体"/>
                      <w:sz w:val="24"/>
                      <w:szCs w:val="24"/>
                      <w:lang w:val="en-US" w:eastAsia="zh-CN"/>
                    </w:rPr>
                    <w:t>统</w:t>
                  </w:r>
                  <w:r>
                    <w:rPr>
                      <w:rFonts w:ascii="宋体" w:hAnsi="宋体" w:eastAsia="宋体" w:cs="宋体"/>
                      <w:sz w:val="24"/>
                      <w:szCs w:val="24"/>
                    </w:rPr>
                    <w:t>一页面样式规范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系统ui本身就是移动版本，在PC端打开，基本上都是移动版本的扩大版本。只能基于移动版来修改</w:t>
                  </w:r>
                  <w:r>
                    <w:rPr>
                      <w:rFonts w:hint="eastAsia" w:cs="宋体"/>
                      <w:sz w:val="24"/>
                      <w:szCs w:val="24"/>
                      <w:lang w:val="en-US" w:eastAsia="zh-CN"/>
                    </w:rPr>
                    <w:t>，达到一致性的效果。</w:t>
                  </w:r>
                </w:p>
                <w:p w14:paraId="7D53D5E4">
                  <w:pPr>
                    <w:numPr>
                      <w:ilvl w:val="0"/>
                      <w:numId w:val="4"/>
                    </w:numPr>
                    <w:spacing w:before="156"/>
                    <w:ind w:left="0" w:leftChars="0" w:firstLine="0" w:firstLineChars="0"/>
                    <w:rPr>
                      <w:rFonts w:hint="default" w:ascii="宋体" w:hAnsi="宋体" w:eastAsia="宋体" w:cs="宋体"/>
                      <w:sz w:val="24"/>
                      <w:szCs w:val="24"/>
                      <w:vertAlign w:val="baseline"/>
                      <w:lang w:val="en-US" w:eastAsia="zh-CN"/>
                    </w:rPr>
                  </w:pPr>
                  <w:r>
                    <w:rPr>
                      <w:rFonts w:hint="eastAsia" w:ascii="宋体" w:hAnsi="宋体" w:eastAsia="宋体" w:cs="宋体"/>
                      <w:sz w:val="24"/>
                      <w:szCs w:val="24"/>
                    </w:rPr>
                    <w:t>文字和图片</w:t>
                  </w:r>
                  <w:r>
                    <w:rPr>
                      <w:rFonts w:hint="eastAsia" w:cs="宋体"/>
                      <w:sz w:val="24"/>
                      <w:szCs w:val="24"/>
                      <w:lang w:val="en-US" w:eastAsia="zh-CN"/>
                    </w:rPr>
                    <w:t>在</w:t>
                  </w:r>
                  <w:r>
                    <w:rPr>
                      <w:rFonts w:hint="eastAsia" w:ascii="宋体" w:hAnsi="宋体" w:eastAsia="宋体" w:cs="宋体"/>
                      <w:sz w:val="24"/>
                      <w:szCs w:val="24"/>
                      <w:lang w:val="en-US" w:eastAsia="zh-CN"/>
                    </w:rPr>
                    <w:t>手机端以及PC端能</w:t>
                  </w:r>
                  <w:r>
                    <w:rPr>
                      <w:rFonts w:hint="eastAsia" w:ascii="宋体" w:hAnsi="宋体" w:eastAsia="宋体" w:cs="宋体"/>
                      <w:sz w:val="24"/>
                      <w:szCs w:val="24"/>
                    </w:rPr>
                    <w:t>展示完整</w:t>
                  </w:r>
                  <w:r>
                    <w:rPr>
                      <w:rFonts w:hint="eastAsia" w:cs="宋体"/>
                      <w:sz w:val="24"/>
                      <w:szCs w:val="24"/>
                      <w:lang w:eastAsia="zh-CN"/>
                    </w:rPr>
                    <w:t>，</w:t>
                  </w:r>
                  <w:r>
                    <w:rPr>
                      <w:rFonts w:hint="eastAsia" w:cs="宋体"/>
                      <w:sz w:val="24"/>
                      <w:szCs w:val="24"/>
                      <w:lang w:val="en-US" w:eastAsia="zh-CN"/>
                    </w:rPr>
                    <w:t>不出现视觉层级不清晰，影响操作。</w:t>
                  </w:r>
                </w:p>
                <w:p w14:paraId="537C9015">
                  <w:pPr>
                    <w:numPr>
                      <w:ilvl w:val="0"/>
                      <w:numId w:val="4"/>
                    </w:numPr>
                    <w:spacing w:before="156"/>
                    <w:ind w:left="0" w:leftChars="0" w:firstLine="0" w:firstLineChars="0"/>
                    <w:rPr>
                      <w:rFonts w:hint="default" w:ascii="宋体" w:hAnsi="宋体" w:eastAsia="宋体" w:cs="宋体"/>
                      <w:sz w:val="24"/>
                      <w:szCs w:val="24"/>
                      <w:vertAlign w:val="baseline"/>
                      <w:lang w:val="en-US" w:eastAsia="zh-CN"/>
                    </w:rPr>
                  </w:pPr>
                  <w:r>
                    <w:rPr>
                      <w:rFonts w:ascii="宋体" w:hAnsi="宋体" w:eastAsia="宋体" w:cs="宋体"/>
                      <w:sz w:val="24"/>
                      <w:szCs w:val="24"/>
                    </w:rPr>
                    <w:t>交互体验优化</w:t>
                  </w:r>
                  <w:r>
                    <w:rPr>
                      <w:rFonts w:hint="eastAsia" w:ascii="宋体" w:hAnsi="宋体" w:eastAsia="宋体" w:cs="宋体"/>
                      <w:sz w:val="24"/>
                      <w:szCs w:val="24"/>
                      <w:lang w:eastAsia="zh-CN"/>
                    </w:rPr>
                    <w:t>，</w:t>
                  </w:r>
                  <w:r>
                    <w:rPr>
                      <w:rFonts w:ascii="宋体" w:hAnsi="宋体" w:eastAsia="宋体" w:cs="宋体"/>
                      <w:sz w:val="24"/>
                      <w:szCs w:val="24"/>
                    </w:rPr>
                    <w:t>按钮点击、表单输入、弹窗提示、数据加载状态统一规范</w:t>
                  </w:r>
                  <w:r>
                    <w:rPr>
                      <w:rFonts w:hint="eastAsia" w:cs="宋体"/>
                      <w:sz w:val="24"/>
                      <w:szCs w:val="24"/>
                      <w:lang w:eastAsia="zh-CN"/>
                    </w:rPr>
                    <w:t>。</w:t>
                  </w:r>
                </w:p>
              </w:tc>
            </w:tr>
          </w:tbl>
          <w:p w14:paraId="0E12E049">
            <w:pPr>
              <w:spacing w:before="156"/>
              <w:rPr>
                <w:rFonts w:hint="default" w:ascii="宋体" w:hAnsi="宋体" w:eastAsia="宋体" w:cs="宋体"/>
                <w:sz w:val="24"/>
                <w:szCs w:val="24"/>
                <w:vertAlign w:val="baseline"/>
                <w:lang w:val="en-US" w:eastAsia="zh-CN"/>
              </w:rPr>
            </w:pPr>
          </w:p>
        </w:tc>
      </w:tr>
      <w:bookmarkEnd w:id="1"/>
    </w:tbl>
    <w:p w14:paraId="75256EEA">
      <w:pPr>
        <w:rPr>
          <w:rFonts w:hint="eastAsia" w:eastAsia="宋体"/>
          <w:lang w:val="en-US" w:eastAsia="zh-CN"/>
        </w:rPr>
      </w:pPr>
      <w:bookmarkStart w:id="2" w:name="_6.1.2、容器服务器"/>
      <w:bookmarkEnd w:id="2"/>
    </w:p>
    <w:p w14:paraId="39A28F93">
      <w:pPr>
        <w:pStyle w:val="2"/>
        <w:numPr>
          <w:ilvl w:val="0"/>
          <w:numId w:val="3"/>
        </w:numPr>
        <w:spacing w:before="0" w:after="0"/>
        <w:rPr>
          <w:rFonts w:ascii="宋体" w:hAnsi="宋体"/>
          <w:sz w:val="32"/>
          <w:szCs w:val="32"/>
        </w:rPr>
      </w:pPr>
      <w:r>
        <w:rPr>
          <w:rFonts w:hint="eastAsia" w:ascii="宋体" w:hAnsi="宋体"/>
          <w:sz w:val="32"/>
          <w:szCs w:val="32"/>
        </w:rPr>
        <w:t>项目工期</w:t>
      </w:r>
    </w:p>
    <w:p w14:paraId="3D70A17E">
      <w:pPr>
        <w:bidi w:val="0"/>
      </w:pPr>
      <w:r>
        <w:rPr>
          <w:rFonts w:hint="eastAsia"/>
          <w:lang w:val="en-US" w:eastAsia="zh-CN"/>
        </w:rPr>
        <w:tab/>
      </w:r>
      <w:r>
        <w:rPr>
          <w:rFonts w:hint="eastAsia"/>
        </w:rPr>
        <w:t>合同签订日起</w:t>
      </w:r>
      <w:r>
        <w:rPr>
          <w:rFonts w:hint="eastAsia"/>
          <w:lang w:val="en-US" w:eastAsia="zh-CN"/>
        </w:rPr>
        <w:t>3</w:t>
      </w:r>
      <w:r>
        <w:rPr>
          <w:rFonts w:hint="eastAsia"/>
        </w:rPr>
        <w:t>个月。</w:t>
      </w:r>
    </w:p>
    <w:p w14:paraId="7EDDC7E4">
      <w:pPr>
        <w:pStyle w:val="2"/>
        <w:numPr>
          <w:ilvl w:val="0"/>
          <w:numId w:val="5"/>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1529B3F8">
      <w:pPr>
        <w:bidi w:val="0"/>
        <w:ind w:firstLine="420" w:firstLineChars="0"/>
      </w:pPr>
      <w:r>
        <w:rPr>
          <w:rFonts w:hint="eastAsia"/>
        </w:rPr>
        <w:t>项目实施</w:t>
      </w:r>
      <w:r>
        <w:t>期</w:t>
      </w:r>
      <w:r>
        <w:rPr>
          <w:rFonts w:hint="eastAsia"/>
        </w:rPr>
        <w:t>内承建商提供专职工程师负责</w:t>
      </w:r>
      <w:r>
        <w:t>本项目实施</w:t>
      </w:r>
      <w:r>
        <w:rPr>
          <w:rFonts w:hint="eastAsia"/>
        </w:rPr>
        <w:t>，工作时间与院方工作时间一致，并且提供7*24小时响应服务。</w:t>
      </w:r>
    </w:p>
    <w:p w14:paraId="376DAEB8">
      <w:pPr>
        <w:bidi w:val="0"/>
        <w:ind w:firstLine="420" w:firstLineChars="0"/>
      </w:pPr>
      <w:r>
        <w:rPr>
          <w:rFonts w:hint="eastAsia"/>
        </w:rPr>
        <w:t>项目承建商需根据院方的详细需求，提交项目系统培训实施方案，方案得到院方确认后实施，保证系统按时、正常地投入运行。</w:t>
      </w:r>
    </w:p>
    <w:p w14:paraId="7D423629">
      <w:pPr>
        <w:bidi w:val="0"/>
        <w:ind w:firstLine="420" w:firstLineChars="0"/>
      </w:pPr>
      <w:r>
        <w:rPr>
          <w:rFonts w:hint="eastAsia"/>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3E011EB">
      <w:pPr>
        <w:bidi w:val="0"/>
        <w:ind w:firstLine="420" w:firstLineChars="0"/>
      </w:pPr>
      <w:r>
        <w:rPr>
          <w:rFonts w:hint="eastAsia"/>
        </w:rPr>
        <w:t>验收由承建商给出具体的验收计划、测试的内容和方法，经院方审核通过后，方可进行验收工作。</w:t>
      </w:r>
    </w:p>
    <w:p w14:paraId="0F28B60E">
      <w:pPr>
        <w:pStyle w:val="2"/>
        <w:numPr>
          <w:ilvl w:val="0"/>
          <w:numId w:val="5"/>
        </w:numPr>
        <w:spacing w:before="0" w:after="0"/>
        <w:rPr>
          <w:rFonts w:ascii="宋体" w:hAnsi="宋体"/>
          <w:sz w:val="32"/>
          <w:szCs w:val="32"/>
        </w:rPr>
      </w:pPr>
      <w:bookmarkStart w:id="3" w:name="OLE_LINK4"/>
      <w:r>
        <w:rPr>
          <w:rFonts w:hint="eastAsia" w:ascii="宋体" w:hAnsi="宋体"/>
          <w:sz w:val="32"/>
          <w:szCs w:val="32"/>
        </w:rPr>
        <w:t>后续维护服务</w:t>
      </w:r>
      <w:bookmarkEnd w:id="3"/>
    </w:p>
    <w:p w14:paraId="10D991CB">
      <w:pPr>
        <w:bidi w:val="0"/>
        <w:ind w:firstLine="420" w:firstLineChars="0"/>
      </w:pPr>
      <w:r>
        <w:rPr>
          <w:rFonts w:hint="eastAsia"/>
        </w:rPr>
        <w:t>本项目软件</w:t>
      </w:r>
      <w:r>
        <w:rPr>
          <w:rFonts w:hint="eastAsia"/>
          <w:lang w:val="en-US" w:eastAsia="zh-CN"/>
        </w:rPr>
        <w:t>原</w:t>
      </w:r>
      <w:r>
        <w:rPr>
          <w:rFonts w:hint="eastAsia"/>
        </w:rPr>
        <w:t>维护期</w:t>
      </w:r>
      <w:r>
        <w:rPr>
          <w:rFonts w:hint="eastAsia"/>
          <w:lang w:val="en-US" w:eastAsia="zh-CN"/>
        </w:rPr>
        <w:t>到2026年12月26日，</w:t>
      </w:r>
      <w:r>
        <w:rPr>
          <w:rFonts w:ascii="宋体" w:hAnsi="宋体" w:eastAsia="宋体" w:cs="宋体"/>
          <w:sz w:val="24"/>
          <w:szCs w:val="24"/>
        </w:rPr>
        <w:t>自本项目完成升级改造并通过验收后，系统维护服务期限自原维护期届满之次日起计算，延续12个月</w:t>
      </w:r>
      <w:r>
        <w:rPr>
          <w:rFonts w:hint="eastAsia"/>
        </w:rPr>
        <w:t>。在维护期内，承建商提供技术支持和指导，以及功能的</w:t>
      </w:r>
      <w:r>
        <w:rPr>
          <w:rFonts w:hint="eastAsia"/>
          <w:lang w:val="en-US" w:eastAsia="zh-CN"/>
        </w:rPr>
        <w:t>运行维护</w:t>
      </w:r>
      <w:r>
        <w:rPr>
          <w:rFonts w:hint="eastAsia"/>
        </w:rPr>
        <w:t>、故障情况下的现场</w:t>
      </w:r>
      <w:r>
        <w:rPr>
          <w:rFonts w:hint="eastAsia"/>
          <w:lang w:val="en-US" w:eastAsia="zh-CN"/>
        </w:rPr>
        <w:t>/远程</w:t>
      </w:r>
      <w:r>
        <w:rPr>
          <w:rFonts w:hint="eastAsia"/>
        </w:rPr>
        <w:t>问题解决。</w:t>
      </w:r>
    </w:p>
    <w:p w14:paraId="0E2FE576">
      <w:pPr>
        <w:bidi w:val="0"/>
        <w:ind w:firstLine="420" w:firstLineChars="0"/>
      </w:pPr>
      <w:r>
        <w:rPr>
          <w:rFonts w:hint="eastAsia"/>
        </w:rPr>
        <w:t>维保期内承建商为院方提供专职技术人员进行维护服务，工作时间与院方工作时间一致，并且提供7*24小时响应服务。</w:t>
      </w:r>
    </w:p>
    <w:p w14:paraId="788EFC20">
      <w:pPr>
        <w:bidi w:val="0"/>
        <w:ind w:firstLine="420" w:firstLineChars="0"/>
      </w:pPr>
      <w:r>
        <w:rPr>
          <w:rFonts w:hint="eastAsia"/>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1C7DC4E7">
      <w:pPr>
        <w:bidi w:val="0"/>
        <w:ind w:firstLine="420" w:firstLineChars="0"/>
        <w:rPr>
          <w:rFonts w:ascii="宋体" w:hAnsi="宋体"/>
        </w:rPr>
      </w:pPr>
      <w:r>
        <w:rPr>
          <w:rFonts w:hint="eastAsia"/>
        </w:rPr>
        <w:t>超过维护期的，双方另行协商签订维护合同，其中软件</w:t>
      </w:r>
      <w:r>
        <w:t>部分</w:t>
      </w:r>
      <w:r>
        <w:rPr>
          <w:rFonts w:hint="eastAsia"/>
        </w:rPr>
        <w:t>年维护费不超过合同软件部分金额的</w:t>
      </w:r>
      <w:r>
        <w:rPr>
          <w:rFonts w:hint="eastAsia"/>
          <w:lang w:val="en-US" w:eastAsia="zh-CN"/>
        </w:rPr>
        <w:t>5</w:t>
      </w:r>
      <w:r>
        <w:rPr>
          <w:rFonts w:hint="eastAsia"/>
        </w:rPr>
        <w:t>%</w:t>
      </w:r>
      <w:r>
        <w:t>。</w:t>
      </w:r>
    </w:p>
    <w:p w14:paraId="2A85E7A3">
      <w:pPr>
        <w:pStyle w:val="2"/>
        <w:numPr>
          <w:ilvl w:val="0"/>
          <w:numId w:val="5"/>
        </w:numPr>
        <w:spacing w:before="0" w:after="0"/>
        <w:rPr>
          <w:rFonts w:ascii="宋体" w:hAnsi="宋体"/>
          <w:sz w:val="32"/>
          <w:szCs w:val="32"/>
        </w:rPr>
      </w:pPr>
      <w:r>
        <w:rPr>
          <w:rFonts w:hint="eastAsia" w:ascii="宋体" w:hAnsi="宋体"/>
          <w:sz w:val="32"/>
          <w:szCs w:val="32"/>
        </w:rPr>
        <w:t>合同款支付方式</w:t>
      </w:r>
    </w:p>
    <w:p w14:paraId="167A3AA4">
      <w:pPr>
        <w:bidi w:val="0"/>
        <w:ind w:firstLine="420" w:firstLineChars="0"/>
        <w:rPr>
          <w:rFonts w:hint="eastAsia"/>
        </w:rPr>
      </w:pPr>
      <w:r>
        <w:rPr>
          <w:rFonts w:hint="eastAsia"/>
        </w:rPr>
        <w:t>(一)合同签订后，在收到承建商开具相应金额正式发票后，支付合同总金额的30%。</w:t>
      </w:r>
    </w:p>
    <w:p w14:paraId="02F2166F">
      <w:pPr>
        <w:bidi w:val="0"/>
        <w:ind w:firstLine="420" w:firstLineChars="0"/>
        <w:rPr>
          <w:rFonts w:hint="default" w:ascii="Times New Roman" w:hAnsi="Times New Roman" w:cs="Times New Roman"/>
          <w:color w:val="000000"/>
          <w:szCs w:val="24"/>
        </w:rPr>
      </w:pPr>
      <w:r>
        <w:rPr>
          <w:rFonts w:hint="eastAsia"/>
        </w:rPr>
        <w:t>(二)</w:t>
      </w:r>
      <w:bookmarkStart w:id="4" w:name="OLE_LINK3"/>
      <w:r>
        <w:rPr>
          <w:rFonts w:hint="eastAsia"/>
          <w:lang w:val="en-US" w:eastAsia="zh-CN"/>
        </w:rPr>
        <w:t>项目</w:t>
      </w:r>
      <w:r>
        <w:rPr>
          <w:rFonts w:hint="eastAsia"/>
        </w:rPr>
        <w:t>验收通过</w:t>
      </w:r>
      <w:r>
        <w:rPr>
          <w:rFonts w:hint="eastAsia"/>
          <w:lang w:val="en-US" w:eastAsia="zh-CN"/>
        </w:rPr>
        <w:t>后</w:t>
      </w:r>
      <w:r>
        <w:rPr>
          <w:rFonts w:hint="eastAsia"/>
        </w:rPr>
        <w:t>，</w:t>
      </w:r>
      <w:r>
        <w:rPr>
          <w:rFonts w:hint="eastAsia"/>
          <w:lang w:val="en-US" w:eastAsia="zh-CN"/>
        </w:rPr>
        <w:t>在收到承建商</w:t>
      </w:r>
      <w:r>
        <w:rPr>
          <w:rFonts w:hint="eastAsia"/>
        </w:rPr>
        <w:t>开具相应金额正式发票以及《售后服务履约承诺函》后，支付合同总金额的70%。</w:t>
      </w:r>
      <w:bookmarkEnd w:id="4"/>
    </w:p>
    <w:sectPr>
      <w:footerReference r:id="rId5" w:type="default"/>
      <w:pgSz w:w="11906" w:h="16838"/>
      <w:pgMar w:top="1021" w:right="1418" w:bottom="1021"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C56D">
    <w:pPr>
      <w:pStyle w:val="19"/>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14:paraId="492AA5CD">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D34CD"/>
    <w:multiLevelType w:val="singleLevel"/>
    <w:tmpl w:val="939D34CD"/>
    <w:lvl w:ilvl="0" w:tentative="0">
      <w:start w:val="1"/>
      <w:numFmt w:val="decimal"/>
      <w:suff w:val="nothing"/>
      <w:lvlText w:val="%1、"/>
      <w:lvlJc w:val="left"/>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6"/>
      <w:lvlText w:val="%1. "/>
      <w:lvlJc w:val="left"/>
      <w:pPr>
        <w:ind w:left="420" w:hanging="420"/>
      </w:pPr>
      <w:rPr>
        <w:rFonts w:hint="default" w:ascii="Times New Roman" w:hAnsi="Times New Roman" w:eastAsia="宋体"/>
        <w:b/>
        <w:i w:val="0"/>
      </w:rPr>
    </w:lvl>
    <w:lvl w:ilvl="1" w:tentative="0">
      <w:start w:val="1"/>
      <w:numFmt w:val="decimal"/>
      <w:pStyle w:val="59"/>
      <w:isLgl/>
      <w:suff w:val="space"/>
      <w:lvlText w:val="%1.%2 "/>
      <w:lvlJc w:val="left"/>
      <w:pPr>
        <w:ind w:left="3913" w:hanging="794"/>
      </w:pPr>
      <w:rPr>
        <w:rFonts w:hint="eastAsia"/>
      </w:rPr>
    </w:lvl>
    <w:lvl w:ilvl="2" w:tentative="0">
      <w:start w:val="1"/>
      <w:numFmt w:val="decimal"/>
      <w:pStyle w:val="65"/>
      <w:isLgl/>
      <w:suff w:val="space"/>
      <w:lvlText w:val="%1.%2.%3 "/>
      <w:lvlJc w:val="left"/>
      <w:pPr>
        <w:ind w:left="907" w:hanging="907"/>
      </w:pPr>
      <w:rPr>
        <w:rFonts w:hint="eastAsia"/>
      </w:rPr>
    </w:lvl>
    <w:lvl w:ilvl="3" w:tentative="0">
      <w:start w:val="1"/>
      <w:numFmt w:val="decimal"/>
      <w:pStyle w:val="64"/>
      <w:isLgl/>
      <w:suff w:val="space"/>
      <w:lvlText w:val="%1.%2.%3.%4 "/>
      <w:lvlJc w:val="left"/>
      <w:pPr>
        <w:ind w:left="1021" w:hanging="1021"/>
      </w:pPr>
      <w:rPr>
        <w:rFonts w:hint="eastAsia"/>
      </w:rPr>
    </w:lvl>
    <w:lvl w:ilvl="4" w:tentative="0">
      <w:start w:val="1"/>
      <w:numFmt w:val="decimal"/>
      <w:pStyle w:val="69"/>
      <w:isLgl/>
      <w:suff w:val="space"/>
      <w:lvlText w:val="%1.%2.%3.%4.%5 "/>
      <w:lvlJc w:val="left"/>
      <w:pPr>
        <w:ind w:left="1134" w:hanging="1134"/>
      </w:pPr>
      <w:rPr>
        <w:rFonts w:hint="eastAsia"/>
      </w:rPr>
    </w:lvl>
    <w:lvl w:ilvl="5" w:tentative="0">
      <w:start w:val="1"/>
      <w:numFmt w:val="decimal"/>
      <w:pStyle w:val="63"/>
      <w:isLgl/>
      <w:suff w:val="space"/>
      <w:lvlText w:val="%1.%2.%3.%4.%5.%6 "/>
      <w:lvlJc w:val="left"/>
      <w:pPr>
        <w:ind w:left="1247" w:hanging="1247"/>
      </w:pPr>
      <w:rPr>
        <w:rFonts w:hint="eastAsia"/>
      </w:rPr>
    </w:lvl>
    <w:lvl w:ilvl="6" w:tentative="0">
      <w:start w:val="1"/>
      <w:numFmt w:val="decimal"/>
      <w:lvlRestart w:val="1"/>
      <w:pStyle w:val="58"/>
      <w:isLgl/>
      <w:suff w:val="space"/>
      <w:lvlText w:val="图 %1.%7 "/>
      <w:lvlJc w:val="left"/>
      <w:pPr>
        <w:ind w:left="0" w:firstLine="0"/>
      </w:pPr>
      <w:rPr>
        <w:rFonts w:hint="eastAsia"/>
      </w:rPr>
    </w:lvl>
    <w:lvl w:ilvl="7" w:tentative="0">
      <w:start w:val="1"/>
      <w:numFmt w:val="decimal"/>
      <w:lvlRestart w:val="1"/>
      <w:pStyle w:val="6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WJlNzYxNmQ2NjM5YzE2NmFkYmM1NjY2YWViYjg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A653AB"/>
    <w:rsid w:val="01B72D39"/>
    <w:rsid w:val="023A0DE1"/>
    <w:rsid w:val="02FF01B1"/>
    <w:rsid w:val="03CA501F"/>
    <w:rsid w:val="04276F58"/>
    <w:rsid w:val="048A698E"/>
    <w:rsid w:val="051F0BAA"/>
    <w:rsid w:val="05AE12D1"/>
    <w:rsid w:val="08807DC0"/>
    <w:rsid w:val="09972933"/>
    <w:rsid w:val="09C03B07"/>
    <w:rsid w:val="09D52C60"/>
    <w:rsid w:val="0A56459C"/>
    <w:rsid w:val="0B2C354F"/>
    <w:rsid w:val="0B2E4DAA"/>
    <w:rsid w:val="0CD22E44"/>
    <w:rsid w:val="0D510A28"/>
    <w:rsid w:val="0D617DE3"/>
    <w:rsid w:val="0DC40DC4"/>
    <w:rsid w:val="0DD0089A"/>
    <w:rsid w:val="0DD71DDF"/>
    <w:rsid w:val="0DE52D71"/>
    <w:rsid w:val="0E4D4EA6"/>
    <w:rsid w:val="0F41270C"/>
    <w:rsid w:val="104C6824"/>
    <w:rsid w:val="10D97CD5"/>
    <w:rsid w:val="10ED1476"/>
    <w:rsid w:val="10FB3693"/>
    <w:rsid w:val="12135469"/>
    <w:rsid w:val="124315DA"/>
    <w:rsid w:val="12E60B70"/>
    <w:rsid w:val="145746DC"/>
    <w:rsid w:val="145E16ED"/>
    <w:rsid w:val="14E15863"/>
    <w:rsid w:val="162776F9"/>
    <w:rsid w:val="162858D7"/>
    <w:rsid w:val="18371D38"/>
    <w:rsid w:val="19801636"/>
    <w:rsid w:val="1A5F56EF"/>
    <w:rsid w:val="1B1B2DCE"/>
    <w:rsid w:val="1BFD08D4"/>
    <w:rsid w:val="1D0165EA"/>
    <w:rsid w:val="1DFB0471"/>
    <w:rsid w:val="1E5365E3"/>
    <w:rsid w:val="1EF23289"/>
    <w:rsid w:val="1F274302"/>
    <w:rsid w:val="1F49353B"/>
    <w:rsid w:val="1F5D746C"/>
    <w:rsid w:val="1FC94C0B"/>
    <w:rsid w:val="2079293B"/>
    <w:rsid w:val="20803CC9"/>
    <w:rsid w:val="20F425EE"/>
    <w:rsid w:val="213F1567"/>
    <w:rsid w:val="21BF3B5D"/>
    <w:rsid w:val="228965CC"/>
    <w:rsid w:val="2426228E"/>
    <w:rsid w:val="25CD5C03"/>
    <w:rsid w:val="25FA00A6"/>
    <w:rsid w:val="27471C24"/>
    <w:rsid w:val="28887BBF"/>
    <w:rsid w:val="28C8725C"/>
    <w:rsid w:val="2BAF24A8"/>
    <w:rsid w:val="313A1A4C"/>
    <w:rsid w:val="313F6476"/>
    <w:rsid w:val="317908E2"/>
    <w:rsid w:val="32194889"/>
    <w:rsid w:val="322555EA"/>
    <w:rsid w:val="330469DC"/>
    <w:rsid w:val="340003BA"/>
    <w:rsid w:val="370945C1"/>
    <w:rsid w:val="381967AD"/>
    <w:rsid w:val="3AA77129"/>
    <w:rsid w:val="3AD11A9D"/>
    <w:rsid w:val="3B1BEA99"/>
    <w:rsid w:val="3B4C7172"/>
    <w:rsid w:val="3BB71ACA"/>
    <w:rsid w:val="3C1507B4"/>
    <w:rsid w:val="3C1D6069"/>
    <w:rsid w:val="3E2B7643"/>
    <w:rsid w:val="3ED23E32"/>
    <w:rsid w:val="40D5220D"/>
    <w:rsid w:val="42200080"/>
    <w:rsid w:val="439A6E35"/>
    <w:rsid w:val="446E63AB"/>
    <w:rsid w:val="461940F5"/>
    <w:rsid w:val="46406C9A"/>
    <w:rsid w:val="46A071B9"/>
    <w:rsid w:val="46B75D3F"/>
    <w:rsid w:val="48480CC1"/>
    <w:rsid w:val="488C513A"/>
    <w:rsid w:val="48965ED0"/>
    <w:rsid w:val="4948541D"/>
    <w:rsid w:val="49DF0FCF"/>
    <w:rsid w:val="4A0465FC"/>
    <w:rsid w:val="4A201EF6"/>
    <w:rsid w:val="4A357967"/>
    <w:rsid w:val="4AAE042C"/>
    <w:rsid w:val="4C1F2800"/>
    <w:rsid w:val="4CB30DFF"/>
    <w:rsid w:val="4D85268B"/>
    <w:rsid w:val="51275918"/>
    <w:rsid w:val="519F1952"/>
    <w:rsid w:val="51D774AB"/>
    <w:rsid w:val="521D79C2"/>
    <w:rsid w:val="526606C2"/>
    <w:rsid w:val="52A907F9"/>
    <w:rsid w:val="530D5254"/>
    <w:rsid w:val="54CE3AA7"/>
    <w:rsid w:val="54F00B42"/>
    <w:rsid w:val="551663CF"/>
    <w:rsid w:val="56533E33"/>
    <w:rsid w:val="569E585C"/>
    <w:rsid w:val="56F32878"/>
    <w:rsid w:val="576553EC"/>
    <w:rsid w:val="57F13DD6"/>
    <w:rsid w:val="58354DBE"/>
    <w:rsid w:val="589436CF"/>
    <w:rsid w:val="5ABE78FA"/>
    <w:rsid w:val="5AD72AAD"/>
    <w:rsid w:val="5B4D1163"/>
    <w:rsid w:val="5C16336B"/>
    <w:rsid w:val="5C8E7193"/>
    <w:rsid w:val="5CBC7FB4"/>
    <w:rsid w:val="5D11431E"/>
    <w:rsid w:val="5E7E6D93"/>
    <w:rsid w:val="5E987E55"/>
    <w:rsid w:val="5EA629F6"/>
    <w:rsid w:val="5F5513E2"/>
    <w:rsid w:val="5FCD662E"/>
    <w:rsid w:val="60822B6A"/>
    <w:rsid w:val="61246D0C"/>
    <w:rsid w:val="63D12DB1"/>
    <w:rsid w:val="63DE4ECC"/>
    <w:rsid w:val="645C5585"/>
    <w:rsid w:val="647A167F"/>
    <w:rsid w:val="648B3FB8"/>
    <w:rsid w:val="64A86918"/>
    <w:rsid w:val="64FB2EEB"/>
    <w:rsid w:val="6523039D"/>
    <w:rsid w:val="65554CF2"/>
    <w:rsid w:val="657F0712"/>
    <w:rsid w:val="6692441C"/>
    <w:rsid w:val="6787544C"/>
    <w:rsid w:val="67D07485"/>
    <w:rsid w:val="698A66BE"/>
    <w:rsid w:val="69E71C90"/>
    <w:rsid w:val="6AD472F2"/>
    <w:rsid w:val="6D1D4D2C"/>
    <w:rsid w:val="6E511DCE"/>
    <w:rsid w:val="6E9028F6"/>
    <w:rsid w:val="6F4F022A"/>
    <w:rsid w:val="704837AC"/>
    <w:rsid w:val="70B54896"/>
    <w:rsid w:val="712A11B9"/>
    <w:rsid w:val="712D16A4"/>
    <w:rsid w:val="718710C4"/>
    <w:rsid w:val="73955FE3"/>
    <w:rsid w:val="73B0538E"/>
    <w:rsid w:val="74EF0832"/>
    <w:rsid w:val="75CA4C66"/>
    <w:rsid w:val="760F124E"/>
    <w:rsid w:val="768C7E47"/>
    <w:rsid w:val="774F263D"/>
    <w:rsid w:val="788F1E71"/>
    <w:rsid w:val="7B413328"/>
    <w:rsid w:val="7BCD092E"/>
    <w:rsid w:val="7BD77067"/>
    <w:rsid w:val="7C902574"/>
    <w:rsid w:val="7D874B49"/>
    <w:rsid w:val="7DC511EB"/>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30"/>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31"/>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2"/>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3"/>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4"/>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5"/>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6"/>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7"/>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8"/>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9"/>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40"/>
    <w:autoRedefine/>
    <w:unhideWhenUsed/>
    <w:qFormat/>
    <w:uiPriority w:val="0"/>
    <w:pPr>
      <w:jc w:val="left"/>
    </w:pPr>
    <w:rPr>
      <w:kern w:val="0"/>
      <w:sz w:val="20"/>
      <w:lang w:val="zh-CN" w:eastAsia="zh-CN"/>
    </w:rPr>
  </w:style>
  <w:style w:type="paragraph" w:styleId="13">
    <w:name w:val="Body Text"/>
    <w:basedOn w:val="1"/>
    <w:next w:val="14"/>
    <w:link w:val="41"/>
    <w:autoRedefine/>
    <w:qFormat/>
    <w:uiPriority w:val="0"/>
    <w:pPr>
      <w:spacing w:after="120"/>
    </w:pPr>
  </w:style>
  <w:style w:type="paragraph" w:styleId="14">
    <w:name w:val="Quote"/>
    <w:next w:val="1"/>
    <w:link w:val="42"/>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Body Text Indent"/>
    <w:basedOn w:val="1"/>
    <w:qFormat/>
    <w:uiPriority w:val="99"/>
    <w:pPr>
      <w:spacing w:after="120" w:line="240" w:lineRule="auto"/>
      <w:ind w:left="200" w:leftChars="200"/>
    </w:pPr>
    <w:rPr>
      <w:sz w:val="21"/>
    </w:rPr>
  </w:style>
  <w:style w:type="paragraph" w:styleId="16">
    <w:name w:val="Plain Text"/>
    <w:basedOn w:val="1"/>
    <w:link w:val="43"/>
    <w:autoRedefine/>
    <w:qFormat/>
    <w:uiPriority w:val="0"/>
    <w:rPr>
      <w:rFonts w:ascii="Calibri" w:hAnsi="Courier New"/>
      <w:szCs w:val="20"/>
      <w:lang w:val="zh-CN" w:eastAsia="zh-CN"/>
    </w:rPr>
  </w:style>
  <w:style w:type="paragraph" w:styleId="17">
    <w:name w:val="Body Text Indent 2"/>
    <w:basedOn w:val="1"/>
    <w:autoRedefine/>
    <w:unhideWhenUsed/>
    <w:qFormat/>
    <w:uiPriority w:val="99"/>
    <w:pPr>
      <w:spacing w:after="120" w:line="480" w:lineRule="auto"/>
      <w:ind w:left="420" w:leftChars="200"/>
    </w:pPr>
  </w:style>
  <w:style w:type="paragraph" w:styleId="18">
    <w:name w:val="Balloon Text"/>
    <w:basedOn w:val="1"/>
    <w:link w:val="44"/>
    <w:autoRedefine/>
    <w:qFormat/>
    <w:uiPriority w:val="0"/>
    <w:rPr>
      <w:sz w:val="18"/>
      <w:szCs w:val="18"/>
      <w:lang w:val="zh-CN" w:eastAsia="zh-CN"/>
    </w:rPr>
  </w:style>
  <w:style w:type="paragraph" w:styleId="19">
    <w:name w:val="footer"/>
    <w:basedOn w:val="1"/>
    <w:link w:val="45"/>
    <w:autoRedefine/>
    <w:qFormat/>
    <w:uiPriority w:val="0"/>
    <w:pPr>
      <w:tabs>
        <w:tab w:val="center" w:pos="4153"/>
        <w:tab w:val="right" w:pos="8306"/>
      </w:tabs>
      <w:snapToGrid w:val="0"/>
      <w:jc w:val="left"/>
    </w:pPr>
    <w:rPr>
      <w:sz w:val="18"/>
      <w:szCs w:val="18"/>
      <w:lang w:val="zh-CN" w:eastAsia="zh-CN"/>
    </w:rPr>
  </w:style>
  <w:style w:type="paragraph" w:styleId="20">
    <w:name w:val="header"/>
    <w:basedOn w:val="1"/>
    <w:link w:val="46"/>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1">
    <w:name w:val="Subtitle"/>
    <w:basedOn w:val="1"/>
    <w:next w:val="1"/>
    <w:link w:val="47"/>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autoRedefine/>
    <w:qFormat/>
    <w:uiPriority w:val="99"/>
    <w:pPr>
      <w:spacing w:before="240" w:after="60"/>
      <w:jc w:val="center"/>
      <w:outlineLvl w:val="0"/>
    </w:pPr>
    <w:rPr>
      <w:rFonts w:ascii="Arial" w:hAnsi="Arial" w:cs="Arial"/>
      <w:b/>
      <w:bCs/>
      <w:sz w:val="32"/>
      <w:szCs w:val="32"/>
    </w:rPr>
  </w:style>
  <w:style w:type="table" w:styleId="25">
    <w:name w:val="Table Grid"/>
    <w:basedOn w:val="2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0"/>
    <w:rPr>
      <w:b/>
    </w:rPr>
  </w:style>
  <w:style w:type="character" w:styleId="28">
    <w:name w:val="Hyperlink"/>
    <w:qFormat/>
    <w:uiPriority w:val="0"/>
    <w:rPr>
      <w:color w:val="0563C1"/>
      <w:u w:val="single"/>
    </w:rPr>
  </w:style>
  <w:style w:type="character" w:styleId="29">
    <w:name w:val="annotation reference"/>
    <w:autoRedefine/>
    <w:unhideWhenUsed/>
    <w:qFormat/>
    <w:uiPriority w:val="99"/>
    <w:rPr>
      <w:sz w:val="21"/>
      <w:szCs w:val="21"/>
    </w:rPr>
  </w:style>
  <w:style w:type="character" w:customStyle="1" w:styleId="30">
    <w:name w:val="标题 1 字符"/>
    <w:link w:val="2"/>
    <w:autoRedefine/>
    <w:qFormat/>
    <w:uiPriority w:val="0"/>
    <w:rPr>
      <w:b/>
      <w:bCs/>
      <w:kern w:val="44"/>
      <w:sz w:val="44"/>
      <w:szCs w:val="44"/>
      <w:lang w:val="zh-CN" w:eastAsia="zh-CN"/>
    </w:rPr>
  </w:style>
  <w:style w:type="character" w:customStyle="1" w:styleId="31">
    <w:name w:val="标题 2 字符"/>
    <w:link w:val="3"/>
    <w:autoRedefine/>
    <w:qFormat/>
    <w:uiPriority w:val="0"/>
    <w:rPr>
      <w:rFonts w:ascii="等线 Light" w:hAnsi="等线 Light" w:eastAsia="等线 Light" w:cs="Times New Roman"/>
      <w:b/>
      <w:bCs/>
      <w:kern w:val="2"/>
      <w:sz w:val="32"/>
      <w:szCs w:val="32"/>
    </w:rPr>
  </w:style>
  <w:style w:type="character" w:customStyle="1" w:styleId="32">
    <w:name w:val="标题 3 字符"/>
    <w:link w:val="4"/>
    <w:autoRedefine/>
    <w:qFormat/>
    <w:uiPriority w:val="0"/>
    <w:rPr>
      <w:b/>
      <w:bCs/>
      <w:kern w:val="2"/>
      <w:sz w:val="30"/>
      <w:szCs w:val="30"/>
    </w:rPr>
  </w:style>
  <w:style w:type="character" w:customStyle="1" w:styleId="33">
    <w:name w:val="标题 4 字符"/>
    <w:link w:val="5"/>
    <w:autoRedefine/>
    <w:qFormat/>
    <w:uiPriority w:val="0"/>
    <w:rPr>
      <w:rFonts w:ascii="宋体" w:hAnsi="宋体"/>
      <w:b/>
      <w:bCs/>
      <w:kern w:val="2"/>
      <w:sz w:val="28"/>
      <w:szCs w:val="28"/>
    </w:rPr>
  </w:style>
  <w:style w:type="character" w:customStyle="1" w:styleId="34">
    <w:name w:val="标题 5 字符"/>
    <w:link w:val="6"/>
    <w:qFormat/>
    <w:uiPriority w:val="0"/>
    <w:rPr>
      <w:b/>
      <w:bCs/>
      <w:kern w:val="2"/>
      <w:sz w:val="28"/>
      <w:szCs w:val="28"/>
    </w:rPr>
  </w:style>
  <w:style w:type="character" w:customStyle="1" w:styleId="35">
    <w:name w:val="标题 6 字符"/>
    <w:link w:val="7"/>
    <w:semiHidden/>
    <w:qFormat/>
    <w:uiPriority w:val="0"/>
    <w:rPr>
      <w:rFonts w:ascii="等线 Light" w:hAnsi="等线 Light" w:eastAsia="等线 Light"/>
      <w:b/>
      <w:bCs/>
      <w:kern w:val="2"/>
      <w:sz w:val="24"/>
      <w:szCs w:val="24"/>
    </w:rPr>
  </w:style>
  <w:style w:type="character" w:customStyle="1" w:styleId="36">
    <w:name w:val="标题 7 字符"/>
    <w:link w:val="8"/>
    <w:autoRedefine/>
    <w:semiHidden/>
    <w:qFormat/>
    <w:uiPriority w:val="0"/>
    <w:rPr>
      <w:b/>
      <w:bCs/>
      <w:kern w:val="2"/>
      <w:sz w:val="24"/>
      <w:szCs w:val="24"/>
    </w:rPr>
  </w:style>
  <w:style w:type="character" w:customStyle="1" w:styleId="37">
    <w:name w:val="标题 8 字符"/>
    <w:link w:val="9"/>
    <w:semiHidden/>
    <w:qFormat/>
    <w:uiPriority w:val="0"/>
    <w:rPr>
      <w:rFonts w:ascii="等线 Light" w:hAnsi="等线 Light" w:eastAsia="等线 Light"/>
      <w:kern w:val="2"/>
      <w:sz w:val="24"/>
      <w:szCs w:val="24"/>
    </w:rPr>
  </w:style>
  <w:style w:type="character" w:customStyle="1" w:styleId="38">
    <w:name w:val="标题 9 字符"/>
    <w:link w:val="10"/>
    <w:semiHidden/>
    <w:qFormat/>
    <w:uiPriority w:val="0"/>
    <w:rPr>
      <w:rFonts w:ascii="等线 Light" w:hAnsi="等线 Light" w:eastAsia="等线 Light"/>
      <w:kern w:val="2"/>
      <w:sz w:val="21"/>
      <w:szCs w:val="21"/>
    </w:rPr>
  </w:style>
  <w:style w:type="character" w:customStyle="1" w:styleId="39">
    <w:name w:val="正文缩进 字符"/>
    <w:link w:val="11"/>
    <w:autoRedefine/>
    <w:qFormat/>
    <w:uiPriority w:val="99"/>
    <w:rPr>
      <w:spacing w:val="8"/>
      <w:kern w:val="2"/>
      <w:sz w:val="24"/>
      <w:lang w:val="en-US" w:eastAsia="zh-CN"/>
    </w:rPr>
  </w:style>
  <w:style w:type="character" w:customStyle="1" w:styleId="40">
    <w:name w:val="批注文字 字符1"/>
    <w:link w:val="12"/>
    <w:qFormat/>
    <w:uiPriority w:val="0"/>
    <w:rPr>
      <w:szCs w:val="24"/>
    </w:rPr>
  </w:style>
  <w:style w:type="character" w:customStyle="1" w:styleId="41">
    <w:name w:val="正文文本 字符"/>
    <w:link w:val="13"/>
    <w:qFormat/>
    <w:uiPriority w:val="0"/>
    <w:rPr>
      <w:kern w:val="2"/>
      <w:sz w:val="21"/>
      <w:szCs w:val="24"/>
    </w:rPr>
  </w:style>
  <w:style w:type="character" w:customStyle="1" w:styleId="42">
    <w:name w:val="引用 字符"/>
    <w:link w:val="14"/>
    <w:autoRedefine/>
    <w:qFormat/>
    <w:uiPriority w:val="0"/>
    <w:rPr>
      <w:rFonts w:ascii="Calibri" w:hAnsi="Calibri"/>
      <w:i/>
      <w:sz w:val="21"/>
    </w:rPr>
  </w:style>
  <w:style w:type="character" w:customStyle="1" w:styleId="43">
    <w:name w:val="纯文本 字符"/>
    <w:link w:val="16"/>
    <w:qFormat/>
    <w:uiPriority w:val="0"/>
    <w:rPr>
      <w:rFonts w:ascii="Calibri" w:hAnsi="Courier New"/>
      <w:kern w:val="2"/>
      <w:sz w:val="21"/>
    </w:rPr>
  </w:style>
  <w:style w:type="character" w:customStyle="1" w:styleId="44">
    <w:name w:val="批注框文本 字符"/>
    <w:link w:val="18"/>
    <w:qFormat/>
    <w:uiPriority w:val="0"/>
    <w:rPr>
      <w:kern w:val="2"/>
      <w:sz w:val="18"/>
      <w:szCs w:val="18"/>
    </w:rPr>
  </w:style>
  <w:style w:type="character" w:customStyle="1" w:styleId="45">
    <w:name w:val="页脚 字符1"/>
    <w:link w:val="19"/>
    <w:autoRedefine/>
    <w:qFormat/>
    <w:uiPriority w:val="0"/>
    <w:rPr>
      <w:kern w:val="2"/>
      <w:sz w:val="18"/>
      <w:szCs w:val="18"/>
    </w:rPr>
  </w:style>
  <w:style w:type="character" w:customStyle="1" w:styleId="46">
    <w:name w:val="页眉 字符"/>
    <w:link w:val="20"/>
    <w:autoRedefine/>
    <w:qFormat/>
    <w:uiPriority w:val="0"/>
    <w:rPr>
      <w:kern w:val="2"/>
      <w:sz w:val="18"/>
      <w:szCs w:val="18"/>
    </w:rPr>
  </w:style>
  <w:style w:type="character" w:customStyle="1" w:styleId="47">
    <w:name w:val="副标题 字符"/>
    <w:link w:val="21"/>
    <w:autoRedefine/>
    <w:qFormat/>
    <w:uiPriority w:val="0"/>
    <w:rPr>
      <w:rFonts w:ascii="Cambria" w:hAnsi="Cambria"/>
      <w:b/>
      <w:bCs/>
      <w:kern w:val="28"/>
      <w:sz w:val="32"/>
      <w:szCs w:val="32"/>
      <w:lang w:eastAsia="en-US"/>
    </w:rPr>
  </w:style>
  <w:style w:type="character" w:customStyle="1" w:styleId="48">
    <w:name w:val="已访问的超链接1"/>
    <w:autoRedefine/>
    <w:qFormat/>
    <w:uiPriority w:val="0"/>
    <w:rPr>
      <w:color w:val="800080"/>
      <w:u w:val="single"/>
    </w:rPr>
  </w:style>
  <w:style w:type="character" w:customStyle="1" w:styleId="49">
    <w:name w:val="正文（首行缩进2字符） Char"/>
    <w:link w:val="50"/>
    <w:autoRedefine/>
    <w:qFormat/>
    <w:uiPriority w:val="0"/>
    <w:rPr>
      <w:kern w:val="2"/>
      <w:sz w:val="24"/>
      <w:szCs w:val="24"/>
    </w:rPr>
  </w:style>
  <w:style w:type="paragraph" w:customStyle="1" w:styleId="50">
    <w:name w:val="正文（首行缩进2字符）"/>
    <w:basedOn w:val="1"/>
    <w:link w:val="49"/>
    <w:autoRedefine/>
    <w:qFormat/>
    <w:uiPriority w:val="0"/>
    <w:pPr>
      <w:spacing w:line="360" w:lineRule="auto"/>
      <w:ind w:firstLine="480" w:firstLineChars="200"/>
    </w:pPr>
    <w:rPr>
      <w:sz w:val="24"/>
      <w:lang w:val="zh-CN" w:eastAsia="zh-CN"/>
    </w:rPr>
  </w:style>
  <w:style w:type="character" w:customStyle="1" w:styleId="51">
    <w:name w:val="段落 Char1"/>
    <w:link w:val="52"/>
    <w:autoRedefine/>
    <w:qFormat/>
    <w:uiPriority w:val="0"/>
    <w:rPr>
      <w:rFonts w:eastAsia="仿宋_GB2312"/>
      <w:sz w:val="24"/>
      <w:szCs w:val="24"/>
      <w:lang w:val="en-US" w:eastAsia="zh-CN" w:bidi="ar-SA"/>
    </w:rPr>
  </w:style>
  <w:style w:type="paragraph" w:customStyle="1" w:styleId="52">
    <w:name w:val="段落"/>
    <w:link w:val="51"/>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3">
    <w:name w:val="正文（安华金和） Char"/>
    <w:link w:val="54"/>
    <w:autoRedefine/>
    <w:qFormat/>
    <w:uiPriority w:val="0"/>
    <w:rPr>
      <w:rFonts w:ascii="Arial" w:hAnsi="Arial"/>
      <w:sz w:val="21"/>
      <w:szCs w:val="21"/>
      <w:lang w:val="en-US" w:eastAsia="zh-CN" w:bidi="ar-SA"/>
    </w:rPr>
  </w:style>
  <w:style w:type="paragraph" w:customStyle="1" w:styleId="54">
    <w:name w:val="正文（安华金和）"/>
    <w:link w:val="53"/>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5">
    <w:name w:val="页脚 字符"/>
    <w:autoRedefine/>
    <w:qFormat/>
    <w:uiPriority w:val="99"/>
  </w:style>
  <w:style w:type="character" w:customStyle="1" w:styleId="56">
    <w:name w:val="列出段落 字符"/>
    <w:link w:val="57"/>
    <w:autoRedefine/>
    <w:qFormat/>
    <w:uiPriority w:val="34"/>
    <w:rPr>
      <w:rFonts w:ascii="等线" w:hAnsi="等线" w:eastAsia="等线"/>
      <w:kern w:val="2"/>
      <w:sz w:val="21"/>
      <w:szCs w:val="22"/>
    </w:rPr>
  </w:style>
  <w:style w:type="paragraph" w:styleId="57">
    <w:name w:val="List Paragraph"/>
    <w:basedOn w:val="1"/>
    <w:link w:val="56"/>
    <w:autoRedefine/>
    <w:qFormat/>
    <w:uiPriority w:val="34"/>
    <w:pPr>
      <w:ind w:firstLine="420" w:firstLineChars="200"/>
    </w:pPr>
    <w:rPr>
      <w:rFonts w:ascii="等线" w:hAnsi="等线" w:eastAsia="等线"/>
      <w:szCs w:val="22"/>
      <w:lang w:val="zh-CN" w:eastAsia="zh-CN"/>
    </w:rPr>
  </w:style>
  <w:style w:type="paragraph" w:customStyle="1" w:styleId="58">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9">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60">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1">
    <w:name w:val="_Style 27"/>
    <w:basedOn w:val="1"/>
    <w:next w:val="57"/>
    <w:autoRedefine/>
    <w:qFormat/>
    <w:uiPriority w:val="34"/>
    <w:pPr>
      <w:widowControl/>
      <w:spacing w:line="240" w:lineRule="atLeast"/>
      <w:ind w:firstLine="420" w:firstLineChars="200"/>
    </w:pPr>
    <w:rPr>
      <w:rFonts w:ascii="Arial" w:hAnsi="Arial"/>
      <w:kern w:val="0"/>
      <w:szCs w:val="21"/>
    </w:rPr>
  </w:style>
  <w:style w:type="paragraph" w:customStyle="1" w:styleId="62">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3">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4">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5">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6">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7">
    <w:name w:val="彩色列表 - 着色 11"/>
    <w:basedOn w:val="1"/>
    <w:autoRedefine/>
    <w:qFormat/>
    <w:uiPriority w:val="34"/>
    <w:pPr>
      <w:spacing w:line="360" w:lineRule="auto"/>
      <w:ind w:firstLine="420" w:firstLineChars="200"/>
    </w:pPr>
    <w:rPr>
      <w:rFonts w:ascii="Arial" w:hAnsi="Arial"/>
      <w:szCs w:val="21"/>
    </w:rPr>
  </w:style>
  <w:style w:type="paragraph" w:customStyle="1" w:styleId="68">
    <w:name w:val="表格标注（安华金和）"/>
    <w:basedOn w:val="58"/>
    <w:next w:val="1"/>
    <w:autoRedefine/>
    <w:qFormat/>
    <w:uiPriority w:val="0"/>
    <w:pPr>
      <w:numPr>
        <w:ilvl w:val="7"/>
      </w:numPr>
    </w:pPr>
  </w:style>
  <w:style w:type="paragraph" w:customStyle="1" w:styleId="69">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70">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71">
    <w:name w:val="批注文字 字符"/>
    <w:autoRedefine/>
    <w:qFormat/>
    <w:uiPriority w:val="99"/>
    <w:rPr>
      <w:kern w:val="2"/>
      <w:sz w:val="21"/>
      <w:szCs w:val="24"/>
    </w:rPr>
  </w:style>
  <w:style w:type="paragraph" w:customStyle="1" w:styleId="72">
    <w:name w:val="Other|1"/>
    <w:basedOn w:val="1"/>
    <w:autoRedefine/>
    <w:qFormat/>
    <w:uiPriority w:val="0"/>
    <w:pPr>
      <w:jc w:val="center"/>
    </w:pPr>
    <w:rPr>
      <w:rFonts w:ascii="宋体" w:hAnsi="宋体" w:cs="宋体"/>
      <w:sz w:val="22"/>
      <w:szCs w:val="22"/>
    </w:rPr>
  </w:style>
  <w:style w:type="paragraph" w:customStyle="1" w:styleId="73">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4">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2122</Words>
  <Characters>2212</Characters>
  <Lines>53</Lines>
  <Paragraphs>15</Paragraphs>
  <TotalTime>7</TotalTime>
  <ScaleCrop>false</ScaleCrop>
  <LinksUpToDate>false</LinksUpToDate>
  <CharactersWithSpaces>2216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2026-03-18T08:06:01Z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1071743BFC7E463CADF3FFE15382F81C_13</vt:lpwstr>
  </property>
  <property fmtid="{D5CDD505-2E9C-101B-9397-08002B2CF9AE}" pid="4" name="KSOTemplateDocerSaveRecord">
    <vt:lpwstr>eyJoZGlkIjoiNWI2ZTQ2YWJlNDNlMTFjZTQ5OGY0MzBiNTE0YWZmYjQiLCJ1c2VySWQiOiIyNDQ5OTg0MzkifQ==</vt:lpwstr>
  </property>
</Properties>
</file>