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日间诊疗管理平台需求</w:t>
      </w:r>
    </w:p>
    <w:p w14:paraId="29B2D0B7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14F7BEE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项目名称：日间诊疗管理平台</w:t>
      </w:r>
    </w:p>
    <w:p w14:paraId="2334FA7B">
      <w:pPr>
        <w:spacing w:line="360" w:lineRule="auto"/>
        <w:ind w:left="432"/>
        <w:rPr>
          <w:rFonts w:ascii="宋体" w:hAnsi="宋体"/>
          <w:sz w:val="22"/>
        </w:rPr>
      </w:pPr>
    </w:p>
    <w:p w14:paraId="21655B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0AA8B8CE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74A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BFD0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14E4A4A7">
            <w:pPr>
              <w:jc w:val="center"/>
            </w:pPr>
            <w:r>
              <w:rPr>
                <w:rFonts w:hint="eastAsia"/>
                <w:lang w:val="en-US" w:eastAsia="zh-CN"/>
              </w:rPr>
              <w:t>模块</w:t>
            </w: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14:paraId="513E25A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功能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</w:tr>
      <w:tr w14:paraId="750B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D7C4C6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057096F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日间诊疗管理平台</w:t>
            </w:r>
          </w:p>
        </w:tc>
        <w:tc>
          <w:tcPr>
            <w:tcW w:w="4536" w:type="dxa"/>
          </w:tcPr>
          <w:p w14:paraId="5F5FBEC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4"/>
                <w:rFonts w:hint="default"/>
                <w:lang w:val="en-US"/>
              </w:rPr>
              <w:t>配置详见日间诊疗管理平台</w:t>
            </w:r>
            <w:r>
              <w:rPr>
                <w:rStyle w:val="24"/>
                <w:rFonts w:hint="eastAsia"/>
                <w:lang w:val="en-US" w:eastAsia="zh-CN"/>
              </w:rPr>
              <w:t>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</w:tbl>
    <w:p w14:paraId="6531621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4151DA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95C47BA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1A08B2E"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E26C790">
      <w:pPr>
        <w:rPr>
          <w:sz w:val="22"/>
          <w:szCs w:val="28"/>
        </w:rPr>
      </w:pPr>
    </w:p>
    <w:p w14:paraId="02DA7D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 w14:paraId="669C4F85">
      <w:pPr>
        <w:pStyle w:val="3"/>
        <w:spacing w:before="0" w:after="0"/>
        <w:rPr>
          <w:rFonts w:hint="default" w:eastAsia="宋体"/>
          <w:lang w:val="en-US" w:eastAsia="zh-CN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项目背景</w:t>
      </w:r>
    </w:p>
    <w:bookmarkEnd w:id="2"/>
    <w:p w14:paraId="45401B4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随着肿瘤疾病发病率逐年上升，肿瘤患者化疗诊疗需求持续激增。传统住院化疗模式存在诸多痛点，医院住院床位资源紧张、患者平均住院日较长、就医往返频次高、候诊等待时间久，不仅占用大量医疗资源，也极大影响患者就医体验与生活质量。日间诊疗是一种介于门诊和住院之间的医疗服务模式，可以简化就医流程，优化医疗资源配置，有助于缓解医疗资源紧张问题。近年来，国家出台一系列政策推动日间诊疗服务的发展，为日间诊疗的规范和普及提供了有力保障。在医保改革方面，针对日间诊疗模式，通过登记“特殊病种”提高患者报销比例。在医疗质量方面，提出医疗机构运行和质量管理规定，包括医疗机构应明确日间患者各个环节的诊疗内容，制定诊疗计划和方案，加强日间诊疗评估管理，完成治疗前、治疗后、治疗结束等关键节点评估。</w:t>
      </w:r>
    </w:p>
    <w:p w14:paraId="69856EC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日间诊疗遵循当天入院、当天治疗、当天出院的诊疗原则，在完全保障治疗质量、医疗安全的前提下，高效盘活医院床位资源、缩短患者诊疗周期、降低就医成本与感染风险。为加快住院化疗病人分流，日间化疗患者进行治疗期间的流程按照住院流程进行，在专用患者管理系统，进行医嘱录入及病理书写等，按门诊治疗方式处理，当天治疗结束后离院，为此特搭建一体化日间诊疗管理平台。</w:t>
      </w:r>
    </w:p>
    <w:p w14:paraId="38C07FC3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建设目标</w:t>
      </w:r>
    </w:p>
    <w:p w14:paraId="1EE74C85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本平台聚焦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日间诊疗的</w:t>
      </w:r>
      <w:r>
        <w:rPr>
          <w:rFonts w:hint="default" w:ascii="宋体" w:hAnsi="宋体" w:cs="宋体"/>
          <w:sz w:val="21"/>
          <w:szCs w:val="21"/>
          <w:lang w:val="en-US" w:eastAsia="zh-CN"/>
        </w:rPr>
        <w:t>全场景，以安全可控、高效便捷、全程闭环、智慧赋能为核心建设理念，打造一体化智慧诊疗平台，具体建设目标如下：</w:t>
      </w:r>
    </w:p>
    <w:p w14:paraId="5A5B201D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搭建全流程闭环智慧化诊疗体系，实现门诊接诊、入院预约、方案制定、用药审核、临床治疗、出院结算、院后随访全链路信息化管控；</w:t>
      </w:r>
    </w:p>
    <w:p w14:paraId="7A33EE19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依托智能算法与标准化方案库，规范化疗诊疗流程，前置医疗风险预警，全方位保障肿瘤患者化疗用药安全与诊疗质量；</w:t>
      </w:r>
    </w:p>
    <w:p w14:paraId="78C7AB53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简化患者就医流程，减少排队等候与无效就医时长，大幅优化患者就医体验，降低患者就医经济与时间成本；</w:t>
      </w:r>
    </w:p>
    <w:p w14:paraId="7F3F9A7A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赋能医护人员减负增效，减少人工重复操作、文书录入工作量，提升科室诊疗工作效率；</w:t>
      </w:r>
    </w:p>
    <w:p w14:paraId="66DD901E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助力医院精细化运营管理，提升床位周转率、规范医保门特结算流程，满足医院学科建设、质控评审与信息化升级需求。</w:t>
      </w:r>
    </w:p>
    <w:p w14:paraId="1EDC2520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3.3总体业务流程</w:t>
      </w:r>
    </w:p>
    <w:p w14:paraId="11D84D9E">
      <w:pPr>
        <w:spacing w:line="36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191250" cy="324167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317E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3" w:name="heading_6"/>
      <w:r>
        <w:rPr>
          <w:rFonts w:hint="eastAsia" w:ascii="宋体" w:hAnsi="宋体" w:eastAsia="宋体"/>
          <w:sz w:val="24"/>
          <w:szCs w:val="24"/>
          <w:lang w:val="en-US" w:eastAsia="zh-CN"/>
        </w:rPr>
        <w:t>3.4核心功能模块详细说明</w:t>
      </w:r>
      <w:bookmarkEnd w:id="3"/>
    </w:p>
    <w:p w14:paraId="48CEF7B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</w:t>
      </w:r>
      <w:r>
        <w:rPr>
          <w:rFonts w:hint="eastAsia" w:ascii="宋体" w:hAnsi="宋体" w:cs="宋体"/>
          <w:sz w:val="21"/>
          <w:szCs w:val="21"/>
          <w:lang w:eastAsia="zh-CN"/>
        </w:rPr>
        <w:t>1普通就诊</w:t>
      </w:r>
    </w:p>
    <w:p w14:paraId="69CD4AB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先按正常门诊流程挂号，门诊医生接诊时，调取患者病历、检验、检查报告，了解患者身体状态，结合血常规、肝肾功能、心电图等核心检验指标分析病情，如患者否符合日间化疗标准，则转入日间化疗流程。</w:t>
      </w:r>
    </w:p>
    <w:p w14:paraId="25CDFEA7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3.4.2</w:t>
      </w:r>
      <w:r>
        <w:rPr>
          <w:rFonts w:hint="eastAsia" w:ascii="宋体" w:hAnsi="宋体" w:cs="宋体"/>
          <w:sz w:val="21"/>
          <w:szCs w:val="21"/>
          <w:lang w:eastAsia="zh-CN"/>
        </w:rPr>
        <w:t>一键入院与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日间诊疗座位</w:t>
      </w:r>
      <w:r>
        <w:rPr>
          <w:rFonts w:hint="eastAsia" w:ascii="宋体" w:hAnsi="宋体" w:cs="宋体"/>
          <w:sz w:val="21"/>
          <w:szCs w:val="21"/>
          <w:lang w:eastAsia="zh-CN"/>
        </w:rPr>
        <w:t>管理模块</w:t>
      </w:r>
    </w:p>
    <w:p w14:paraId="2354BDD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为简化入院流程、盘活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病区日间座位</w:t>
      </w:r>
      <w:r>
        <w:rPr>
          <w:rFonts w:hint="eastAsia" w:ascii="宋体" w:hAnsi="宋体" w:cs="宋体"/>
          <w:sz w:val="21"/>
          <w:szCs w:val="21"/>
          <w:lang w:eastAsia="zh-CN"/>
        </w:rPr>
        <w:t>资源，本系统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具备</w:t>
      </w:r>
      <w:r>
        <w:rPr>
          <w:rFonts w:hint="eastAsia" w:ascii="宋体" w:hAnsi="宋体" w:cs="宋体"/>
          <w:sz w:val="21"/>
          <w:szCs w:val="21"/>
          <w:lang w:eastAsia="zh-CN"/>
        </w:rPr>
        <w:t>快速入院功能。门诊医生可在诊间界面一键跳转日间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平台，系统自动同步患者姓名、性别、年龄、诊断、病理报告等基础诊疗信息，可按需补充血管通路、既往化疗史等关键信息，在医生诊间为患者一键办理日间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入院。</w:t>
      </w:r>
    </w:p>
    <w:p w14:paraId="6BEAB8C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系统支持医院多化疗病区、多诊疗中心统一管理，可自由选择就诊病区，自动分配专属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日间诊疗座位</w:t>
      </w:r>
      <w:r>
        <w:rPr>
          <w:rFonts w:hint="eastAsia" w:ascii="宋体" w:hAnsi="宋体" w:cs="宋体"/>
          <w:sz w:val="21"/>
          <w:szCs w:val="21"/>
          <w:lang w:eastAsia="zh-CN"/>
        </w:rPr>
        <w:t>。区别于常规住院，日间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床位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管理</w:t>
      </w:r>
      <w:r>
        <w:rPr>
          <w:rFonts w:hint="eastAsia" w:ascii="宋体" w:hAnsi="宋体" w:cs="宋体"/>
          <w:sz w:val="21"/>
          <w:szCs w:val="21"/>
          <w:lang w:eastAsia="zh-CN"/>
        </w:rPr>
        <w:t>实时可视化展示床位占用状态，杜绝床位冲突、资源闲置等问题。</w:t>
      </w:r>
    </w:p>
    <w:p w14:paraId="48AFBACF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3.4.3诊疗</w:t>
      </w:r>
      <w:r>
        <w:rPr>
          <w:rFonts w:hint="eastAsia" w:ascii="宋体" w:hAnsi="宋体" w:cs="宋体"/>
          <w:sz w:val="21"/>
          <w:szCs w:val="21"/>
          <w:lang w:eastAsia="zh-CN"/>
        </w:rPr>
        <w:t>方案智能制定模块</w:t>
      </w:r>
    </w:p>
    <w:p w14:paraId="128E121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平台内置贴合NCCN、CSCO国内肿瘤诊疗规范的结构化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方案库，覆盖各类常见肿瘤病种，医生可根据患者病种、病情、体质一键调取标准化化疗方案，同时可自定义配置辅助用药模板，保障医嘱开具的规范性、专业性。</w:t>
      </w:r>
    </w:p>
    <w:p w14:paraId="4C67EE9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系统具备智能计算功能，可根据患者体表面积、体重自动核算用药剂量，支持老年、体弱、术后患者个性化剂量调整，自动标注21天/28天化疗周期、单次治疗时长等关键信息并定时提醒。</w:t>
      </w:r>
    </w:p>
    <w:p w14:paraId="0BD5631D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同时搭载智能风险预警机制，对大剂量化疗、强骨髓抑制等高风险方案，以及患者肝肾功能不全、活动性感染、无法定期随访等禁忌情况，实时弹窗预警，规避用药风险。所有医嘱、病历信息自动同步至住院医生工作站，支持随时查看、修改。</w:t>
      </w:r>
    </w:p>
    <w:p w14:paraId="319A49D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系统自动归档患者历次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记录，以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疗程为主线，展示时间轴视图，可快速浏览各疗程的医嘱、病历和治疗过程记录，方便医生追溯诊疗历史。</w:t>
      </w:r>
    </w:p>
    <w:p w14:paraId="5CE74DA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3.4.4日间诊疗</w:t>
      </w:r>
      <w:r>
        <w:rPr>
          <w:rFonts w:hint="eastAsia" w:ascii="宋体" w:hAnsi="宋体" w:cs="宋体"/>
          <w:sz w:val="21"/>
          <w:szCs w:val="21"/>
          <w:lang w:eastAsia="zh-CN"/>
        </w:rPr>
        <w:t>时间预约</w:t>
      </w:r>
    </w:p>
    <w:p w14:paraId="30F33F3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支持门诊医生、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住院医生</w:t>
      </w:r>
      <w:r>
        <w:rPr>
          <w:rFonts w:hint="eastAsia" w:ascii="宋体" w:hAnsi="宋体" w:cs="宋体"/>
          <w:sz w:val="21"/>
          <w:szCs w:val="21"/>
          <w:lang w:eastAsia="zh-CN"/>
        </w:rPr>
        <w:t>、科室护士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三重</w:t>
      </w:r>
      <w:r>
        <w:rPr>
          <w:rFonts w:hint="eastAsia" w:ascii="宋体" w:hAnsi="宋体" w:cs="宋体"/>
          <w:sz w:val="21"/>
          <w:szCs w:val="21"/>
          <w:lang w:eastAsia="zh-CN"/>
        </w:rPr>
        <w:t>角色操作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日间诊疗的</w:t>
      </w:r>
      <w:r>
        <w:rPr>
          <w:rFonts w:hint="eastAsia" w:ascii="宋体" w:hAnsi="宋体" w:cs="宋体"/>
          <w:sz w:val="21"/>
          <w:szCs w:val="21"/>
          <w:lang w:eastAsia="zh-CN"/>
        </w:rPr>
        <w:t>预约业务，系统实时更新科室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bookmarkStart w:id="4" w:name="_GoBack"/>
      <w:bookmarkEnd w:id="4"/>
      <w:r>
        <w:rPr>
          <w:rFonts w:hint="eastAsia" w:ascii="宋体" w:hAnsi="宋体" w:cs="宋体"/>
          <w:sz w:val="21"/>
          <w:szCs w:val="21"/>
          <w:lang w:eastAsia="zh-CN"/>
        </w:rPr>
        <w:t>床位、治疗椅位、医护人员资源占用状态，杜绝预约冲突。可精准预约具体就诊日期、半小时级诊疗时段及专属治疗床位，预约成功后，系统自动向患者手机推送预约成功通知、就诊须知，在就诊前1天再次推送就诊提醒，有效降低患者失约、迟到情况，保障科室诊疗工作有序排程。</w:t>
      </w:r>
    </w:p>
    <w:p w14:paraId="3BC5A15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3.4.5</w:t>
      </w:r>
      <w:r>
        <w:rPr>
          <w:rFonts w:hint="eastAsia" w:ascii="宋体" w:hAnsi="宋体" w:cs="宋体"/>
          <w:sz w:val="21"/>
          <w:szCs w:val="21"/>
          <w:lang w:eastAsia="zh-CN"/>
        </w:rPr>
        <w:t>医嘱审核与缴费管理模块</w:t>
      </w:r>
    </w:p>
    <w:p w14:paraId="726B72A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搭建双重审核机制，护士对医生开立的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</w:t>
      </w:r>
      <w:r>
        <w:rPr>
          <w:rFonts w:hint="eastAsia" w:ascii="宋体" w:hAnsi="宋体" w:cs="宋体"/>
          <w:sz w:val="21"/>
          <w:szCs w:val="21"/>
          <w:lang w:eastAsia="zh-CN"/>
        </w:rPr>
        <w:t>医嘱、用药方案、剂量、疗程进行二次审核，确认合规无误后流转下一流程，严控医嘱差错。</w:t>
      </w:r>
    </w:p>
    <w:p w14:paraId="1B3B85E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缴费模式采用住院预缴费机制，医生或护士可通过系统推送缴费通知，患者可通过医院官方公众号、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APP</w:t>
      </w:r>
      <w:r>
        <w:rPr>
          <w:rFonts w:hint="eastAsia" w:ascii="宋体" w:hAnsi="宋体" w:cs="宋体"/>
          <w:sz w:val="21"/>
          <w:szCs w:val="21"/>
          <w:lang w:eastAsia="zh-CN"/>
        </w:rPr>
        <w:t>、院内自助机、收费窗口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等多</w:t>
      </w:r>
      <w:r>
        <w:rPr>
          <w:rFonts w:hint="eastAsia" w:ascii="宋体" w:hAnsi="宋体" w:cs="宋体"/>
          <w:sz w:val="21"/>
          <w:szCs w:val="21"/>
          <w:lang w:eastAsia="zh-CN"/>
        </w:rPr>
        <w:t>种渠道便捷缴纳治疗按金。</w:t>
      </w:r>
    </w:p>
    <w:p w14:paraId="61C3F3E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系统支持科室实时查询患者缴费状态，对于超时未缴费患者，自动释放其预约床位，实现医疗资源循环高效利用。</w:t>
      </w:r>
    </w:p>
    <w:p w14:paraId="4C46F30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系统提供日间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患者列表界面，展示患者的基本资料、预约时间、缴费情况等信息，双击患者可以进入医嘱和病历录入界面。</w:t>
      </w:r>
    </w:p>
    <w:p w14:paraId="0507F3D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系统提供以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床位的预约矩阵图，方便医生和护士查看各日期的床位预约情况和空闲时间段。</w:t>
      </w:r>
    </w:p>
    <w:p w14:paraId="4DD0CA0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如患者未及时缴纳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</w:t>
      </w:r>
      <w:r>
        <w:rPr>
          <w:rFonts w:hint="eastAsia" w:ascii="宋体" w:hAnsi="宋体" w:cs="宋体"/>
          <w:sz w:val="21"/>
          <w:szCs w:val="21"/>
          <w:lang w:eastAsia="zh-CN"/>
        </w:rPr>
        <w:t>按金，护士工作站界面会自动出现醒目的提示图标，护士可电话联系患者缴费，或改约/取消化疗预约。</w:t>
      </w:r>
    </w:p>
    <w:p w14:paraId="09A3886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3.4.6</w:t>
      </w:r>
      <w:r>
        <w:rPr>
          <w:rFonts w:hint="eastAsia" w:ascii="宋体" w:hAnsi="宋体" w:cs="宋体"/>
          <w:sz w:val="21"/>
          <w:szCs w:val="21"/>
          <w:lang w:eastAsia="zh-CN"/>
        </w:rPr>
        <w:t>静配审方与药品闭环管理模块</w:t>
      </w:r>
    </w:p>
    <w:p w14:paraId="55DCBC8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患者完成预缴按金后，系统才会将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</w:t>
      </w:r>
      <w:r>
        <w:rPr>
          <w:rFonts w:hint="eastAsia" w:ascii="宋体" w:hAnsi="宋体" w:cs="宋体"/>
          <w:sz w:val="21"/>
          <w:szCs w:val="21"/>
          <w:lang w:eastAsia="zh-CN"/>
        </w:rPr>
        <w:t>医嘱同步推送至PIVAS静配中心系统。</w:t>
      </w:r>
    </w:p>
    <w:p w14:paraId="0A90B5CC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静配药师完成专业审方、药品复核后，按照无菌标准化流程完成药品配置，配置完成后由专人配送至日间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科室，科室护士完成药品签收确认。全流程实现审方、配置、配送、签收、使用全程可追溯，每一步操作均留痕存档，实现化疗药品闭环管控，杜绝药品浪费、错用、漏用问题。</w:t>
      </w:r>
    </w:p>
    <w:p w14:paraId="0662C689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3.4.7</w:t>
      </w:r>
      <w:r>
        <w:rPr>
          <w:rFonts w:hint="eastAsia" w:ascii="宋体" w:hAnsi="宋体" w:cs="宋体"/>
          <w:sz w:val="21"/>
          <w:szCs w:val="21"/>
          <w:lang w:eastAsia="zh-CN"/>
        </w:rPr>
        <w:t>患者报到与身份核对模块</w:t>
      </w:r>
    </w:p>
    <w:p w14:paraId="0024F40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依托患者全周期提醒机制，预约就诊前一天，系统自动通过短信、公众号、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APP</w:t>
      </w:r>
      <w:r>
        <w:rPr>
          <w:rFonts w:hint="eastAsia" w:ascii="宋体" w:hAnsi="宋体" w:cs="宋体"/>
          <w:sz w:val="21"/>
          <w:szCs w:val="21"/>
          <w:lang w:eastAsia="zh-CN"/>
        </w:rPr>
        <w:t>推送就诊提醒、就诊地点、所需证件等信息。患者到达科室后，可凭借诊疗卡、身份证、医保卡完成线上自助报到或护士站人工报到。</w:t>
      </w:r>
    </w:p>
    <w:p w14:paraId="250D02E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患者报到完成后，由护士操作打印专属患者腕带，标注患者基本信息、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方案、治疗时段等关键内容，护士为患者佩戴腕带，作为后续身份核对、诊疗执行的唯一凭证，从根本上杜绝患者身份核对失误问题，保障诊疗安全。</w:t>
      </w:r>
    </w:p>
    <w:p w14:paraId="06C9650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3.4.8 </w:t>
      </w:r>
      <w:r>
        <w:rPr>
          <w:rFonts w:hint="eastAsia" w:ascii="宋体" w:hAnsi="宋体" w:cs="宋体"/>
          <w:sz w:val="21"/>
          <w:szCs w:val="21"/>
          <w:lang w:eastAsia="zh-CN"/>
        </w:rPr>
        <w:t>PDA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执行闭环模块</w:t>
      </w:r>
    </w:p>
    <w:p w14:paraId="2F7695E7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科室护士通过移动PDA终端登录日间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执行系统，实行双重扫码核对制度，依次扫描患者腕带二维码、药品瓶签二维码，精准核对患者信息、药品信息、用药剂量、治疗方案，核对无误后方可开展输液治疗。</w:t>
      </w:r>
    </w:p>
    <w:p w14:paraId="5399089C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在输液开始、换药、输液结束、拔针完成等关键节点，均需通过PDA扫码确认操作，系统自动记录操作时间、操作人员、操作内容。</w:t>
      </w:r>
    </w:p>
    <w:p w14:paraId="2671FDB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针对患者治疗过程中出现的恶心、呕吐、过敏等不良反应，护士可通过PDA实时上传记录，实现化疗治疗全流程操作留痕、闭环管理，满足医疗质控追溯要求。</w:t>
      </w:r>
    </w:p>
    <w:p w14:paraId="7207086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3.4.9</w:t>
      </w:r>
      <w:r>
        <w:rPr>
          <w:rFonts w:hint="eastAsia" w:ascii="宋体" w:hAnsi="宋体" w:cs="宋体"/>
          <w:sz w:val="21"/>
          <w:szCs w:val="21"/>
          <w:lang w:eastAsia="zh-CN"/>
        </w:rPr>
        <w:t>护理与病情观察模块</w:t>
      </w:r>
    </w:p>
    <w:p w14:paraId="3250D2F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治疗全程支持护士实时录入患者生命体征数据，包括体温、血压、心率、血氧饱和度等关键指标，动态监测患者病情变化。</w:t>
      </w:r>
    </w:p>
    <w:p w14:paraId="3B4E27A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内置标准化护理文书模板，护士可实时记录输液观察情况、患者主观感受、不良反应处置措施等内容，系统自动整合生成标准化护理记录，大幅减少人工文书录入工作量，提升护理文书规范性与完整性，保障诊疗过程有据可查。</w:t>
      </w:r>
    </w:p>
    <w:p w14:paraId="1798C3E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3.4.10</w:t>
      </w:r>
      <w:r>
        <w:rPr>
          <w:rFonts w:hint="eastAsia" w:ascii="宋体" w:hAnsi="宋体" w:cs="宋体"/>
          <w:sz w:val="21"/>
          <w:szCs w:val="21"/>
          <w:lang w:eastAsia="zh-CN"/>
        </w:rPr>
        <w:t>出院结算与疗程归档模块</w:t>
      </w:r>
    </w:p>
    <w:p w14:paraId="02FC7C8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完成日间诊疗</w:t>
      </w:r>
      <w:r>
        <w:rPr>
          <w:rFonts w:hint="eastAsia" w:ascii="宋体" w:hAnsi="宋体" w:cs="宋体"/>
          <w:sz w:val="21"/>
          <w:szCs w:val="21"/>
          <w:lang w:eastAsia="zh-CN"/>
        </w:rPr>
        <w:t>后，护士可在系统核对全部诊疗费用，可灵活补录临时新增的辅助治疗、对症用药等费用明细，确认费用无误后，一键为患者办理出院手续。</w:t>
      </w:r>
    </w:p>
    <w:p w14:paraId="45FFCA1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系统对接医保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系统的</w:t>
      </w:r>
      <w:r>
        <w:rPr>
          <w:rFonts w:hint="eastAsia" w:ascii="宋体" w:hAnsi="宋体" w:cs="宋体"/>
          <w:sz w:val="21"/>
          <w:szCs w:val="21"/>
          <w:lang w:eastAsia="zh-CN"/>
        </w:rPr>
        <w:t>门特结算接口，患者可通过公众号、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APP、病区护士站</w:t>
      </w:r>
      <w:r>
        <w:rPr>
          <w:rFonts w:hint="eastAsia" w:ascii="宋体" w:hAnsi="宋体" w:cs="宋体"/>
          <w:sz w:val="21"/>
          <w:szCs w:val="21"/>
          <w:lang w:eastAsia="zh-CN"/>
        </w:rPr>
        <w:t>、自助机、收费窗口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等渠道</w:t>
      </w:r>
      <w:r>
        <w:rPr>
          <w:rFonts w:hint="eastAsia" w:ascii="宋体" w:hAnsi="宋体" w:cs="宋体"/>
          <w:sz w:val="21"/>
          <w:szCs w:val="21"/>
          <w:lang w:eastAsia="zh-CN"/>
        </w:rPr>
        <w:t>完成实时医保结算。结算完成后，患者可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自助</w:t>
      </w:r>
      <w:r>
        <w:rPr>
          <w:rFonts w:hint="eastAsia" w:ascii="宋体" w:hAnsi="宋体" w:cs="宋体"/>
          <w:sz w:val="21"/>
          <w:szCs w:val="21"/>
          <w:lang w:eastAsia="zh-CN"/>
        </w:rPr>
        <w:t>打印电子发票、费用明细清单、日间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病历、治疗执行单、处方笺等全套诊疗资料。</w:t>
      </w:r>
    </w:p>
    <w:p w14:paraId="085E245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出院后，系统自动归集本次化疗全周期诊疗数据，智能生成疗程阶段小结，完整记录治疗方案、用药情况、病情变化、护理记录等信息，为后续复诊、续疗、疗效评估提供数据支撑。</w:t>
      </w:r>
    </w:p>
    <w:p w14:paraId="33D83060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3.4.11日间诊疗平台集成</w:t>
      </w:r>
    </w:p>
    <w:p w14:paraId="4D8712E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本平台无缝对接医院现有各类信息化系统，数据互通、接口合规，具体内容如下：</w:t>
      </w:r>
    </w:p>
    <w:p w14:paraId="5167BB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对接HIS、EMR电子病历系统：同步患者基础信息、诊疗记录、医嘱信息、病历资料，实现数据互通共享；</w:t>
      </w:r>
    </w:p>
    <w:p w14:paraId="47EA92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2)对接LIS检验、PACS影像系统：自动调取患者检验、影像报告，为医生病情评估、方案制定提供依据；</w:t>
      </w:r>
    </w:p>
    <w:p w14:paraId="706A6C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3)对接PIVAS静配中心系统：实现医嘱自动推送、药品审方、配置、配送全流程联动；</w:t>
      </w:r>
    </w:p>
    <w:p w14:paraId="601651B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4)对接医保结算系统：适配肿瘤门特诊疗政策，实现费用实时结算、医保数据合规上传；</w:t>
      </w:r>
    </w:p>
    <w:p w14:paraId="78FEB11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5)对接医院患者端公众号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/APP/自助机</w:t>
      </w:r>
      <w:r>
        <w:rPr>
          <w:rFonts w:hint="default" w:ascii="宋体" w:hAnsi="宋体" w:cs="宋体"/>
          <w:sz w:val="21"/>
          <w:szCs w:val="21"/>
          <w:lang w:val="en-US" w:eastAsia="zh-CN"/>
        </w:rPr>
        <w:t>：实现预约、缴费、提醒、报告查询、健康宣教等便民服务；</w:t>
      </w:r>
    </w:p>
    <w:p w14:paraId="62BB5B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6)对接药房、耗材管理系统：同步药品、耗材出入库数据，实现耗材使用、药品消耗全程追溯；</w:t>
      </w:r>
    </w:p>
    <w:p w14:paraId="1750310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统一数据标准与接口规范，所有操作日志、诊疗数据全程留痕，满足医院质控、审计、等级评审要求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 w14:paraId="25D6922E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项目工期</w:t>
      </w:r>
    </w:p>
    <w:p w14:paraId="48B1B1C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1、自合同签订日起，须在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个工作日内对《用户需求说明书》进行补充、确认或提出意见。</w:t>
      </w:r>
    </w:p>
    <w:p w14:paraId="3EDBC8F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2B4621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3、须在《需求规格说明书》确认后的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个月内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逐步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上线，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保证系统正常工作。</w:t>
      </w:r>
    </w:p>
    <w:p w14:paraId="1169075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4、完成系统本地化部署和实施，并根据院方提出的新需求完成修改后，系统运行3个月以上无软件故障出现，则向院方申请验收。</w:t>
      </w:r>
    </w:p>
    <w:p w14:paraId="7D18F475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实施服务要求</w:t>
      </w:r>
    </w:p>
    <w:p w14:paraId="2ED36ED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F0DA5E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59751D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2703C0C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C78E15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5E35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73EAF15E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AADF1"/>
    <w:multiLevelType w:val="singleLevel"/>
    <w:tmpl w:val="85DAADF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1658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27951"/>
    <w:rsid w:val="01FB2325"/>
    <w:rsid w:val="023E5FCB"/>
    <w:rsid w:val="02C21699"/>
    <w:rsid w:val="0331086C"/>
    <w:rsid w:val="03327FC8"/>
    <w:rsid w:val="03862521"/>
    <w:rsid w:val="03A85738"/>
    <w:rsid w:val="03B409DD"/>
    <w:rsid w:val="04470273"/>
    <w:rsid w:val="048E122E"/>
    <w:rsid w:val="05C23CDB"/>
    <w:rsid w:val="06356985"/>
    <w:rsid w:val="066F4577"/>
    <w:rsid w:val="08AA0601"/>
    <w:rsid w:val="09531675"/>
    <w:rsid w:val="09916EF4"/>
    <w:rsid w:val="09CF60E2"/>
    <w:rsid w:val="0A1977EC"/>
    <w:rsid w:val="0A690774"/>
    <w:rsid w:val="0AB16A13"/>
    <w:rsid w:val="0AB3379D"/>
    <w:rsid w:val="0AC7060C"/>
    <w:rsid w:val="0AF344E1"/>
    <w:rsid w:val="0B043FF8"/>
    <w:rsid w:val="0B5C3E34"/>
    <w:rsid w:val="0BB46A02"/>
    <w:rsid w:val="0D554FDF"/>
    <w:rsid w:val="0DD405FA"/>
    <w:rsid w:val="0E2D3866"/>
    <w:rsid w:val="0E5139F9"/>
    <w:rsid w:val="0E80608C"/>
    <w:rsid w:val="0F0F5662"/>
    <w:rsid w:val="0F4A086B"/>
    <w:rsid w:val="0F7B173B"/>
    <w:rsid w:val="0FC91CB4"/>
    <w:rsid w:val="103F3D25"/>
    <w:rsid w:val="10525806"/>
    <w:rsid w:val="105F7F23"/>
    <w:rsid w:val="10CB06DF"/>
    <w:rsid w:val="1111703D"/>
    <w:rsid w:val="11EE155E"/>
    <w:rsid w:val="12936293"/>
    <w:rsid w:val="12B02CB8"/>
    <w:rsid w:val="13685097"/>
    <w:rsid w:val="1377169D"/>
    <w:rsid w:val="13954387"/>
    <w:rsid w:val="13AC012C"/>
    <w:rsid w:val="14432035"/>
    <w:rsid w:val="14CF52C6"/>
    <w:rsid w:val="1594241D"/>
    <w:rsid w:val="15CD16BF"/>
    <w:rsid w:val="164D181C"/>
    <w:rsid w:val="16E81F0F"/>
    <w:rsid w:val="17401819"/>
    <w:rsid w:val="18BB3DE3"/>
    <w:rsid w:val="18C15C1F"/>
    <w:rsid w:val="19D96F98"/>
    <w:rsid w:val="19FB6D59"/>
    <w:rsid w:val="1A293A7B"/>
    <w:rsid w:val="1A4C32C6"/>
    <w:rsid w:val="1AB23A71"/>
    <w:rsid w:val="1B852F33"/>
    <w:rsid w:val="1C200EAE"/>
    <w:rsid w:val="1C3A1F70"/>
    <w:rsid w:val="1C5564A5"/>
    <w:rsid w:val="1C6F7740"/>
    <w:rsid w:val="1D76522A"/>
    <w:rsid w:val="1DF76525"/>
    <w:rsid w:val="1E733517"/>
    <w:rsid w:val="1EAB0F03"/>
    <w:rsid w:val="1EB67464"/>
    <w:rsid w:val="1F8C2F94"/>
    <w:rsid w:val="20A55777"/>
    <w:rsid w:val="21ED1C1C"/>
    <w:rsid w:val="221E379A"/>
    <w:rsid w:val="22511DC1"/>
    <w:rsid w:val="22D16A5E"/>
    <w:rsid w:val="232B0864"/>
    <w:rsid w:val="23627FFE"/>
    <w:rsid w:val="23F6731D"/>
    <w:rsid w:val="24247062"/>
    <w:rsid w:val="243A7A59"/>
    <w:rsid w:val="24FD1D8D"/>
    <w:rsid w:val="255D282B"/>
    <w:rsid w:val="255D6CCF"/>
    <w:rsid w:val="25746436"/>
    <w:rsid w:val="25A36DFE"/>
    <w:rsid w:val="260C4691"/>
    <w:rsid w:val="27252FA8"/>
    <w:rsid w:val="273B4DEE"/>
    <w:rsid w:val="27457A1B"/>
    <w:rsid w:val="280253D0"/>
    <w:rsid w:val="28277120"/>
    <w:rsid w:val="2919037A"/>
    <w:rsid w:val="2A032F4E"/>
    <w:rsid w:val="2AB622C0"/>
    <w:rsid w:val="2BC53F18"/>
    <w:rsid w:val="2C1A76C8"/>
    <w:rsid w:val="2CBF5B79"/>
    <w:rsid w:val="2CC55886"/>
    <w:rsid w:val="2DE51610"/>
    <w:rsid w:val="2F3C0EE8"/>
    <w:rsid w:val="2F546A4D"/>
    <w:rsid w:val="30191A45"/>
    <w:rsid w:val="305F50DC"/>
    <w:rsid w:val="308E41E1"/>
    <w:rsid w:val="30B26121"/>
    <w:rsid w:val="30F90559"/>
    <w:rsid w:val="312F6319"/>
    <w:rsid w:val="31553C02"/>
    <w:rsid w:val="31B825D6"/>
    <w:rsid w:val="3287538B"/>
    <w:rsid w:val="329A50BF"/>
    <w:rsid w:val="33484B1B"/>
    <w:rsid w:val="334C7B1F"/>
    <w:rsid w:val="336456CD"/>
    <w:rsid w:val="342F6EA9"/>
    <w:rsid w:val="36581D34"/>
    <w:rsid w:val="36A15F19"/>
    <w:rsid w:val="37971785"/>
    <w:rsid w:val="379A1F38"/>
    <w:rsid w:val="389E342F"/>
    <w:rsid w:val="38E20AE5"/>
    <w:rsid w:val="3A125E82"/>
    <w:rsid w:val="3A255BB6"/>
    <w:rsid w:val="3A8F302F"/>
    <w:rsid w:val="3ABB02C8"/>
    <w:rsid w:val="3C8666B4"/>
    <w:rsid w:val="3CA52FDE"/>
    <w:rsid w:val="3E687442"/>
    <w:rsid w:val="3F2E63EC"/>
    <w:rsid w:val="3F9C695E"/>
    <w:rsid w:val="41E73751"/>
    <w:rsid w:val="42200080"/>
    <w:rsid w:val="42EE04F8"/>
    <w:rsid w:val="43A833B4"/>
    <w:rsid w:val="43B05002"/>
    <w:rsid w:val="450A60D4"/>
    <w:rsid w:val="454278DA"/>
    <w:rsid w:val="45A33EA7"/>
    <w:rsid w:val="45C20BDF"/>
    <w:rsid w:val="466622E2"/>
    <w:rsid w:val="46AA2F9F"/>
    <w:rsid w:val="46FA5AF3"/>
    <w:rsid w:val="47043625"/>
    <w:rsid w:val="47486A40"/>
    <w:rsid w:val="47DC5FFF"/>
    <w:rsid w:val="487335D5"/>
    <w:rsid w:val="488C513A"/>
    <w:rsid w:val="48CB5B7A"/>
    <w:rsid w:val="49034689"/>
    <w:rsid w:val="49C85663"/>
    <w:rsid w:val="49FE5ADB"/>
    <w:rsid w:val="4AE34743"/>
    <w:rsid w:val="4B2D2D60"/>
    <w:rsid w:val="4BC37C17"/>
    <w:rsid w:val="4CBD7ED0"/>
    <w:rsid w:val="4D4C4DB0"/>
    <w:rsid w:val="4E4168DE"/>
    <w:rsid w:val="50131BB5"/>
    <w:rsid w:val="506863A4"/>
    <w:rsid w:val="51021035"/>
    <w:rsid w:val="511A6D4F"/>
    <w:rsid w:val="511C421F"/>
    <w:rsid w:val="517B2107"/>
    <w:rsid w:val="51FE0D6E"/>
    <w:rsid w:val="524D13AE"/>
    <w:rsid w:val="52A64F62"/>
    <w:rsid w:val="54B0031A"/>
    <w:rsid w:val="5511700B"/>
    <w:rsid w:val="55EB0D1D"/>
    <w:rsid w:val="56B51C18"/>
    <w:rsid w:val="56F561BC"/>
    <w:rsid w:val="571A0371"/>
    <w:rsid w:val="57F81DBC"/>
    <w:rsid w:val="57FD3ECA"/>
    <w:rsid w:val="58030BB1"/>
    <w:rsid w:val="58123CA0"/>
    <w:rsid w:val="58443253"/>
    <w:rsid w:val="5853627C"/>
    <w:rsid w:val="586C6306"/>
    <w:rsid w:val="59D40607"/>
    <w:rsid w:val="5A292701"/>
    <w:rsid w:val="5A492DA3"/>
    <w:rsid w:val="5A7A11AE"/>
    <w:rsid w:val="5AD33C10"/>
    <w:rsid w:val="5B2353A2"/>
    <w:rsid w:val="5B8B2F47"/>
    <w:rsid w:val="5B8E106E"/>
    <w:rsid w:val="5B9718EC"/>
    <w:rsid w:val="5BB701E0"/>
    <w:rsid w:val="5DBA7B13"/>
    <w:rsid w:val="5DC32E6C"/>
    <w:rsid w:val="5DD72473"/>
    <w:rsid w:val="5DDA684D"/>
    <w:rsid w:val="5ECC5D50"/>
    <w:rsid w:val="5F3CEA24"/>
    <w:rsid w:val="602776E2"/>
    <w:rsid w:val="60C767CF"/>
    <w:rsid w:val="614147D4"/>
    <w:rsid w:val="62B07F22"/>
    <w:rsid w:val="63715118"/>
    <w:rsid w:val="637846F9"/>
    <w:rsid w:val="63C416EC"/>
    <w:rsid w:val="63D01E3F"/>
    <w:rsid w:val="63D27965"/>
    <w:rsid w:val="64413F31"/>
    <w:rsid w:val="648A1C7E"/>
    <w:rsid w:val="655D7702"/>
    <w:rsid w:val="659A2704"/>
    <w:rsid w:val="65FD3081"/>
    <w:rsid w:val="672C55DE"/>
    <w:rsid w:val="6773145F"/>
    <w:rsid w:val="681A21AC"/>
    <w:rsid w:val="68250F7E"/>
    <w:rsid w:val="68AF0A08"/>
    <w:rsid w:val="69036813"/>
    <w:rsid w:val="6945507D"/>
    <w:rsid w:val="6B9876E6"/>
    <w:rsid w:val="6BC06C3D"/>
    <w:rsid w:val="6BCC55E2"/>
    <w:rsid w:val="6C0E65DE"/>
    <w:rsid w:val="6C68212C"/>
    <w:rsid w:val="6C9D6EE8"/>
    <w:rsid w:val="6E0A10F3"/>
    <w:rsid w:val="6E2C314C"/>
    <w:rsid w:val="6E4B57C5"/>
    <w:rsid w:val="708D1BDD"/>
    <w:rsid w:val="70926DFA"/>
    <w:rsid w:val="7121017E"/>
    <w:rsid w:val="71F31B1A"/>
    <w:rsid w:val="71FB5066"/>
    <w:rsid w:val="72CF483A"/>
    <w:rsid w:val="7343262D"/>
    <w:rsid w:val="73843616"/>
    <w:rsid w:val="739369E5"/>
    <w:rsid w:val="73B837AB"/>
    <w:rsid w:val="741C3C5E"/>
    <w:rsid w:val="743B1556"/>
    <w:rsid w:val="75592311"/>
    <w:rsid w:val="75D25EEA"/>
    <w:rsid w:val="75F1669B"/>
    <w:rsid w:val="76206B93"/>
    <w:rsid w:val="764C7A4B"/>
    <w:rsid w:val="76A809F9"/>
    <w:rsid w:val="770E4D00"/>
    <w:rsid w:val="773A7329"/>
    <w:rsid w:val="779E6886"/>
    <w:rsid w:val="78B64D80"/>
    <w:rsid w:val="7A0A5C53"/>
    <w:rsid w:val="7A4D1FE3"/>
    <w:rsid w:val="7A747570"/>
    <w:rsid w:val="7A8335BE"/>
    <w:rsid w:val="7A911F54"/>
    <w:rsid w:val="7AAD65DE"/>
    <w:rsid w:val="7B3B0EE2"/>
    <w:rsid w:val="7BD197DA"/>
    <w:rsid w:val="7C617D99"/>
    <w:rsid w:val="7C706F42"/>
    <w:rsid w:val="7D9F2B56"/>
    <w:rsid w:val="7DB12205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2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4165</Words>
  <Characters>4269</Characters>
  <Lines>21</Lines>
  <Paragraphs>6</Paragraphs>
  <TotalTime>5</TotalTime>
  <ScaleCrop>false</ScaleCrop>
  <LinksUpToDate>false</LinksUpToDate>
  <CharactersWithSpaces>4270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晖少</cp:lastModifiedBy>
  <dcterms:modified xsi:type="dcterms:W3CDTF">2026-06-23T01:01:35Z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eyJoZGlkIjoiY2ExY2Q2MGM5MDcwNTczZThmMmNjZDA4NTZlMDVmNGMiLCJ1c2VySWQiOiI0Nzg3MzMxNTAifQ==</vt:lpwstr>
  </property>
</Properties>
</file>