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A0FE8" w14:textId="19CB0DB6" w:rsidR="00E52A94" w:rsidRDefault="009232C9">
      <w:pPr>
        <w:widowControl/>
        <w:spacing w:before="100" w:beforeAutospacing="1" w:after="100" w:afterAutospacing="1" w:line="360" w:lineRule="auto"/>
        <w:jc w:val="center"/>
        <w:rPr>
          <w:rFonts w:ascii="宋体" w:hAnsi="宋体"/>
          <w:b/>
          <w:bCs/>
          <w:sz w:val="44"/>
          <w:szCs w:val="44"/>
        </w:rPr>
      </w:pPr>
      <w:r>
        <w:rPr>
          <w:rFonts w:ascii="宋体" w:hAnsi="宋体" w:hint="eastAsia"/>
          <w:b/>
          <w:bCs/>
          <w:sz w:val="44"/>
          <w:szCs w:val="44"/>
        </w:rPr>
        <w:t>遗传病</w:t>
      </w:r>
      <w:proofErr w:type="gramStart"/>
      <w:r>
        <w:rPr>
          <w:rFonts w:ascii="宋体" w:hAnsi="宋体" w:hint="eastAsia"/>
          <w:b/>
          <w:bCs/>
          <w:sz w:val="44"/>
          <w:szCs w:val="44"/>
        </w:rPr>
        <w:t>生信分析</w:t>
      </w:r>
      <w:proofErr w:type="gramEnd"/>
      <w:r>
        <w:rPr>
          <w:rFonts w:ascii="宋体" w:hAnsi="宋体" w:hint="eastAsia"/>
          <w:b/>
          <w:bCs/>
          <w:sz w:val="44"/>
          <w:szCs w:val="44"/>
        </w:rPr>
        <w:t>和报告解读</w:t>
      </w:r>
      <w:r>
        <w:rPr>
          <w:rFonts w:ascii="宋体" w:hAnsi="宋体" w:hint="eastAsia"/>
          <w:b/>
          <w:bCs/>
          <w:sz w:val="44"/>
          <w:szCs w:val="44"/>
        </w:rPr>
        <w:t>系统</w:t>
      </w:r>
      <w:r w:rsidR="00214418">
        <w:rPr>
          <w:rFonts w:ascii="宋体" w:hAnsi="宋体"/>
          <w:b/>
          <w:bCs/>
          <w:sz w:val="44"/>
          <w:szCs w:val="44"/>
        </w:rPr>
        <w:br/>
      </w:r>
      <w:r>
        <w:rPr>
          <w:rFonts w:ascii="宋体" w:hAnsi="宋体" w:hint="eastAsia"/>
          <w:b/>
          <w:bCs/>
          <w:sz w:val="44"/>
          <w:szCs w:val="44"/>
        </w:rPr>
        <w:t>项目需求</w:t>
      </w:r>
    </w:p>
    <w:p w14:paraId="62BDECB6" w14:textId="77777777" w:rsidR="00E52A94" w:rsidRDefault="009232C9">
      <w:pPr>
        <w:pStyle w:val="1"/>
        <w:numPr>
          <w:ilvl w:val="0"/>
          <w:numId w:val="1"/>
        </w:numPr>
        <w:spacing w:before="312" w:after="312" w:line="360" w:lineRule="auto"/>
        <w:rPr>
          <w:rFonts w:hint="default"/>
        </w:rPr>
      </w:pPr>
      <w:r>
        <w:t>项目名称</w:t>
      </w:r>
    </w:p>
    <w:p w14:paraId="666C6273" w14:textId="439A0807" w:rsidR="00E52A94" w:rsidRDefault="009232C9">
      <w:pPr>
        <w:spacing w:line="360" w:lineRule="auto"/>
        <w:ind w:firstLineChars="270" w:firstLine="567"/>
        <w:rPr>
          <w:rFonts w:ascii="宋体" w:hAnsi="宋体"/>
        </w:rPr>
      </w:pPr>
      <w:r>
        <w:rPr>
          <w:rFonts w:ascii="宋体" w:hAnsi="宋体" w:hint="eastAsia"/>
        </w:rPr>
        <w:t>遗传病</w:t>
      </w:r>
      <w:proofErr w:type="gramStart"/>
      <w:r>
        <w:rPr>
          <w:rFonts w:ascii="宋体" w:hAnsi="宋体" w:hint="eastAsia"/>
        </w:rPr>
        <w:t>生信分析</w:t>
      </w:r>
      <w:proofErr w:type="gramEnd"/>
      <w:r>
        <w:rPr>
          <w:rFonts w:ascii="宋体" w:hAnsi="宋体" w:hint="eastAsia"/>
        </w:rPr>
        <w:t>和报告解读系统。</w:t>
      </w:r>
    </w:p>
    <w:p w14:paraId="570A037F" w14:textId="77777777" w:rsidR="00E52A94" w:rsidRDefault="009232C9">
      <w:pPr>
        <w:pStyle w:val="1"/>
        <w:numPr>
          <w:ilvl w:val="0"/>
          <w:numId w:val="1"/>
        </w:numPr>
        <w:spacing w:before="312" w:after="312" w:line="360" w:lineRule="auto"/>
        <w:rPr>
          <w:rFonts w:hint="default"/>
        </w:rPr>
      </w:pPr>
      <w:r>
        <w:t>项目内容</w:t>
      </w:r>
    </w:p>
    <w:p w14:paraId="73722202" w14:textId="77777777" w:rsidR="00E52A94" w:rsidRDefault="009232C9">
      <w:pPr>
        <w:spacing w:line="360" w:lineRule="auto"/>
        <w:rPr>
          <w:rFonts w:ascii="宋体" w:hAnsi="宋体"/>
        </w:rPr>
      </w:pPr>
      <w:r>
        <w:rPr>
          <w:rFonts w:ascii="宋体" w:hAnsi="宋体" w:hint="eastAsia"/>
        </w:rPr>
        <w:t>项目功能如下：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259"/>
        <w:gridCol w:w="4120"/>
        <w:gridCol w:w="1411"/>
      </w:tblGrid>
      <w:tr w:rsidR="00E52A94" w14:paraId="39F30C55" w14:textId="77777777" w:rsidTr="00214418">
        <w:tc>
          <w:tcPr>
            <w:tcW w:w="704" w:type="dxa"/>
            <w:vAlign w:val="center"/>
          </w:tcPr>
          <w:p w14:paraId="1DE95D03" w14:textId="77777777" w:rsidR="00E52A94" w:rsidRDefault="009232C9">
            <w:pPr>
              <w:spacing w:line="360" w:lineRule="auto"/>
              <w:jc w:val="center"/>
              <w:rPr>
                <w:rFonts w:ascii="宋体" w:hAnsi="宋体"/>
              </w:rPr>
            </w:pPr>
            <w:r>
              <w:rPr>
                <w:rFonts w:ascii="宋体" w:hAnsi="宋体" w:hint="eastAsia"/>
              </w:rPr>
              <w:t>序号</w:t>
            </w:r>
          </w:p>
        </w:tc>
        <w:tc>
          <w:tcPr>
            <w:tcW w:w="2259" w:type="dxa"/>
          </w:tcPr>
          <w:p w14:paraId="1CA1ED18" w14:textId="77777777" w:rsidR="00E52A94" w:rsidRDefault="009232C9">
            <w:pPr>
              <w:spacing w:line="360" w:lineRule="auto"/>
              <w:jc w:val="center"/>
              <w:rPr>
                <w:rFonts w:ascii="宋体" w:hAnsi="宋体"/>
              </w:rPr>
            </w:pPr>
            <w:r>
              <w:rPr>
                <w:rFonts w:ascii="宋体" w:hAnsi="宋体" w:hint="eastAsia"/>
              </w:rPr>
              <w:t>系统名称</w:t>
            </w:r>
          </w:p>
        </w:tc>
        <w:tc>
          <w:tcPr>
            <w:tcW w:w="4120" w:type="dxa"/>
          </w:tcPr>
          <w:p w14:paraId="0B11839E" w14:textId="77777777" w:rsidR="00E52A94" w:rsidRDefault="009232C9">
            <w:pPr>
              <w:spacing w:line="360" w:lineRule="auto"/>
              <w:jc w:val="center"/>
              <w:rPr>
                <w:rFonts w:ascii="宋体" w:hAnsi="宋体"/>
              </w:rPr>
            </w:pPr>
            <w:r>
              <w:rPr>
                <w:rFonts w:ascii="宋体" w:hAnsi="宋体" w:hint="eastAsia"/>
              </w:rPr>
              <w:t>功能模块</w:t>
            </w:r>
          </w:p>
        </w:tc>
        <w:tc>
          <w:tcPr>
            <w:tcW w:w="1411" w:type="dxa"/>
          </w:tcPr>
          <w:p w14:paraId="3D83453B" w14:textId="77777777" w:rsidR="00E52A94" w:rsidRDefault="009232C9">
            <w:pPr>
              <w:spacing w:line="360" w:lineRule="auto"/>
              <w:jc w:val="center"/>
              <w:rPr>
                <w:rFonts w:ascii="宋体" w:hAnsi="宋体"/>
              </w:rPr>
            </w:pPr>
            <w:r>
              <w:rPr>
                <w:rFonts w:ascii="宋体" w:hAnsi="宋体" w:hint="eastAsia"/>
              </w:rPr>
              <w:t>数量</w:t>
            </w:r>
          </w:p>
        </w:tc>
      </w:tr>
      <w:tr w:rsidR="00E52A94" w14:paraId="2EF1784F" w14:textId="77777777" w:rsidTr="00214418">
        <w:tc>
          <w:tcPr>
            <w:tcW w:w="704" w:type="dxa"/>
            <w:vAlign w:val="center"/>
          </w:tcPr>
          <w:p w14:paraId="3C2CDABE" w14:textId="77777777" w:rsidR="00E52A94" w:rsidRDefault="009232C9">
            <w:pPr>
              <w:spacing w:line="360" w:lineRule="auto"/>
              <w:jc w:val="center"/>
              <w:rPr>
                <w:rFonts w:ascii="宋体" w:hAnsi="宋体"/>
              </w:rPr>
            </w:pPr>
            <w:r>
              <w:rPr>
                <w:rFonts w:ascii="宋体" w:hAnsi="宋体"/>
              </w:rPr>
              <w:t>1</w:t>
            </w:r>
          </w:p>
        </w:tc>
        <w:tc>
          <w:tcPr>
            <w:tcW w:w="2259" w:type="dxa"/>
          </w:tcPr>
          <w:p w14:paraId="1FD077E7" w14:textId="77777777" w:rsidR="00E52A94" w:rsidRDefault="009232C9">
            <w:pPr>
              <w:spacing w:line="360" w:lineRule="auto"/>
              <w:rPr>
                <w:rFonts w:ascii="宋体" w:hAnsi="宋体"/>
              </w:rPr>
            </w:pPr>
            <w:r>
              <w:rPr>
                <w:rFonts w:ascii="宋体" w:hAnsi="宋体" w:hint="eastAsia"/>
              </w:rPr>
              <w:t>遗传病</w:t>
            </w:r>
            <w:proofErr w:type="gramStart"/>
            <w:r>
              <w:rPr>
                <w:rFonts w:ascii="宋体" w:hAnsi="宋体" w:hint="eastAsia"/>
              </w:rPr>
              <w:t>生信分析</w:t>
            </w:r>
            <w:proofErr w:type="gramEnd"/>
            <w:r>
              <w:rPr>
                <w:rFonts w:ascii="宋体" w:hAnsi="宋体" w:hint="eastAsia"/>
              </w:rPr>
              <w:t>系统</w:t>
            </w:r>
          </w:p>
        </w:tc>
        <w:tc>
          <w:tcPr>
            <w:tcW w:w="4120" w:type="dxa"/>
          </w:tcPr>
          <w:p w14:paraId="1B949A55" w14:textId="77777777" w:rsidR="00E52A94" w:rsidRDefault="009232C9">
            <w:pPr>
              <w:spacing w:line="360" w:lineRule="auto"/>
              <w:rPr>
                <w:rFonts w:ascii="宋体" w:hAnsi="宋体"/>
              </w:rPr>
            </w:pPr>
            <w:r>
              <w:rPr>
                <w:rFonts w:ascii="宋体" w:hAnsi="宋体" w:hint="eastAsia"/>
              </w:rPr>
              <w:t>配置详见</w:t>
            </w:r>
            <w:r>
              <w:rPr>
                <w:rFonts w:ascii="宋体" w:hAnsi="宋体" w:hint="eastAsia"/>
              </w:rPr>
              <w:t>3</w:t>
            </w:r>
            <w:r>
              <w:rPr>
                <w:rFonts w:ascii="宋体" w:hAnsi="宋体"/>
              </w:rPr>
              <w:t>.</w:t>
            </w:r>
            <w:r>
              <w:rPr>
                <w:rFonts w:ascii="宋体" w:hAnsi="宋体" w:hint="eastAsia"/>
              </w:rPr>
              <w:t>1</w:t>
            </w:r>
            <w:r>
              <w:rPr>
                <w:rFonts w:ascii="宋体" w:hAnsi="宋体" w:hint="eastAsia"/>
              </w:rPr>
              <w:t>遗传病</w:t>
            </w:r>
            <w:proofErr w:type="gramStart"/>
            <w:r>
              <w:rPr>
                <w:rFonts w:ascii="宋体" w:hAnsi="宋体" w:hint="eastAsia"/>
              </w:rPr>
              <w:t>生信分析</w:t>
            </w:r>
            <w:proofErr w:type="gramEnd"/>
            <w:r>
              <w:rPr>
                <w:rFonts w:ascii="宋体" w:hAnsi="宋体" w:hint="eastAsia"/>
              </w:rPr>
              <w:t>系统</w:t>
            </w:r>
          </w:p>
        </w:tc>
        <w:tc>
          <w:tcPr>
            <w:tcW w:w="1411" w:type="dxa"/>
          </w:tcPr>
          <w:p w14:paraId="5CF8AC51" w14:textId="77777777" w:rsidR="00E52A94" w:rsidRDefault="009232C9">
            <w:pPr>
              <w:spacing w:line="360" w:lineRule="auto"/>
              <w:jc w:val="center"/>
              <w:rPr>
                <w:rFonts w:ascii="宋体" w:hAnsi="宋体"/>
              </w:rPr>
            </w:pPr>
            <w:r>
              <w:rPr>
                <w:rFonts w:ascii="宋体" w:hAnsi="宋体" w:hint="eastAsia"/>
              </w:rPr>
              <w:t>1</w:t>
            </w:r>
          </w:p>
        </w:tc>
      </w:tr>
      <w:tr w:rsidR="00E52A94" w14:paraId="28EEC293" w14:textId="77777777" w:rsidTr="00214418">
        <w:tc>
          <w:tcPr>
            <w:tcW w:w="704" w:type="dxa"/>
            <w:vAlign w:val="center"/>
          </w:tcPr>
          <w:p w14:paraId="00A148D8" w14:textId="77777777" w:rsidR="00E52A94" w:rsidRDefault="009232C9">
            <w:pPr>
              <w:spacing w:line="360" w:lineRule="auto"/>
              <w:jc w:val="center"/>
              <w:rPr>
                <w:rFonts w:ascii="宋体" w:hAnsi="宋体"/>
              </w:rPr>
            </w:pPr>
            <w:r>
              <w:rPr>
                <w:rFonts w:ascii="宋体" w:hAnsi="宋体" w:hint="eastAsia"/>
              </w:rPr>
              <w:t>2</w:t>
            </w:r>
          </w:p>
        </w:tc>
        <w:tc>
          <w:tcPr>
            <w:tcW w:w="2259" w:type="dxa"/>
          </w:tcPr>
          <w:p w14:paraId="4674274A" w14:textId="77777777" w:rsidR="00E52A94" w:rsidRDefault="009232C9">
            <w:pPr>
              <w:spacing w:line="360" w:lineRule="auto"/>
              <w:rPr>
                <w:rFonts w:ascii="宋体" w:hAnsi="宋体"/>
              </w:rPr>
            </w:pPr>
            <w:r>
              <w:rPr>
                <w:rFonts w:ascii="宋体" w:hAnsi="宋体" w:hint="eastAsia"/>
              </w:rPr>
              <w:t>遗传病报告解读系统</w:t>
            </w:r>
          </w:p>
        </w:tc>
        <w:tc>
          <w:tcPr>
            <w:tcW w:w="4120" w:type="dxa"/>
          </w:tcPr>
          <w:p w14:paraId="71140AC9" w14:textId="77777777" w:rsidR="00E52A94" w:rsidRDefault="009232C9">
            <w:pPr>
              <w:spacing w:line="360" w:lineRule="auto"/>
              <w:rPr>
                <w:rFonts w:ascii="宋体" w:hAnsi="宋体"/>
              </w:rPr>
            </w:pPr>
            <w:r>
              <w:rPr>
                <w:rFonts w:ascii="宋体" w:hAnsi="宋体" w:hint="eastAsia"/>
              </w:rPr>
              <w:t>配置详见</w:t>
            </w:r>
            <w:r>
              <w:rPr>
                <w:rFonts w:ascii="宋体" w:hAnsi="宋体" w:hint="eastAsia"/>
              </w:rPr>
              <w:t>3</w:t>
            </w:r>
            <w:r>
              <w:rPr>
                <w:rFonts w:ascii="宋体" w:hAnsi="宋体"/>
              </w:rPr>
              <w:t>.2</w:t>
            </w:r>
            <w:r>
              <w:rPr>
                <w:rFonts w:ascii="宋体" w:hAnsi="宋体" w:hint="eastAsia"/>
              </w:rPr>
              <w:t>遗传病报告解读系统</w:t>
            </w:r>
          </w:p>
        </w:tc>
        <w:tc>
          <w:tcPr>
            <w:tcW w:w="1411" w:type="dxa"/>
          </w:tcPr>
          <w:p w14:paraId="14CB622B" w14:textId="77777777" w:rsidR="00E52A94" w:rsidRDefault="009232C9">
            <w:pPr>
              <w:spacing w:line="360" w:lineRule="auto"/>
              <w:jc w:val="center"/>
              <w:rPr>
                <w:rFonts w:ascii="宋体" w:hAnsi="宋体"/>
              </w:rPr>
            </w:pPr>
            <w:r>
              <w:rPr>
                <w:rFonts w:ascii="宋体" w:hAnsi="宋体" w:hint="eastAsia"/>
              </w:rPr>
              <w:t>1</w:t>
            </w:r>
          </w:p>
        </w:tc>
      </w:tr>
    </w:tbl>
    <w:p w14:paraId="1726AB1B" w14:textId="77777777" w:rsidR="00E52A94" w:rsidRDefault="00E52A94">
      <w:pPr>
        <w:spacing w:line="360" w:lineRule="auto"/>
        <w:rPr>
          <w:rFonts w:ascii="宋体" w:hAnsi="宋体"/>
        </w:rPr>
      </w:pPr>
    </w:p>
    <w:p w14:paraId="41B31245" w14:textId="77777777" w:rsidR="00E52A94" w:rsidRDefault="009232C9">
      <w:pPr>
        <w:pStyle w:val="1"/>
        <w:numPr>
          <w:ilvl w:val="0"/>
          <w:numId w:val="1"/>
        </w:numPr>
        <w:spacing w:before="312" w:after="312" w:line="360" w:lineRule="auto"/>
        <w:rPr>
          <w:rFonts w:hint="default"/>
        </w:rPr>
      </w:pPr>
      <w:r>
        <w:t>详细功能描述</w:t>
      </w:r>
    </w:p>
    <w:p w14:paraId="6CB46D6F" w14:textId="77777777" w:rsidR="00E52A94" w:rsidRDefault="009232C9">
      <w:pPr>
        <w:pStyle w:val="2"/>
        <w:numPr>
          <w:ilvl w:val="0"/>
          <w:numId w:val="2"/>
        </w:numPr>
        <w:spacing w:line="360" w:lineRule="auto"/>
        <w:rPr>
          <w:rFonts w:ascii="宋体" w:hAnsi="宋体"/>
        </w:rPr>
      </w:pPr>
      <w:r>
        <w:rPr>
          <w:rFonts w:ascii="宋体" w:hAnsi="宋体" w:hint="eastAsia"/>
        </w:rPr>
        <w:t>遗传病</w:t>
      </w:r>
      <w:proofErr w:type="gramStart"/>
      <w:r>
        <w:rPr>
          <w:rFonts w:ascii="宋体" w:hAnsi="宋体" w:hint="eastAsia"/>
        </w:rPr>
        <w:t>生信分析</w:t>
      </w:r>
      <w:proofErr w:type="gramEnd"/>
      <w:r>
        <w:rPr>
          <w:rFonts w:ascii="宋体" w:hAnsi="宋体" w:hint="eastAsia"/>
        </w:rPr>
        <w:t>系统</w:t>
      </w:r>
    </w:p>
    <w:tbl>
      <w:tblPr>
        <w:tblStyle w:val="12"/>
        <w:tblpPr w:leftFromText="180" w:rightFromText="180" w:vertAnchor="text" w:tblpY="1"/>
        <w:tblW w:w="5000" w:type="pct"/>
        <w:tblLook w:val="04A0" w:firstRow="1" w:lastRow="0" w:firstColumn="1" w:lastColumn="0" w:noHBand="0" w:noVBand="1"/>
      </w:tblPr>
      <w:tblGrid>
        <w:gridCol w:w="989"/>
        <w:gridCol w:w="1700"/>
        <w:gridCol w:w="5805"/>
      </w:tblGrid>
      <w:tr w:rsidR="00E52A94" w14:paraId="5DFC00D8" w14:textId="77777777">
        <w:trPr>
          <w:trHeight w:val="569"/>
        </w:trPr>
        <w:tc>
          <w:tcPr>
            <w:tcW w:w="582" w:type="pct"/>
            <w:vAlign w:val="center"/>
          </w:tcPr>
          <w:p w14:paraId="38DBA7B4" w14:textId="77777777" w:rsidR="00E52A94" w:rsidRDefault="009232C9">
            <w:pPr>
              <w:spacing w:line="360" w:lineRule="auto"/>
              <w:ind w:left="63" w:right="63"/>
              <w:jc w:val="center"/>
              <w:rPr>
                <w:rFonts w:ascii="宋体" w:hAnsi="宋体" w:cs="仿宋"/>
                <w:b/>
                <w:color w:val="000000" w:themeColor="text1"/>
                <w:szCs w:val="21"/>
              </w:rPr>
            </w:pPr>
            <w:r>
              <w:rPr>
                <w:rFonts w:ascii="宋体" w:hAnsi="宋体" w:cs="仿宋" w:hint="eastAsia"/>
                <w:b/>
                <w:color w:val="000000" w:themeColor="text1"/>
                <w:szCs w:val="21"/>
              </w:rPr>
              <w:t>序号</w:t>
            </w:r>
          </w:p>
        </w:tc>
        <w:tc>
          <w:tcPr>
            <w:tcW w:w="1001" w:type="pct"/>
            <w:vAlign w:val="center"/>
          </w:tcPr>
          <w:p w14:paraId="5DBD6C2C" w14:textId="77777777" w:rsidR="00E52A94" w:rsidRDefault="009232C9">
            <w:pPr>
              <w:spacing w:line="360" w:lineRule="auto"/>
              <w:ind w:left="63" w:right="63"/>
              <w:jc w:val="center"/>
              <w:rPr>
                <w:rFonts w:ascii="宋体" w:hAnsi="宋体" w:cs="仿宋"/>
                <w:b/>
                <w:color w:val="000000" w:themeColor="text1"/>
                <w:szCs w:val="21"/>
              </w:rPr>
            </w:pPr>
            <w:r>
              <w:rPr>
                <w:rFonts w:ascii="宋体" w:hAnsi="宋体" w:cs="仿宋" w:hint="eastAsia"/>
                <w:b/>
                <w:color w:val="000000" w:themeColor="text1"/>
                <w:szCs w:val="21"/>
              </w:rPr>
              <w:t>功能模块</w:t>
            </w:r>
          </w:p>
        </w:tc>
        <w:tc>
          <w:tcPr>
            <w:tcW w:w="3417" w:type="pct"/>
            <w:vAlign w:val="center"/>
          </w:tcPr>
          <w:p w14:paraId="46EBC547" w14:textId="77777777" w:rsidR="00E52A94" w:rsidRDefault="009232C9">
            <w:pPr>
              <w:spacing w:line="360" w:lineRule="auto"/>
              <w:ind w:left="63" w:right="63" w:firstLine="241"/>
              <w:jc w:val="center"/>
              <w:rPr>
                <w:rFonts w:ascii="宋体" w:hAnsi="宋体" w:cs="仿宋"/>
                <w:b/>
                <w:color w:val="000000" w:themeColor="text1"/>
                <w:szCs w:val="21"/>
              </w:rPr>
            </w:pPr>
            <w:r>
              <w:rPr>
                <w:rFonts w:ascii="宋体" w:hAnsi="宋体" w:cs="仿宋" w:hint="eastAsia"/>
                <w:b/>
                <w:color w:val="000000" w:themeColor="text1"/>
                <w:szCs w:val="21"/>
              </w:rPr>
              <w:t>功能描述</w:t>
            </w:r>
          </w:p>
        </w:tc>
      </w:tr>
      <w:tr w:rsidR="00E52A94" w14:paraId="412E6D53" w14:textId="77777777">
        <w:trPr>
          <w:trHeight w:val="1736"/>
        </w:trPr>
        <w:tc>
          <w:tcPr>
            <w:tcW w:w="582" w:type="pct"/>
            <w:vAlign w:val="center"/>
          </w:tcPr>
          <w:p w14:paraId="6D188482" w14:textId="77777777" w:rsidR="00E52A94" w:rsidRDefault="009232C9">
            <w:pPr>
              <w:spacing w:line="360" w:lineRule="auto"/>
              <w:ind w:left="63" w:right="63"/>
              <w:jc w:val="center"/>
              <w:rPr>
                <w:rFonts w:ascii="宋体" w:hAnsi="宋体" w:cs="仿宋"/>
                <w:bCs/>
                <w:color w:val="000000" w:themeColor="text1"/>
                <w:szCs w:val="21"/>
              </w:rPr>
            </w:pPr>
            <w:r>
              <w:rPr>
                <w:rFonts w:ascii="宋体" w:hAnsi="宋体" w:cs="仿宋"/>
                <w:bCs/>
                <w:color w:val="000000" w:themeColor="text1"/>
                <w:szCs w:val="21"/>
              </w:rPr>
              <w:t>1</w:t>
            </w:r>
          </w:p>
        </w:tc>
        <w:tc>
          <w:tcPr>
            <w:tcW w:w="1001" w:type="pct"/>
            <w:vAlign w:val="center"/>
          </w:tcPr>
          <w:p w14:paraId="60A05953" w14:textId="77777777" w:rsidR="00E52A94" w:rsidRDefault="009232C9">
            <w:pPr>
              <w:spacing w:line="360" w:lineRule="auto"/>
              <w:ind w:right="63"/>
              <w:rPr>
                <w:rFonts w:ascii="宋体" w:hAnsi="宋体" w:cs="仿宋"/>
                <w:bCs/>
                <w:color w:val="000000" w:themeColor="text1"/>
                <w:szCs w:val="21"/>
              </w:rPr>
            </w:pPr>
            <w:r>
              <w:rPr>
                <w:rFonts w:ascii="宋体" w:hAnsi="宋体" w:cs="仿宋" w:hint="eastAsia"/>
                <w:bCs/>
                <w:color w:val="000000" w:themeColor="text1"/>
                <w:szCs w:val="21"/>
              </w:rPr>
              <w:t>SNV/INDEL</w:t>
            </w:r>
            <w:r>
              <w:rPr>
                <w:rFonts w:ascii="宋体" w:hAnsi="宋体" w:cs="仿宋" w:hint="eastAsia"/>
                <w:bCs/>
                <w:color w:val="000000" w:themeColor="text1"/>
                <w:szCs w:val="21"/>
              </w:rPr>
              <w:t>分析</w:t>
            </w:r>
          </w:p>
        </w:tc>
        <w:tc>
          <w:tcPr>
            <w:tcW w:w="3417" w:type="pct"/>
            <w:vAlign w:val="center"/>
          </w:tcPr>
          <w:p w14:paraId="1F0DC70A" w14:textId="77777777" w:rsidR="00E52A94" w:rsidRDefault="009232C9">
            <w:pPr>
              <w:pStyle w:val="3"/>
              <w:spacing w:before="156" w:after="156"/>
              <w:outlineLvl w:val="2"/>
              <w:rPr>
                <w:rFonts w:ascii="宋体" w:eastAsia="宋体" w:hAnsi="宋体" w:cs="宋体"/>
                <w:szCs w:val="21"/>
              </w:rPr>
            </w:pPr>
            <w:r>
              <w:rPr>
                <w:rFonts w:ascii="宋体" w:eastAsia="宋体" w:hAnsi="宋体" w:cs="宋体" w:hint="eastAsia"/>
                <w:b w:val="0"/>
                <w:szCs w:val="21"/>
              </w:rPr>
              <w:t>系统可实现对测序下机</w:t>
            </w:r>
            <w:proofErr w:type="spellStart"/>
            <w:r>
              <w:rPr>
                <w:rFonts w:ascii="宋体" w:eastAsia="宋体" w:hAnsi="宋体" w:cs="宋体" w:hint="eastAsia"/>
                <w:b w:val="0"/>
                <w:szCs w:val="21"/>
              </w:rPr>
              <w:t>fastq</w:t>
            </w:r>
            <w:proofErr w:type="spellEnd"/>
            <w:r>
              <w:rPr>
                <w:rFonts w:ascii="宋体" w:eastAsia="宋体" w:hAnsi="宋体" w:cs="宋体" w:hint="eastAsia"/>
                <w:b w:val="0"/>
                <w:szCs w:val="21"/>
              </w:rPr>
              <w:t>文件进行分析。系统对测序文件完成质控过滤后，由算法在人类参考基因组上进行比对，得到</w:t>
            </w:r>
            <w:r>
              <w:rPr>
                <w:rFonts w:ascii="宋体" w:eastAsia="宋体" w:hAnsi="宋体" w:cs="宋体" w:hint="eastAsia"/>
                <w:b w:val="0"/>
                <w:szCs w:val="21"/>
              </w:rPr>
              <w:t>bam</w:t>
            </w:r>
            <w:r>
              <w:rPr>
                <w:rFonts w:ascii="宋体" w:eastAsia="宋体" w:hAnsi="宋体" w:cs="宋体" w:hint="eastAsia"/>
                <w:b w:val="0"/>
                <w:szCs w:val="21"/>
              </w:rPr>
              <w:t>文件，再对</w:t>
            </w:r>
            <w:r>
              <w:rPr>
                <w:rFonts w:ascii="宋体" w:eastAsia="宋体" w:hAnsi="宋体" w:cs="宋体" w:hint="eastAsia"/>
                <w:b w:val="0"/>
                <w:szCs w:val="21"/>
              </w:rPr>
              <w:t>bam</w:t>
            </w:r>
            <w:r>
              <w:rPr>
                <w:rFonts w:ascii="宋体" w:eastAsia="宋体" w:hAnsi="宋体" w:cs="宋体" w:hint="eastAsia"/>
                <w:b w:val="0"/>
                <w:szCs w:val="21"/>
              </w:rPr>
              <w:t>文件进行排序、碱基质量校正、质控统计，通过软件进行变异检测，获得包含</w:t>
            </w:r>
            <w:r>
              <w:rPr>
                <w:rFonts w:ascii="宋体" w:eastAsia="宋体" w:hAnsi="宋体" w:cs="宋体" w:hint="eastAsia"/>
                <w:b w:val="0"/>
                <w:szCs w:val="21"/>
              </w:rPr>
              <w:t>SNV/INDEL</w:t>
            </w:r>
            <w:r>
              <w:rPr>
                <w:rFonts w:ascii="宋体" w:eastAsia="宋体" w:hAnsi="宋体" w:cs="宋体" w:hint="eastAsia"/>
                <w:b w:val="0"/>
                <w:szCs w:val="21"/>
              </w:rPr>
              <w:t>突变位点文件。</w:t>
            </w:r>
          </w:p>
        </w:tc>
      </w:tr>
      <w:tr w:rsidR="00E52A94" w14:paraId="34BF32EF" w14:textId="77777777">
        <w:trPr>
          <w:trHeight w:val="569"/>
        </w:trPr>
        <w:tc>
          <w:tcPr>
            <w:tcW w:w="582" w:type="pct"/>
            <w:vAlign w:val="center"/>
          </w:tcPr>
          <w:p w14:paraId="2D24EF3E" w14:textId="77777777" w:rsidR="00E52A94" w:rsidRDefault="009232C9">
            <w:pPr>
              <w:spacing w:line="360" w:lineRule="auto"/>
              <w:ind w:left="63" w:right="63"/>
              <w:jc w:val="center"/>
              <w:rPr>
                <w:rFonts w:ascii="宋体" w:hAnsi="宋体" w:cs="仿宋"/>
                <w:bCs/>
                <w:color w:val="000000" w:themeColor="text1"/>
                <w:szCs w:val="21"/>
              </w:rPr>
            </w:pPr>
            <w:r>
              <w:rPr>
                <w:rFonts w:ascii="宋体" w:hAnsi="宋体" w:cs="仿宋"/>
                <w:bCs/>
                <w:color w:val="000000" w:themeColor="text1"/>
                <w:szCs w:val="21"/>
              </w:rPr>
              <w:t>2</w:t>
            </w:r>
          </w:p>
        </w:tc>
        <w:tc>
          <w:tcPr>
            <w:tcW w:w="1001" w:type="pct"/>
            <w:vAlign w:val="center"/>
          </w:tcPr>
          <w:p w14:paraId="7CFAF6D6" w14:textId="77777777" w:rsidR="00E52A94" w:rsidRDefault="009232C9">
            <w:pPr>
              <w:spacing w:line="360" w:lineRule="auto"/>
              <w:ind w:right="63"/>
              <w:rPr>
                <w:rFonts w:ascii="宋体" w:hAnsi="宋体" w:cs="仿宋"/>
                <w:bCs/>
                <w:color w:val="000000" w:themeColor="text1"/>
                <w:szCs w:val="21"/>
              </w:rPr>
            </w:pPr>
            <w:r>
              <w:rPr>
                <w:rFonts w:ascii="仿宋" w:eastAsia="仿宋" w:hAnsi="仿宋" w:cs="仿宋" w:hint="eastAsia"/>
                <w:bCs/>
                <w:szCs w:val="21"/>
              </w:rPr>
              <w:t>CNV</w:t>
            </w:r>
            <w:r>
              <w:rPr>
                <w:rFonts w:ascii="仿宋" w:eastAsia="仿宋" w:hAnsi="仿宋" w:cs="仿宋" w:hint="eastAsia"/>
                <w:bCs/>
                <w:szCs w:val="21"/>
              </w:rPr>
              <w:t>分析</w:t>
            </w:r>
          </w:p>
        </w:tc>
        <w:tc>
          <w:tcPr>
            <w:tcW w:w="3417" w:type="pct"/>
            <w:vAlign w:val="center"/>
          </w:tcPr>
          <w:p w14:paraId="7EE866DD" w14:textId="77777777" w:rsidR="00E52A94" w:rsidRDefault="009232C9">
            <w:pPr>
              <w:pStyle w:val="af"/>
              <w:spacing w:line="360" w:lineRule="auto"/>
              <w:ind w:firstLineChars="0" w:firstLine="0"/>
              <w:rPr>
                <w:rFonts w:ascii="宋体" w:hAnsi="宋体" w:cs="宋体"/>
                <w:szCs w:val="21"/>
              </w:rPr>
            </w:pPr>
            <w:r>
              <w:rPr>
                <w:rFonts w:ascii="宋体" w:hAnsi="宋体" w:cs="宋体" w:hint="eastAsia"/>
                <w:bCs/>
                <w:szCs w:val="21"/>
              </w:rPr>
              <w:t>基于测序</w:t>
            </w:r>
            <w:r>
              <w:rPr>
                <w:rFonts w:ascii="宋体" w:hAnsi="宋体" w:cs="宋体" w:hint="eastAsia"/>
                <w:bCs/>
                <w:szCs w:val="21"/>
              </w:rPr>
              <w:t>depth/Reads</w:t>
            </w:r>
            <w:r>
              <w:rPr>
                <w:rFonts w:ascii="宋体" w:hAnsi="宋体" w:cs="宋体" w:hint="eastAsia"/>
                <w:bCs/>
                <w:szCs w:val="21"/>
              </w:rPr>
              <w:t>数进行分析，对样本进行</w:t>
            </w:r>
            <w:r>
              <w:rPr>
                <w:rFonts w:ascii="宋体" w:hAnsi="宋体" w:cs="宋体" w:hint="eastAsia"/>
                <w:bCs/>
                <w:szCs w:val="21"/>
              </w:rPr>
              <w:t>GC</w:t>
            </w:r>
            <w:r>
              <w:rPr>
                <w:rFonts w:ascii="宋体" w:hAnsi="宋体" w:cs="宋体" w:hint="eastAsia"/>
                <w:bCs/>
                <w:szCs w:val="21"/>
              </w:rPr>
              <w:t>校正、批次内样本数据标准化，通过层次聚类分析及片段化过程，获得的包含</w:t>
            </w:r>
            <w:r>
              <w:rPr>
                <w:rFonts w:ascii="宋体" w:hAnsi="宋体" w:cs="宋体" w:hint="eastAsia"/>
                <w:bCs/>
                <w:szCs w:val="21"/>
              </w:rPr>
              <w:t>CNV</w:t>
            </w:r>
            <w:r>
              <w:rPr>
                <w:rFonts w:ascii="宋体" w:hAnsi="宋体" w:cs="宋体" w:hint="eastAsia"/>
                <w:bCs/>
                <w:szCs w:val="21"/>
              </w:rPr>
              <w:t>信息的</w:t>
            </w:r>
            <w:proofErr w:type="spellStart"/>
            <w:r>
              <w:rPr>
                <w:rFonts w:ascii="宋体" w:hAnsi="宋体" w:cs="宋体" w:hint="eastAsia"/>
                <w:bCs/>
                <w:szCs w:val="21"/>
              </w:rPr>
              <w:t>vcf</w:t>
            </w:r>
            <w:proofErr w:type="spellEnd"/>
            <w:r>
              <w:rPr>
                <w:rFonts w:ascii="宋体" w:hAnsi="宋体" w:cs="宋体" w:hint="eastAsia"/>
                <w:bCs/>
                <w:szCs w:val="21"/>
              </w:rPr>
              <w:t>文件。</w:t>
            </w:r>
          </w:p>
        </w:tc>
      </w:tr>
      <w:tr w:rsidR="00E52A94" w14:paraId="34D1938F" w14:textId="77777777">
        <w:trPr>
          <w:trHeight w:val="569"/>
        </w:trPr>
        <w:tc>
          <w:tcPr>
            <w:tcW w:w="582" w:type="pct"/>
            <w:vAlign w:val="center"/>
          </w:tcPr>
          <w:p w14:paraId="06B2A931" w14:textId="77777777" w:rsidR="00E52A94" w:rsidRDefault="009232C9">
            <w:pPr>
              <w:spacing w:line="360" w:lineRule="auto"/>
              <w:ind w:left="63" w:right="63"/>
              <w:jc w:val="center"/>
              <w:rPr>
                <w:rFonts w:ascii="宋体" w:hAnsi="宋体" w:cs="仿宋"/>
                <w:bCs/>
                <w:color w:val="000000" w:themeColor="text1"/>
                <w:szCs w:val="21"/>
              </w:rPr>
            </w:pPr>
            <w:r>
              <w:rPr>
                <w:rFonts w:ascii="宋体" w:hAnsi="宋体" w:cs="仿宋" w:hint="eastAsia"/>
                <w:bCs/>
                <w:color w:val="000000" w:themeColor="text1"/>
                <w:szCs w:val="21"/>
              </w:rPr>
              <w:t>3</w:t>
            </w:r>
          </w:p>
        </w:tc>
        <w:tc>
          <w:tcPr>
            <w:tcW w:w="1001" w:type="pct"/>
            <w:vAlign w:val="center"/>
          </w:tcPr>
          <w:p w14:paraId="4CBAADF9" w14:textId="77777777" w:rsidR="00E52A94" w:rsidRDefault="009232C9">
            <w:pPr>
              <w:spacing w:line="360" w:lineRule="auto"/>
              <w:ind w:right="63"/>
              <w:rPr>
                <w:rFonts w:ascii="宋体" w:hAnsi="宋体" w:cs="仿宋"/>
                <w:bCs/>
                <w:color w:val="000000" w:themeColor="text1"/>
                <w:szCs w:val="21"/>
              </w:rPr>
            </w:pPr>
            <w:r>
              <w:rPr>
                <w:rFonts w:ascii="宋体" w:hAnsi="宋体" w:cs="仿宋" w:hint="eastAsia"/>
                <w:bCs/>
                <w:color w:val="000000" w:themeColor="text1"/>
                <w:szCs w:val="21"/>
              </w:rPr>
              <w:t>UPD</w:t>
            </w:r>
            <w:r>
              <w:rPr>
                <w:rFonts w:ascii="宋体" w:hAnsi="宋体" w:cs="仿宋" w:hint="eastAsia"/>
                <w:bCs/>
                <w:color w:val="000000" w:themeColor="text1"/>
                <w:szCs w:val="21"/>
              </w:rPr>
              <w:t>分析</w:t>
            </w:r>
          </w:p>
        </w:tc>
        <w:tc>
          <w:tcPr>
            <w:tcW w:w="3417" w:type="pct"/>
            <w:vAlign w:val="center"/>
          </w:tcPr>
          <w:p w14:paraId="23564154" w14:textId="77777777" w:rsidR="00E52A94" w:rsidRDefault="009232C9">
            <w:pPr>
              <w:pStyle w:val="af"/>
              <w:spacing w:line="360" w:lineRule="auto"/>
              <w:ind w:firstLineChars="0" w:firstLine="0"/>
              <w:rPr>
                <w:rFonts w:ascii="宋体" w:hAnsi="宋体" w:cs="宋体"/>
                <w:szCs w:val="21"/>
              </w:rPr>
            </w:pPr>
            <w:r>
              <w:rPr>
                <w:rFonts w:ascii="宋体" w:hAnsi="宋体" w:cs="宋体" w:hint="eastAsia"/>
                <w:bCs/>
                <w:szCs w:val="21"/>
              </w:rPr>
              <w:t>基于测序分析结果文件</w:t>
            </w:r>
            <w:proofErr w:type="spellStart"/>
            <w:r>
              <w:rPr>
                <w:rFonts w:ascii="宋体" w:hAnsi="宋体" w:cs="宋体" w:hint="eastAsia"/>
                <w:bCs/>
                <w:szCs w:val="21"/>
              </w:rPr>
              <w:t>vcf</w:t>
            </w:r>
            <w:proofErr w:type="spellEnd"/>
            <w:r>
              <w:rPr>
                <w:rFonts w:ascii="宋体" w:hAnsi="宋体" w:cs="宋体" w:hint="eastAsia"/>
                <w:bCs/>
                <w:szCs w:val="21"/>
              </w:rPr>
              <w:t>中的基因型及</w:t>
            </w:r>
            <w:r>
              <w:rPr>
                <w:rFonts w:ascii="宋体" w:hAnsi="宋体" w:cs="宋体" w:hint="eastAsia"/>
                <w:bCs/>
                <w:szCs w:val="21"/>
              </w:rPr>
              <w:t>MAF</w:t>
            </w:r>
            <w:r>
              <w:rPr>
                <w:rFonts w:ascii="宋体" w:hAnsi="宋体" w:cs="宋体" w:hint="eastAsia"/>
                <w:bCs/>
                <w:szCs w:val="21"/>
              </w:rPr>
              <w:t>信息进行分析。对变异位点进行过滤，获取变异位点的</w:t>
            </w:r>
            <w:r>
              <w:rPr>
                <w:rFonts w:ascii="宋体" w:hAnsi="宋体" w:cs="宋体" w:hint="eastAsia"/>
                <w:bCs/>
                <w:szCs w:val="21"/>
              </w:rPr>
              <w:t>informative</w:t>
            </w:r>
            <w:r>
              <w:rPr>
                <w:rFonts w:ascii="宋体" w:hAnsi="宋体" w:cs="宋体" w:hint="eastAsia"/>
                <w:bCs/>
                <w:szCs w:val="21"/>
              </w:rPr>
              <w:t>，依次分析不同亲本的同源和</w:t>
            </w:r>
            <w:proofErr w:type="gramStart"/>
            <w:r>
              <w:rPr>
                <w:rFonts w:ascii="宋体" w:hAnsi="宋体" w:cs="宋体" w:hint="eastAsia"/>
                <w:bCs/>
                <w:szCs w:val="21"/>
              </w:rPr>
              <w:t>异源</w:t>
            </w:r>
            <w:proofErr w:type="gramEnd"/>
            <w:r>
              <w:rPr>
                <w:rFonts w:ascii="宋体" w:hAnsi="宋体" w:cs="宋体" w:hint="eastAsia"/>
                <w:bCs/>
                <w:szCs w:val="21"/>
              </w:rPr>
              <w:t>UPD</w:t>
            </w:r>
            <w:r>
              <w:rPr>
                <w:rFonts w:ascii="宋体" w:hAnsi="宋体" w:cs="宋体" w:hint="eastAsia"/>
                <w:bCs/>
                <w:szCs w:val="21"/>
              </w:rPr>
              <w:t>，并输出包含</w:t>
            </w:r>
            <w:r>
              <w:rPr>
                <w:rFonts w:ascii="宋体" w:hAnsi="宋体" w:cs="宋体" w:hint="eastAsia"/>
                <w:bCs/>
                <w:szCs w:val="21"/>
              </w:rPr>
              <w:t>UPD</w:t>
            </w:r>
            <w:r>
              <w:rPr>
                <w:rFonts w:ascii="宋体" w:hAnsi="宋体" w:cs="宋体" w:hint="eastAsia"/>
                <w:bCs/>
                <w:szCs w:val="21"/>
              </w:rPr>
              <w:t>结果的文件。</w:t>
            </w:r>
          </w:p>
        </w:tc>
      </w:tr>
      <w:tr w:rsidR="00E52A94" w14:paraId="4AEFF125" w14:textId="77777777">
        <w:trPr>
          <w:trHeight w:val="569"/>
        </w:trPr>
        <w:tc>
          <w:tcPr>
            <w:tcW w:w="582" w:type="pct"/>
            <w:vAlign w:val="center"/>
          </w:tcPr>
          <w:p w14:paraId="448424E1" w14:textId="77777777" w:rsidR="00E52A94" w:rsidRDefault="009232C9">
            <w:pPr>
              <w:spacing w:line="360" w:lineRule="auto"/>
              <w:ind w:left="63" w:right="63"/>
              <w:jc w:val="center"/>
              <w:rPr>
                <w:rFonts w:ascii="宋体" w:hAnsi="宋体" w:cs="仿宋"/>
                <w:bCs/>
                <w:color w:val="000000" w:themeColor="text1"/>
                <w:szCs w:val="21"/>
              </w:rPr>
            </w:pPr>
            <w:r>
              <w:rPr>
                <w:rFonts w:ascii="宋体" w:hAnsi="宋体" w:cs="仿宋" w:hint="eastAsia"/>
                <w:bCs/>
                <w:color w:val="000000" w:themeColor="text1"/>
                <w:szCs w:val="21"/>
              </w:rPr>
              <w:lastRenderedPageBreak/>
              <w:t>4</w:t>
            </w:r>
          </w:p>
        </w:tc>
        <w:tc>
          <w:tcPr>
            <w:tcW w:w="1001" w:type="pct"/>
            <w:vAlign w:val="center"/>
          </w:tcPr>
          <w:p w14:paraId="3352FD0D" w14:textId="77777777" w:rsidR="00E52A94" w:rsidRDefault="009232C9">
            <w:pPr>
              <w:spacing w:line="360" w:lineRule="auto"/>
              <w:ind w:right="63"/>
              <w:rPr>
                <w:rFonts w:ascii="宋体" w:hAnsi="宋体" w:cs="仿宋"/>
                <w:bCs/>
                <w:color w:val="000000" w:themeColor="text1"/>
                <w:szCs w:val="21"/>
              </w:rPr>
            </w:pPr>
            <w:r>
              <w:rPr>
                <w:rFonts w:ascii="宋体" w:hAnsi="宋体" w:cs="仿宋" w:hint="eastAsia"/>
                <w:bCs/>
                <w:color w:val="000000" w:themeColor="text1"/>
                <w:szCs w:val="21"/>
              </w:rPr>
              <w:t>数据质控</w:t>
            </w:r>
          </w:p>
        </w:tc>
        <w:tc>
          <w:tcPr>
            <w:tcW w:w="3417" w:type="pct"/>
            <w:vAlign w:val="center"/>
          </w:tcPr>
          <w:p w14:paraId="07ADCDC1" w14:textId="77777777" w:rsidR="00E52A94" w:rsidRDefault="009232C9">
            <w:pPr>
              <w:pStyle w:val="af"/>
              <w:spacing w:line="360" w:lineRule="auto"/>
              <w:ind w:firstLineChars="0" w:firstLine="0"/>
              <w:rPr>
                <w:rFonts w:ascii="宋体" w:hAnsi="宋体" w:cs="宋体"/>
                <w:szCs w:val="21"/>
              </w:rPr>
            </w:pPr>
            <w:r>
              <w:rPr>
                <w:rFonts w:ascii="宋体" w:hAnsi="宋体" w:cs="宋体" w:hint="eastAsia"/>
                <w:bCs/>
                <w:szCs w:val="21"/>
              </w:rPr>
              <w:t>在生物信息分析过程中，系统可以对每一个环节进行数据质量监控，包括</w:t>
            </w:r>
            <w:proofErr w:type="spellStart"/>
            <w:r>
              <w:rPr>
                <w:rFonts w:ascii="宋体" w:hAnsi="宋体" w:cs="宋体" w:hint="eastAsia"/>
                <w:bCs/>
                <w:szCs w:val="21"/>
              </w:rPr>
              <w:t>fastq</w:t>
            </w:r>
            <w:proofErr w:type="spellEnd"/>
            <w:r>
              <w:rPr>
                <w:rFonts w:ascii="宋体" w:hAnsi="宋体" w:cs="宋体" w:hint="eastAsia"/>
                <w:bCs/>
                <w:szCs w:val="21"/>
              </w:rPr>
              <w:t>原始数据质控，</w:t>
            </w:r>
            <w:r>
              <w:rPr>
                <w:rFonts w:ascii="宋体" w:hAnsi="宋体" w:cs="宋体" w:hint="eastAsia"/>
                <w:bCs/>
                <w:szCs w:val="21"/>
              </w:rPr>
              <w:t>bam</w:t>
            </w:r>
            <w:r>
              <w:rPr>
                <w:rFonts w:ascii="宋体" w:hAnsi="宋体" w:cs="宋体" w:hint="eastAsia"/>
                <w:bCs/>
                <w:szCs w:val="21"/>
              </w:rPr>
              <w:t>比对结果数据质控，</w:t>
            </w:r>
            <w:proofErr w:type="spellStart"/>
            <w:r>
              <w:rPr>
                <w:rFonts w:ascii="宋体" w:hAnsi="宋体" w:cs="宋体" w:hint="eastAsia"/>
                <w:bCs/>
                <w:szCs w:val="21"/>
              </w:rPr>
              <w:t>vcf</w:t>
            </w:r>
            <w:proofErr w:type="spellEnd"/>
            <w:r>
              <w:rPr>
                <w:rFonts w:ascii="宋体" w:hAnsi="宋体" w:cs="宋体" w:hint="eastAsia"/>
                <w:bCs/>
                <w:szCs w:val="21"/>
              </w:rPr>
              <w:t>结果数据质控等。</w:t>
            </w:r>
          </w:p>
        </w:tc>
      </w:tr>
    </w:tbl>
    <w:p w14:paraId="4E168B6C" w14:textId="77777777" w:rsidR="00E52A94" w:rsidRDefault="009232C9">
      <w:pPr>
        <w:pStyle w:val="2"/>
        <w:numPr>
          <w:ilvl w:val="0"/>
          <w:numId w:val="2"/>
        </w:numPr>
        <w:spacing w:line="360" w:lineRule="auto"/>
        <w:rPr>
          <w:rFonts w:ascii="宋体" w:hAnsi="宋体"/>
        </w:rPr>
      </w:pPr>
      <w:r>
        <w:rPr>
          <w:rFonts w:ascii="宋体" w:hAnsi="宋体" w:hint="eastAsia"/>
        </w:rPr>
        <w:t>遗传病报告解读系统</w:t>
      </w:r>
    </w:p>
    <w:tbl>
      <w:tblPr>
        <w:tblStyle w:val="12"/>
        <w:tblpPr w:leftFromText="180" w:rightFromText="180" w:vertAnchor="text" w:tblpY="1"/>
        <w:tblW w:w="5000" w:type="pct"/>
        <w:tblLook w:val="04A0" w:firstRow="1" w:lastRow="0" w:firstColumn="1" w:lastColumn="0" w:noHBand="0" w:noVBand="1"/>
      </w:tblPr>
      <w:tblGrid>
        <w:gridCol w:w="989"/>
        <w:gridCol w:w="1700"/>
        <w:gridCol w:w="5805"/>
      </w:tblGrid>
      <w:tr w:rsidR="00E52A94" w14:paraId="5BA4E121" w14:textId="77777777">
        <w:trPr>
          <w:trHeight w:val="569"/>
        </w:trPr>
        <w:tc>
          <w:tcPr>
            <w:tcW w:w="582" w:type="pct"/>
            <w:vAlign w:val="center"/>
          </w:tcPr>
          <w:p w14:paraId="457E0249" w14:textId="77777777" w:rsidR="00E52A94" w:rsidRDefault="009232C9">
            <w:pPr>
              <w:spacing w:line="360" w:lineRule="auto"/>
              <w:ind w:left="63" w:right="63"/>
              <w:jc w:val="center"/>
              <w:rPr>
                <w:rFonts w:ascii="宋体" w:hAnsi="宋体" w:cs="仿宋"/>
                <w:bCs/>
                <w:color w:val="000000" w:themeColor="text1"/>
                <w:szCs w:val="21"/>
              </w:rPr>
            </w:pPr>
            <w:r>
              <w:rPr>
                <w:rFonts w:ascii="宋体" w:hAnsi="宋体" w:cs="仿宋"/>
                <w:bCs/>
                <w:color w:val="000000" w:themeColor="text1"/>
                <w:szCs w:val="21"/>
              </w:rPr>
              <w:t>1</w:t>
            </w:r>
          </w:p>
        </w:tc>
        <w:tc>
          <w:tcPr>
            <w:tcW w:w="1001" w:type="pct"/>
            <w:vAlign w:val="center"/>
          </w:tcPr>
          <w:p w14:paraId="0E2A8556" w14:textId="77777777" w:rsidR="00E52A94" w:rsidRDefault="009232C9">
            <w:pPr>
              <w:spacing w:line="360" w:lineRule="auto"/>
              <w:ind w:right="63"/>
              <w:rPr>
                <w:rFonts w:ascii="宋体" w:hAnsi="宋体" w:cstheme="minorBidi"/>
                <w:color w:val="000000" w:themeColor="text1"/>
                <w:szCs w:val="21"/>
              </w:rPr>
            </w:pPr>
            <w:r>
              <w:rPr>
                <w:rFonts w:ascii="宋体" w:hAnsi="宋体" w:cstheme="minorBidi" w:hint="eastAsia"/>
                <w:color w:val="000000" w:themeColor="text1"/>
                <w:szCs w:val="21"/>
              </w:rPr>
              <w:t>样本管理</w:t>
            </w:r>
          </w:p>
        </w:tc>
        <w:tc>
          <w:tcPr>
            <w:tcW w:w="3417" w:type="pct"/>
            <w:vAlign w:val="center"/>
          </w:tcPr>
          <w:p w14:paraId="33A853D5" w14:textId="77777777" w:rsidR="00E52A94" w:rsidRDefault="009232C9">
            <w:pPr>
              <w:spacing w:line="360" w:lineRule="auto"/>
              <w:rPr>
                <w:rFonts w:ascii="宋体" w:hAnsi="宋体" w:cstheme="minorBidi"/>
                <w:szCs w:val="21"/>
              </w:rPr>
            </w:pPr>
            <w:r>
              <w:rPr>
                <w:rFonts w:ascii="宋体" w:hAnsi="宋体" w:cstheme="minorBidi" w:hint="eastAsia"/>
                <w:szCs w:val="21"/>
              </w:rPr>
              <w:t>以表格形式管理本单位录入的所有样本，同一家系样本分组展示。同时，可以方便的对样本进行多种条件的筛选。</w:t>
            </w:r>
          </w:p>
        </w:tc>
      </w:tr>
      <w:tr w:rsidR="00E52A94" w14:paraId="09D5B991" w14:textId="77777777">
        <w:trPr>
          <w:trHeight w:val="134"/>
        </w:trPr>
        <w:tc>
          <w:tcPr>
            <w:tcW w:w="582" w:type="pct"/>
            <w:vAlign w:val="center"/>
          </w:tcPr>
          <w:p w14:paraId="5F5D8527" w14:textId="77777777" w:rsidR="00E52A94" w:rsidRDefault="009232C9">
            <w:pPr>
              <w:spacing w:line="360" w:lineRule="auto"/>
              <w:ind w:left="63" w:right="63"/>
              <w:jc w:val="center"/>
              <w:rPr>
                <w:rFonts w:ascii="宋体" w:hAnsi="宋体" w:cs="仿宋"/>
                <w:bCs/>
                <w:color w:val="000000" w:themeColor="text1"/>
                <w:szCs w:val="21"/>
              </w:rPr>
            </w:pPr>
            <w:r>
              <w:rPr>
                <w:rFonts w:ascii="宋体" w:hAnsi="宋体" w:cs="仿宋" w:hint="eastAsia"/>
                <w:bCs/>
                <w:color w:val="000000" w:themeColor="text1"/>
                <w:szCs w:val="21"/>
              </w:rPr>
              <w:t>2</w:t>
            </w:r>
          </w:p>
        </w:tc>
        <w:tc>
          <w:tcPr>
            <w:tcW w:w="1001" w:type="pct"/>
            <w:vAlign w:val="center"/>
          </w:tcPr>
          <w:p w14:paraId="21CA2507" w14:textId="77777777" w:rsidR="00E52A94" w:rsidRDefault="009232C9">
            <w:pPr>
              <w:spacing w:line="360" w:lineRule="auto"/>
              <w:ind w:right="63"/>
              <w:rPr>
                <w:rFonts w:ascii="宋体" w:hAnsi="宋体" w:cstheme="minorBidi"/>
                <w:color w:val="000000" w:themeColor="text1"/>
                <w:szCs w:val="21"/>
              </w:rPr>
            </w:pPr>
            <w:r>
              <w:rPr>
                <w:rFonts w:ascii="宋体" w:hAnsi="宋体" w:cstheme="minorBidi" w:hint="eastAsia"/>
                <w:color w:val="000000" w:themeColor="text1"/>
                <w:szCs w:val="21"/>
              </w:rPr>
              <w:t>报告管理</w:t>
            </w:r>
          </w:p>
        </w:tc>
        <w:tc>
          <w:tcPr>
            <w:tcW w:w="3417" w:type="pct"/>
            <w:vAlign w:val="center"/>
          </w:tcPr>
          <w:p w14:paraId="724CDD61" w14:textId="77777777" w:rsidR="00E52A94" w:rsidRDefault="009232C9">
            <w:pPr>
              <w:spacing w:line="360" w:lineRule="auto"/>
              <w:rPr>
                <w:rFonts w:ascii="宋体" w:hAnsi="宋体" w:cstheme="minorBidi"/>
                <w:szCs w:val="21"/>
              </w:rPr>
            </w:pPr>
            <w:r>
              <w:rPr>
                <w:rFonts w:ascii="宋体" w:hAnsi="宋体" w:cstheme="minorBidi" w:hint="eastAsia"/>
                <w:szCs w:val="21"/>
              </w:rPr>
              <w:t>依照报告流程可以对已创建的检测报告进行查看、编辑、审核、驳回、发放、下载、退回和更新操作</w:t>
            </w:r>
            <w:r>
              <w:rPr>
                <w:rFonts w:ascii="宋体" w:hAnsi="宋体" w:cstheme="minorBidi" w:hint="eastAsia"/>
                <w:szCs w:val="21"/>
              </w:rPr>
              <w:t>。</w:t>
            </w:r>
          </w:p>
        </w:tc>
      </w:tr>
      <w:tr w:rsidR="00E52A94" w14:paraId="1063E5D1" w14:textId="77777777">
        <w:trPr>
          <w:trHeight w:val="569"/>
        </w:trPr>
        <w:tc>
          <w:tcPr>
            <w:tcW w:w="582" w:type="pct"/>
            <w:vAlign w:val="center"/>
          </w:tcPr>
          <w:p w14:paraId="673CB5BB" w14:textId="77777777" w:rsidR="00E52A94" w:rsidRDefault="009232C9">
            <w:pPr>
              <w:spacing w:line="360" w:lineRule="auto"/>
              <w:ind w:left="63" w:right="63"/>
              <w:jc w:val="center"/>
              <w:rPr>
                <w:rFonts w:ascii="宋体" w:hAnsi="宋体" w:cs="仿宋"/>
                <w:bCs/>
                <w:color w:val="000000" w:themeColor="text1"/>
                <w:szCs w:val="21"/>
              </w:rPr>
            </w:pPr>
            <w:r>
              <w:rPr>
                <w:rFonts w:ascii="宋体" w:hAnsi="宋体" w:cs="仿宋" w:hint="eastAsia"/>
                <w:bCs/>
                <w:color w:val="000000" w:themeColor="text1"/>
                <w:szCs w:val="21"/>
              </w:rPr>
              <w:t>3</w:t>
            </w:r>
          </w:p>
        </w:tc>
        <w:tc>
          <w:tcPr>
            <w:tcW w:w="1001" w:type="pct"/>
            <w:vAlign w:val="center"/>
          </w:tcPr>
          <w:p w14:paraId="1F14C0C5" w14:textId="77777777" w:rsidR="00E52A94" w:rsidRDefault="009232C9">
            <w:pPr>
              <w:spacing w:line="360" w:lineRule="auto"/>
              <w:ind w:right="63"/>
              <w:rPr>
                <w:rFonts w:ascii="宋体" w:hAnsi="宋体" w:cstheme="minorBidi"/>
                <w:color w:val="000000" w:themeColor="text1"/>
                <w:szCs w:val="21"/>
              </w:rPr>
            </w:pPr>
            <w:r>
              <w:rPr>
                <w:rFonts w:ascii="宋体" w:hAnsi="宋体" w:cstheme="minorBidi" w:hint="eastAsia"/>
                <w:color w:val="000000" w:themeColor="text1"/>
                <w:szCs w:val="21"/>
              </w:rPr>
              <w:t>分析模式</w:t>
            </w:r>
          </w:p>
        </w:tc>
        <w:tc>
          <w:tcPr>
            <w:tcW w:w="3417" w:type="pct"/>
            <w:vAlign w:val="center"/>
          </w:tcPr>
          <w:p w14:paraId="11F21D8A" w14:textId="77777777" w:rsidR="00E52A94" w:rsidRDefault="009232C9">
            <w:pPr>
              <w:spacing w:line="360" w:lineRule="auto"/>
              <w:rPr>
                <w:rFonts w:ascii="宋体" w:hAnsi="宋体" w:cstheme="minorBidi"/>
                <w:szCs w:val="21"/>
              </w:rPr>
            </w:pPr>
            <w:r>
              <w:rPr>
                <w:rFonts w:ascii="宋体" w:hAnsi="宋体" w:cstheme="minorBidi" w:hint="eastAsia"/>
                <w:szCs w:val="21"/>
              </w:rPr>
              <w:t>支持单样本分析、家系样本分析。在样本录入时可以方便的进行不同分析模式的切换，同时支持对家系成员进行单独数据分析。</w:t>
            </w:r>
          </w:p>
        </w:tc>
      </w:tr>
      <w:tr w:rsidR="00E52A94" w14:paraId="3EAB1716" w14:textId="77777777">
        <w:trPr>
          <w:trHeight w:val="569"/>
        </w:trPr>
        <w:tc>
          <w:tcPr>
            <w:tcW w:w="582" w:type="pct"/>
            <w:vAlign w:val="center"/>
          </w:tcPr>
          <w:p w14:paraId="1B602BBB" w14:textId="77777777" w:rsidR="00E52A94" w:rsidRDefault="009232C9">
            <w:pPr>
              <w:spacing w:line="360" w:lineRule="auto"/>
              <w:ind w:left="63" w:right="63"/>
              <w:jc w:val="center"/>
              <w:rPr>
                <w:rFonts w:ascii="宋体" w:hAnsi="宋体" w:cs="仿宋"/>
                <w:bCs/>
                <w:color w:val="000000" w:themeColor="text1"/>
                <w:szCs w:val="21"/>
              </w:rPr>
            </w:pPr>
            <w:r>
              <w:rPr>
                <w:rFonts w:ascii="宋体" w:hAnsi="宋体" w:cs="仿宋" w:hint="eastAsia"/>
                <w:bCs/>
                <w:color w:val="000000" w:themeColor="text1"/>
                <w:szCs w:val="21"/>
              </w:rPr>
              <w:t>4</w:t>
            </w:r>
          </w:p>
        </w:tc>
        <w:tc>
          <w:tcPr>
            <w:tcW w:w="1001" w:type="pct"/>
            <w:vAlign w:val="center"/>
          </w:tcPr>
          <w:p w14:paraId="619415BA" w14:textId="77777777" w:rsidR="00E52A94" w:rsidRDefault="009232C9">
            <w:pPr>
              <w:spacing w:line="360" w:lineRule="auto"/>
              <w:ind w:right="63"/>
              <w:rPr>
                <w:rFonts w:ascii="宋体" w:hAnsi="宋体" w:cstheme="minorBidi"/>
                <w:color w:val="000000" w:themeColor="text1"/>
                <w:szCs w:val="21"/>
              </w:rPr>
            </w:pPr>
            <w:r>
              <w:rPr>
                <w:rFonts w:ascii="宋体" w:hAnsi="宋体" w:cstheme="minorBidi" w:hint="eastAsia"/>
                <w:color w:val="000000" w:themeColor="text1"/>
                <w:szCs w:val="21"/>
              </w:rPr>
              <w:t>报告解读</w:t>
            </w:r>
          </w:p>
        </w:tc>
        <w:tc>
          <w:tcPr>
            <w:tcW w:w="3417" w:type="pct"/>
            <w:vAlign w:val="center"/>
          </w:tcPr>
          <w:p w14:paraId="0B3ABE09" w14:textId="77777777" w:rsidR="00E52A94" w:rsidRDefault="009232C9">
            <w:pPr>
              <w:spacing w:line="360" w:lineRule="auto"/>
              <w:rPr>
                <w:rFonts w:ascii="宋体" w:hAnsi="宋体" w:cstheme="minorBidi"/>
                <w:szCs w:val="21"/>
              </w:rPr>
            </w:pPr>
            <w:r>
              <w:rPr>
                <w:rFonts w:ascii="宋体" w:hAnsi="宋体" w:cstheme="minorBidi" w:hint="eastAsia"/>
                <w:szCs w:val="21"/>
              </w:rPr>
              <w:t>系统可自动完成对每一个变异位点的注释和致病性评估。整合多个公开数据库对变异进行注释后，将变异详细的信息展示于分析表格。采用多重变异预测软件对对变异位点的有害性和保守性进行分析。参照</w:t>
            </w:r>
            <w:r>
              <w:rPr>
                <w:rFonts w:ascii="宋体" w:hAnsi="宋体" w:cstheme="minorBidi" w:hint="eastAsia"/>
                <w:szCs w:val="21"/>
              </w:rPr>
              <w:t>ACMG</w:t>
            </w:r>
            <w:r>
              <w:rPr>
                <w:rFonts w:ascii="宋体" w:hAnsi="宋体" w:cstheme="minorBidi" w:hint="eastAsia"/>
                <w:szCs w:val="21"/>
              </w:rPr>
              <w:t>变异分类指南自动对每一个变异位点的致病性进行分类。同时，可以通过调整变异证据改变变异的分类。在样本录入时提供了标准化</w:t>
            </w:r>
            <w:r>
              <w:rPr>
                <w:rFonts w:ascii="宋体" w:hAnsi="宋体" w:cstheme="minorBidi" w:hint="eastAsia"/>
                <w:szCs w:val="21"/>
              </w:rPr>
              <w:t>HPO</w:t>
            </w:r>
            <w:r>
              <w:rPr>
                <w:rFonts w:ascii="宋体" w:hAnsi="宋体" w:cstheme="minorBidi" w:hint="eastAsia"/>
                <w:szCs w:val="21"/>
              </w:rPr>
              <w:t>词条的录入表型方法。在注释评估时，根据录入的先证者表型，在</w:t>
            </w:r>
            <w:r>
              <w:rPr>
                <w:rFonts w:ascii="宋体" w:hAnsi="宋体" w:cstheme="minorBidi" w:hint="eastAsia"/>
                <w:szCs w:val="21"/>
              </w:rPr>
              <w:t>HPO</w:t>
            </w:r>
            <w:r>
              <w:rPr>
                <w:rFonts w:ascii="宋体" w:hAnsi="宋体" w:cstheme="minorBidi" w:hint="eastAsia"/>
                <w:szCs w:val="21"/>
              </w:rPr>
              <w:t>数据库中进行检索和打分，自动对每个变异位点进行表型评级。综合变异分类、表型评级等结果对每一个变异位点给出综合评级。</w:t>
            </w:r>
          </w:p>
        </w:tc>
      </w:tr>
      <w:tr w:rsidR="00E52A94" w14:paraId="065570CB" w14:textId="77777777">
        <w:trPr>
          <w:trHeight w:val="569"/>
        </w:trPr>
        <w:tc>
          <w:tcPr>
            <w:tcW w:w="582" w:type="pct"/>
            <w:vAlign w:val="center"/>
          </w:tcPr>
          <w:p w14:paraId="6FC0B274" w14:textId="77777777" w:rsidR="00E52A94" w:rsidRDefault="009232C9">
            <w:pPr>
              <w:spacing w:line="360" w:lineRule="auto"/>
              <w:ind w:left="63" w:right="63"/>
              <w:jc w:val="center"/>
              <w:rPr>
                <w:rFonts w:ascii="宋体" w:hAnsi="宋体" w:cs="仿宋"/>
                <w:bCs/>
                <w:color w:val="000000" w:themeColor="text1"/>
                <w:szCs w:val="21"/>
              </w:rPr>
            </w:pPr>
            <w:r>
              <w:rPr>
                <w:rFonts w:ascii="宋体" w:hAnsi="宋体" w:cs="仿宋" w:hint="eastAsia"/>
                <w:bCs/>
                <w:color w:val="000000" w:themeColor="text1"/>
                <w:szCs w:val="21"/>
              </w:rPr>
              <w:t>5</w:t>
            </w:r>
          </w:p>
        </w:tc>
        <w:tc>
          <w:tcPr>
            <w:tcW w:w="1001" w:type="pct"/>
            <w:vAlign w:val="center"/>
          </w:tcPr>
          <w:p w14:paraId="30581D7B" w14:textId="77777777" w:rsidR="00E52A94" w:rsidRDefault="009232C9">
            <w:pPr>
              <w:spacing w:line="360" w:lineRule="auto"/>
              <w:ind w:right="63"/>
              <w:rPr>
                <w:rFonts w:ascii="宋体" w:hAnsi="宋体" w:cstheme="minorBidi"/>
                <w:color w:val="000000" w:themeColor="text1"/>
                <w:szCs w:val="21"/>
              </w:rPr>
            </w:pPr>
            <w:r>
              <w:rPr>
                <w:rFonts w:ascii="宋体" w:hAnsi="宋体" w:cstheme="minorBidi" w:hint="eastAsia"/>
                <w:color w:val="000000" w:themeColor="text1"/>
                <w:szCs w:val="21"/>
              </w:rPr>
              <w:t>数据统计和数据挖掘</w:t>
            </w:r>
          </w:p>
        </w:tc>
        <w:tc>
          <w:tcPr>
            <w:tcW w:w="3417" w:type="pct"/>
            <w:vAlign w:val="center"/>
          </w:tcPr>
          <w:p w14:paraId="715F5D5D" w14:textId="77777777" w:rsidR="00E52A94" w:rsidRDefault="009232C9">
            <w:pPr>
              <w:spacing w:line="360" w:lineRule="auto"/>
              <w:rPr>
                <w:rFonts w:ascii="宋体" w:hAnsi="宋体" w:cstheme="minorBidi"/>
                <w:szCs w:val="21"/>
              </w:rPr>
            </w:pPr>
            <w:r>
              <w:rPr>
                <w:rFonts w:ascii="宋体" w:hAnsi="宋体" w:cstheme="minorBidi" w:hint="eastAsia"/>
                <w:szCs w:val="21"/>
              </w:rPr>
              <w:t>可以根据样本、位点、患者信息、临床信息等字段分别进行数据统计。本单位所有样本的位点能进入样本位点库，构建本地人群数据库，可以通过多种条件对位点进行筛选。对一些常见的已明确致病性的变异位点，可以加入位点锁定库，在之后的变异注释评估中，这些变异将自动显示为锁定的分类，减少重复分析和变异解读。对分析过程中遇到的感兴趣的变异位点，可以加入位点收藏库，方便查看和统计。</w:t>
            </w:r>
          </w:p>
        </w:tc>
      </w:tr>
      <w:tr w:rsidR="00E52A94" w14:paraId="38AE7848" w14:textId="77777777">
        <w:trPr>
          <w:trHeight w:val="569"/>
        </w:trPr>
        <w:tc>
          <w:tcPr>
            <w:tcW w:w="582" w:type="pct"/>
            <w:vAlign w:val="center"/>
          </w:tcPr>
          <w:p w14:paraId="77DEA298" w14:textId="77777777" w:rsidR="00E52A94" w:rsidRDefault="009232C9">
            <w:pPr>
              <w:spacing w:line="360" w:lineRule="auto"/>
              <w:ind w:left="63" w:right="63"/>
              <w:jc w:val="center"/>
              <w:rPr>
                <w:rFonts w:ascii="宋体" w:hAnsi="宋体" w:cs="仿宋"/>
                <w:bCs/>
                <w:color w:val="000000" w:themeColor="text1"/>
                <w:szCs w:val="21"/>
              </w:rPr>
            </w:pPr>
            <w:r>
              <w:rPr>
                <w:rFonts w:ascii="宋体" w:hAnsi="宋体" w:cs="仿宋" w:hint="eastAsia"/>
                <w:bCs/>
                <w:color w:val="000000" w:themeColor="text1"/>
                <w:szCs w:val="21"/>
              </w:rPr>
              <w:t>6</w:t>
            </w:r>
          </w:p>
        </w:tc>
        <w:tc>
          <w:tcPr>
            <w:tcW w:w="1001" w:type="pct"/>
            <w:vAlign w:val="center"/>
          </w:tcPr>
          <w:p w14:paraId="415EAAAC" w14:textId="77777777" w:rsidR="00E52A94" w:rsidRDefault="009232C9">
            <w:pPr>
              <w:spacing w:line="360" w:lineRule="auto"/>
              <w:ind w:right="63"/>
              <w:rPr>
                <w:rFonts w:ascii="宋体" w:hAnsi="宋体" w:cstheme="minorBidi"/>
                <w:color w:val="000000" w:themeColor="text1"/>
                <w:szCs w:val="21"/>
              </w:rPr>
            </w:pPr>
            <w:r>
              <w:rPr>
                <w:rFonts w:ascii="宋体" w:hAnsi="宋体" w:cstheme="minorBidi" w:hint="eastAsia"/>
                <w:color w:val="000000" w:themeColor="text1"/>
                <w:szCs w:val="21"/>
              </w:rPr>
              <w:t>账号与权限管理</w:t>
            </w:r>
          </w:p>
        </w:tc>
        <w:tc>
          <w:tcPr>
            <w:tcW w:w="3417" w:type="pct"/>
            <w:vAlign w:val="center"/>
          </w:tcPr>
          <w:p w14:paraId="536CC843" w14:textId="77777777" w:rsidR="00E52A94" w:rsidRDefault="009232C9">
            <w:pPr>
              <w:spacing w:line="360" w:lineRule="auto"/>
              <w:rPr>
                <w:rFonts w:ascii="宋体" w:hAnsi="宋体" w:cstheme="minorBidi"/>
                <w:szCs w:val="21"/>
              </w:rPr>
            </w:pPr>
            <w:r>
              <w:rPr>
                <w:rFonts w:ascii="宋体" w:hAnsi="宋体" w:cstheme="minorBidi" w:hint="eastAsia"/>
                <w:szCs w:val="21"/>
              </w:rPr>
              <w:t>1</w:t>
            </w:r>
            <w:r>
              <w:rPr>
                <w:rFonts w:ascii="宋体" w:hAnsi="宋体" w:cstheme="minorBidi" w:hint="eastAsia"/>
                <w:szCs w:val="21"/>
              </w:rPr>
              <w:t>、</w:t>
            </w:r>
            <w:r>
              <w:rPr>
                <w:rFonts w:ascii="宋体" w:hAnsi="宋体" w:cstheme="minorBidi" w:hint="eastAsia"/>
                <w:szCs w:val="21"/>
              </w:rPr>
              <w:t>支持角色分类</w:t>
            </w:r>
            <w:r>
              <w:rPr>
                <w:rFonts w:ascii="宋体" w:hAnsi="宋体" w:cstheme="minorBidi" w:hint="eastAsia"/>
                <w:szCs w:val="21"/>
              </w:rPr>
              <w:t>（</w:t>
            </w:r>
            <w:r>
              <w:rPr>
                <w:rFonts w:ascii="宋体" w:hAnsi="宋体" w:cstheme="minorBidi" w:hint="eastAsia"/>
                <w:szCs w:val="21"/>
              </w:rPr>
              <w:t>技师</w:t>
            </w:r>
            <w:r>
              <w:rPr>
                <w:rFonts w:ascii="宋体" w:hAnsi="宋体" w:cstheme="minorBidi" w:hint="eastAsia"/>
                <w:szCs w:val="21"/>
              </w:rPr>
              <w:t>、管理员等</w:t>
            </w:r>
            <w:r>
              <w:rPr>
                <w:rFonts w:ascii="宋体" w:hAnsi="宋体" w:cstheme="minorBidi" w:hint="eastAsia"/>
                <w:szCs w:val="21"/>
              </w:rPr>
              <w:t>）</w:t>
            </w:r>
            <w:r>
              <w:rPr>
                <w:rFonts w:ascii="宋体" w:hAnsi="宋体" w:cstheme="minorBidi" w:hint="eastAsia"/>
                <w:szCs w:val="21"/>
              </w:rPr>
              <w:t>并设置权限范围</w:t>
            </w:r>
            <w:r>
              <w:rPr>
                <w:rFonts w:ascii="宋体" w:hAnsi="宋体" w:cstheme="minorBidi" w:hint="eastAsia"/>
                <w:szCs w:val="21"/>
              </w:rPr>
              <w:t>；</w:t>
            </w:r>
          </w:p>
          <w:p w14:paraId="04938619" w14:textId="77777777" w:rsidR="00E52A94" w:rsidRDefault="009232C9">
            <w:pPr>
              <w:spacing w:line="360" w:lineRule="auto"/>
              <w:rPr>
                <w:rFonts w:ascii="宋体" w:hAnsi="宋体" w:cstheme="minorBidi"/>
                <w:szCs w:val="21"/>
              </w:rPr>
            </w:pPr>
            <w:r>
              <w:rPr>
                <w:rFonts w:ascii="宋体" w:hAnsi="宋体" w:cstheme="minorBidi" w:hint="eastAsia"/>
                <w:szCs w:val="21"/>
              </w:rPr>
              <w:t>2</w:t>
            </w:r>
            <w:r>
              <w:rPr>
                <w:rFonts w:ascii="宋体" w:hAnsi="宋体" w:cstheme="minorBidi" w:hint="eastAsia"/>
                <w:szCs w:val="21"/>
              </w:rPr>
              <w:t>、</w:t>
            </w:r>
            <w:r>
              <w:rPr>
                <w:rFonts w:ascii="宋体" w:hAnsi="宋体" w:cstheme="minorBidi" w:hint="eastAsia"/>
                <w:szCs w:val="21"/>
              </w:rPr>
              <w:t>菜单控制</w:t>
            </w:r>
            <w:r>
              <w:rPr>
                <w:rFonts w:ascii="宋体" w:hAnsi="宋体" w:cstheme="minorBidi" w:hint="eastAsia"/>
                <w:szCs w:val="21"/>
              </w:rPr>
              <w:t>：</w:t>
            </w:r>
            <w:r>
              <w:rPr>
                <w:rFonts w:ascii="宋体" w:hAnsi="宋体" w:cstheme="minorBidi" w:hint="eastAsia"/>
                <w:szCs w:val="21"/>
              </w:rPr>
              <w:t>支持按角色显示不同功能模块菜单，菜单级权限隔离</w:t>
            </w:r>
            <w:r>
              <w:rPr>
                <w:rFonts w:ascii="宋体" w:hAnsi="宋体" w:cstheme="minorBidi" w:hint="eastAsia"/>
                <w:szCs w:val="21"/>
              </w:rPr>
              <w:t>（</w:t>
            </w:r>
            <w:r>
              <w:rPr>
                <w:rFonts w:ascii="宋体" w:hAnsi="宋体" w:cstheme="minorBidi" w:hint="eastAsia"/>
                <w:szCs w:val="21"/>
              </w:rPr>
              <w:t>如技师仅可见</w:t>
            </w:r>
            <w:r>
              <w:rPr>
                <w:rFonts w:ascii="宋体" w:hAnsi="宋体" w:cstheme="minorBidi" w:hint="eastAsia"/>
                <w:szCs w:val="21"/>
              </w:rPr>
              <w:t>分析管理页面等</w:t>
            </w:r>
            <w:r>
              <w:rPr>
                <w:rFonts w:ascii="宋体" w:hAnsi="宋体" w:cstheme="minorBidi" w:hint="eastAsia"/>
                <w:szCs w:val="21"/>
              </w:rPr>
              <w:t>，管理员可配置</w:t>
            </w:r>
            <w:r>
              <w:rPr>
                <w:rFonts w:ascii="宋体" w:hAnsi="宋体" w:cstheme="minorBidi" w:hint="eastAsia"/>
                <w:szCs w:val="21"/>
              </w:rPr>
              <w:t>系统设</w:t>
            </w:r>
            <w:r>
              <w:rPr>
                <w:rFonts w:ascii="宋体" w:hAnsi="宋体" w:cstheme="minorBidi" w:hint="eastAsia"/>
                <w:szCs w:val="21"/>
              </w:rPr>
              <w:lastRenderedPageBreak/>
              <w:t>置</w:t>
            </w:r>
            <w:r>
              <w:rPr>
                <w:rFonts w:ascii="宋体" w:hAnsi="宋体" w:cstheme="minorBidi" w:hint="eastAsia"/>
                <w:szCs w:val="21"/>
              </w:rPr>
              <w:t>）</w:t>
            </w:r>
            <w:r>
              <w:rPr>
                <w:rFonts w:ascii="宋体" w:hAnsi="宋体" w:cstheme="minorBidi" w:hint="eastAsia"/>
                <w:szCs w:val="21"/>
              </w:rPr>
              <w:t>。</w:t>
            </w:r>
          </w:p>
        </w:tc>
      </w:tr>
    </w:tbl>
    <w:p w14:paraId="3CB07B86" w14:textId="77777777" w:rsidR="00E52A94" w:rsidRDefault="009232C9">
      <w:pPr>
        <w:pStyle w:val="1"/>
        <w:numPr>
          <w:ilvl w:val="0"/>
          <w:numId w:val="1"/>
        </w:numPr>
        <w:spacing w:before="312" w:after="312" w:line="360" w:lineRule="auto"/>
        <w:rPr>
          <w:rFonts w:hint="default"/>
        </w:rPr>
      </w:pPr>
      <w:r>
        <w:lastRenderedPageBreak/>
        <w:t>项目工期</w:t>
      </w:r>
    </w:p>
    <w:p w14:paraId="597F901B" w14:textId="77777777" w:rsidR="00E52A94" w:rsidRDefault="009232C9">
      <w:pPr>
        <w:numPr>
          <w:ilvl w:val="0"/>
          <w:numId w:val="3"/>
        </w:numPr>
        <w:tabs>
          <w:tab w:val="left" w:pos="420"/>
          <w:tab w:val="left" w:pos="780"/>
        </w:tabs>
        <w:spacing w:beforeLines="50" w:before="156" w:line="360" w:lineRule="auto"/>
        <w:outlineLvl w:val="0"/>
        <w:rPr>
          <w:rFonts w:ascii="宋体" w:hAnsi="宋体" w:cs="宋体"/>
          <w:szCs w:val="21"/>
        </w:rPr>
      </w:pPr>
      <w:r>
        <w:rPr>
          <w:rFonts w:ascii="宋体" w:hAnsi="宋体" w:cs="宋体" w:hint="eastAsia"/>
          <w:szCs w:val="21"/>
        </w:rPr>
        <w:t>自合同签订日起，须在</w:t>
      </w:r>
      <w:r>
        <w:rPr>
          <w:rFonts w:ascii="宋体" w:hAnsi="宋体" w:cs="宋体"/>
          <w:szCs w:val="21"/>
        </w:rPr>
        <w:t>7</w:t>
      </w:r>
      <w:r>
        <w:rPr>
          <w:rFonts w:ascii="宋体" w:hAnsi="宋体" w:cs="宋体" w:hint="eastAsia"/>
          <w:szCs w:val="21"/>
        </w:rPr>
        <w:t>个工作日内对《用户需求说明书》进行补充、确认或提出意见。</w:t>
      </w:r>
    </w:p>
    <w:p w14:paraId="0DC84024" w14:textId="77777777" w:rsidR="00E52A94" w:rsidRDefault="009232C9">
      <w:pPr>
        <w:numPr>
          <w:ilvl w:val="0"/>
          <w:numId w:val="3"/>
        </w:numPr>
        <w:tabs>
          <w:tab w:val="left" w:pos="780"/>
        </w:tabs>
        <w:spacing w:beforeLines="50" w:before="156" w:line="360" w:lineRule="auto"/>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szCs w:val="21"/>
          <w:u w:val="single"/>
        </w:rPr>
        <w:t>10</w:t>
      </w:r>
      <w:r>
        <w:rPr>
          <w:rFonts w:ascii="宋体" w:hAnsi="宋体" w:cs="宋体" w:hint="eastAsia"/>
          <w:szCs w:val="21"/>
        </w:rPr>
        <w:t>个工作日内确认《需求规格说明书》。</w:t>
      </w:r>
    </w:p>
    <w:p w14:paraId="565160DF" w14:textId="7EB7BF8E" w:rsidR="00E52A94" w:rsidRDefault="009232C9">
      <w:pPr>
        <w:numPr>
          <w:ilvl w:val="0"/>
          <w:numId w:val="3"/>
        </w:numPr>
        <w:tabs>
          <w:tab w:val="left" w:pos="780"/>
        </w:tabs>
        <w:spacing w:beforeLines="50" w:before="156" w:line="360" w:lineRule="auto"/>
        <w:outlineLvl w:val="0"/>
        <w:rPr>
          <w:rFonts w:ascii="宋体" w:hAnsi="宋体" w:cs="宋体"/>
          <w:szCs w:val="21"/>
        </w:rPr>
      </w:pPr>
      <w:r>
        <w:rPr>
          <w:rFonts w:ascii="宋体" w:hAnsi="宋体" w:cs="宋体" w:hint="eastAsia"/>
          <w:szCs w:val="21"/>
        </w:rPr>
        <w:t>须在《需求规格说明书》确认后的</w:t>
      </w:r>
      <w:r w:rsidR="00186201">
        <w:rPr>
          <w:rFonts w:ascii="宋体" w:hAnsi="宋体" w:cs="宋体"/>
          <w:szCs w:val="21"/>
          <w:u w:val="single"/>
        </w:rPr>
        <w:t>1</w:t>
      </w:r>
      <w:r w:rsidR="00186201">
        <w:rPr>
          <w:rFonts w:ascii="宋体" w:hAnsi="宋体" w:cs="宋体" w:hint="eastAsia"/>
          <w:szCs w:val="21"/>
          <w:u w:val="single"/>
        </w:rPr>
        <w:t>年</w:t>
      </w:r>
      <w:bookmarkStart w:id="0" w:name="_GoBack"/>
      <w:bookmarkEnd w:id="0"/>
      <w:r>
        <w:rPr>
          <w:rFonts w:ascii="宋体" w:hAnsi="宋体" w:cs="宋体" w:hint="eastAsia"/>
          <w:szCs w:val="21"/>
        </w:rPr>
        <w:t>内完成实施导入和保证系统正常工作。</w:t>
      </w:r>
    </w:p>
    <w:p w14:paraId="528DD43B" w14:textId="77777777" w:rsidR="00E52A94" w:rsidRDefault="009232C9">
      <w:pPr>
        <w:numPr>
          <w:ilvl w:val="0"/>
          <w:numId w:val="3"/>
        </w:numPr>
        <w:tabs>
          <w:tab w:val="left" w:pos="780"/>
        </w:tabs>
        <w:spacing w:beforeLines="50" w:before="156" w:line="360" w:lineRule="auto"/>
        <w:outlineLvl w:val="0"/>
        <w:rPr>
          <w:rFonts w:ascii="宋体" w:hAnsi="宋体" w:cs="宋体"/>
          <w:szCs w:val="21"/>
        </w:rPr>
      </w:pPr>
      <w:r>
        <w:rPr>
          <w:rFonts w:ascii="宋体" w:hAnsi="宋体" w:cs="宋体" w:hint="eastAsia"/>
          <w:szCs w:val="21"/>
        </w:rPr>
        <w:t>完成软件实施，并根据院方提出的新需求完成修改后，系统运行</w:t>
      </w:r>
      <w:r>
        <w:rPr>
          <w:rFonts w:ascii="宋体" w:hAnsi="宋体" w:cs="宋体"/>
          <w:szCs w:val="21"/>
        </w:rPr>
        <w:t>3</w:t>
      </w:r>
      <w:r>
        <w:rPr>
          <w:rFonts w:ascii="宋体" w:hAnsi="宋体" w:cs="宋体" w:hint="eastAsia"/>
          <w:szCs w:val="21"/>
        </w:rPr>
        <w:t>个月以上无软件故障出现，则向院方申请验收。</w:t>
      </w:r>
    </w:p>
    <w:p w14:paraId="2613ACE2" w14:textId="77777777" w:rsidR="00E52A94" w:rsidRDefault="009232C9">
      <w:pPr>
        <w:pStyle w:val="1"/>
        <w:numPr>
          <w:ilvl w:val="0"/>
          <w:numId w:val="1"/>
        </w:numPr>
        <w:spacing w:before="312" w:after="312" w:line="360" w:lineRule="auto"/>
        <w:rPr>
          <w:rFonts w:hint="default"/>
        </w:rPr>
      </w:pPr>
      <w:r>
        <w:t>集成技术及实施服务要求</w:t>
      </w:r>
    </w:p>
    <w:p w14:paraId="5BDC1E96" w14:textId="77777777" w:rsidR="00E52A94" w:rsidRDefault="00923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268E3B15" w14:textId="77777777" w:rsidR="00E52A94" w:rsidRDefault="00923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w:t>
      </w:r>
      <w:proofErr w:type="gramStart"/>
      <w:r>
        <w:rPr>
          <w:rFonts w:ascii="宋体" w:hAnsi="宋体" w:cs="宋体" w:hint="eastAsia"/>
          <w:szCs w:val="21"/>
        </w:rPr>
        <w:t>前软件需</w:t>
      </w:r>
      <w:proofErr w:type="gramEnd"/>
      <w:r>
        <w:rPr>
          <w:rFonts w:ascii="宋体" w:hAnsi="宋体" w:cs="宋体" w:hint="eastAsia"/>
          <w:szCs w:val="21"/>
        </w:rPr>
        <w:t>通过院方信息部门组织的安全测评、漏洞扫描、渗透测试等安全检查，项目承建商根据检测结果对安全漏洞进行整改。</w:t>
      </w:r>
    </w:p>
    <w:p w14:paraId="397D5F42" w14:textId="77777777" w:rsidR="00E52A94" w:rsidRDefault="00923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w:t>
      </w:r>
      <w:r>
        <w:rPr>
          <w:rFonts w:ascii="宋体" w:hAnsi="宋体" w:cs="宋体" w:hint="eastAsia"/>
          <w:szCs w:val="21"/>
        </w:rPr>
        <w:t>项目系统的安装、调试及培训实施方案，方案得到院方确认后实施，保证系统按时、正常地投入运行。</w:t>
      </w:r>
    </w:p>
    <w:p w14:paraId="19BC3D85" w14:textId="77777777" w:rsidR="00E52A94" w:rsidRDefault="00923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03528AC9" w14:textId="77777777" w:rsidR="00E52A94" w:rsidRDefault="00923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14:paraId="0EE7306F" w14:textId="7D62E094" w:rsidR="00E52A94" w:rsidRDefault="00923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lastRenderedPageBreak/>
        <w:t>本项目需</w:t>
      </w:r>
      <w:r w:rsidR="00290BB9">
        <w:rPr>
          <w:rFonts w:ascii="宋体" w:hAnsi="宋体" w:cs="宋体" w:hint="eastAsia"/>
          <w:szCs w:val="21"/>
        </w:rPr>
        <w:t>根据医院要求，</w:t>
      </w:r>
      <w:r w:rsidR="00975E9D">
        <w:rPr>
          <w:rFonts w:ascii="宋体" w:hAnsi="宋体" w:cs="宋体" w:hint="eastAsia"/>
          <w:szCs w:val="21"/>
        </w:rPr>
        <w:t>免费</w:t>
      </w:r>
      <w:r w:rsidR="00290BB9">
        <w:rPr>
          <w:rFonts w:ascii="宋体" w:hAnsi="宋体" w:cs="宋体" w:hint="eastAsia"/>
          <w:szCs w:val="21"/>
        </w:rPr>
        <w:t>开展</w:t>
      </w:r>
      <w:r>
        <w:rPr>
          <w:rFonts w:ascii="宋体" w:hAnsi="宋体" w:cs="宋体" w:hint="eastAsia"/>
          <w:szCs w:val="21"/>
        </w:rPr>
        <w:t>国家信创</w:t>
      </w:r>
      <w:r w:rsidR="00975E9D">
        <w:rPr>
          <w:rFonts w:ascii="宋体" w:hAnsi="宋体" w:cs="宋体" w:hint="eastAsia"/>
          <w:szCs w:val="21"/>
        </w:rPr>
        <w:t>适配</w:t>
      </w:r>
      <w:r w:rsidR="00290BB9">
        <w:rPr>
          <w:rFonts w:ascii="宋体" w:hAnsi="宋体" w:cs="宋体" w:hint="eastAsia"/>
          <w:szCs w:val="21"/>
        </w:rPr>
        <w:t>改造</w:t>
      </w:r>
      <w:r>
        <w:rPr>
          <w:rFonts w:ascii="宋体" w:hAnsi="宋体" w:cs="宋体" w:hint="eastAsia"/>
          <w:szCs w:val="21"/>
        </w:rPr>
        <w:t>。</w:t>
      </w:r>
      <w:r w:rsidR="00C32EE6">
        <w:rPr>
          <w:rFonts w:ascii="宋体" w:hAnsi="宋体" w:cs="宋体" w:hint="eastAsia"/>
          <w:szCs w:val="21"/>
        </w:rPr>
        <w:t>如医院后续开展测序文件统一存储与管理，供应商需免费配合相关工作。</w:t>
      </w:r>
    </w:p>
    <w:p w14:paraId="10A2FEC3" w14:textId="77777777" w:rsidR="00E52A94" w:rsidRDefault="009232C9">
      <w:pPr>
        <w:pStyle w:val="1"/>
        <w:numPr>
          <w:ilvl w:val="0"/>
          <w:numId w:val="1"/>
        </w:numPr>
        <w:spacing w:before="312" w:after="312" w:line="360" w:lineRule="auto"/>
        <w:rPr>
          <w:rFonts w:hint="default"/>
        </w:rPr>
      </w:pPr>
      <w:r>
        <w:t>后续维护服务</w:t>
      </w:r>
    </w:p>
    <w:p w14:paraId="58144C18" w14:textId="77777777" w:rsidR="00E52A94" w:rsidRDefault="00923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软件维护期从合同标的验收合格之日算起，期限为</w:t>
      </w:r>
      <w:r>
        <w:rPr>
          <w:rFonts w:ascii="宋体" w:hAnsi="宋体" w:cs="宋体"/>
          <w:szCs w:val="21"/>
          <w:u w:val="single"/>
        </w:rPr>
        <w:t>36</w:t>
      </w:r>
      <w:r>
        <w:rPr>
          <w:rFonts w:ascii="宋体" w:hAnsi="宋体" w:cs="宋体" w:hint="eastAsia"/>
          <w:szCs w:val="21"/>
        </w:rPr>
        <w:t>个月。在维护期内，承建商提供技术支持和指导，以及软件的局部改进完善以及故障情况下的现场问题解决。</w:t>
      </w:r>
    </w:p>
    <w:p w14:paraId="1DB8099D" w14:textId="77777777" w:rsidR="00E52A94" w:rsidRDefault="00923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维保期内承建商为院方提供维护及服务的部门及固定的专职技术人员。</w:t>
      </w:r>
    </w:p>
    <w:p w14:paraId="38559E28" w14:textId="77777777" w:rsidR="00E52A94" w:rsidRDefault="009232C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10558F04" w14:textId="77777777" w:rsidR="00E52A94" w:rsidRDefault="009232C9">
      <w:pPr>
        <w:pStyle w:val="1"/>
        <w:numPr>
          <w:ilvl w:val="0"/>
          <w:numId w:val="1"/>
        </w:numPr>
        <w:spacing w:before="312" w:after="312" w:line="360" w:lineRule="auto"/>
        <w:rPr>
          <w:rFonts w:hint="default"/>
        </w:rPr>
      </w:pPr>
      <w:r>
        <w:t>合同款支付方式</w:t>
      </w:r>
    </w:p>
    <w:p w14:paraId="3D5C3417" w14:textId="22D730DB" w:rsidR="00E52A94" w:rsidRDefault="009232C9">
      <w:pPr>
        <w:spacing w:line="360" w:lineRule="auto"/>
        <w:ind w:firstLineChars="300" w:firstLine="630"/>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w:t>
      </w:r>
      <w:r>
        <w:rPr>
          <w:rFonts w:ascii="宋体" w:hAnsi="宋体" w:cs="宋体" w:hint="eastAsia"/>
          <w:szCs w:val="21"/>
        </w:rPr>
        <w:t>合同签订后，在收到承建商开具相应金额正式发票后，支付合同总金额的</w:t>
      </w:r>
      <w:r w:rsidR="001F6B5D">
        <w:rPr>
          <w:rFonts w:ascii="宋体" w:hAnsi="宋体" w:cs="宋体"/>
          <w:szCs w:val="21"/>
        </w:rPr>
        <w:t>1</w:t>
      </w:r>
      <w:r>
        <w:rPr>
          <w:rFonts w:ascii="宋体" w:hAnsi="宋体" w:cs="宋体" w:hint="eastAsia"/>
          <w:szCs w:val="21"/>
        </w:rPr>
        <w:t>0%</w:t>
      </w:r>
      <w:r>
        <w:rPr>
          <w:rFonts w:ascii="宋体" w:hAnsi="宋体" w:cs="宋体" w:hint="eastAsia"/>
          <w:szCs w:val="21"/>
        </w:rPr>
        <w:t>。</w:t>
      </w:r>
    </w:p>
    <w:p w14:paraId="0B452CF9" w14:textId="4C1D6958" w:rsidR="00E52A94" w:rsidRDefault="009232C9">
      <w:pPr>
        <w:spacing w:line="360" w:lineRule="auto"/>
        <w:ind w:firstLineChars="300" w:firstLine="630"/>
        <w:rPr>
          <w:rFonts w:ascii="宋体" w:hAnsi="宋体" w:cs="宋体"/>
          <w:szCs w:val="21"/>
        </w:rPr>
      </w:pPr>
      <w:r>
        <w:rPr>
          <w:rFonts w:ascii="宋体" w:hAnsi="宋体" w:cs="宋体" w:hint="eastAsia"/>
          <w:szCs w:val="21"/>
        </w:rPr>
        <w:t>(</w:t>
      </w:r>
      <w:r>
        <w:rPr>
          <w:rFonts w:ascii="宋体" w:hAnsi="宋体" w:cs="宋体" w:hint="eastAsia"/>
          <w:szCs w:val="21"/>
        </w:rPr>
        <w:t>二</w:t>
      </w:r>
      <w:r>
        <w:rPr>
          <w:rFonts w:ascii="宋体" w:hAnsi="宋体" w:cs="宋体" w:hint="eastAsia"/>
          <w:szCs w:val="21"/>
        </w:rPr>
        <w:t>)</w:t>
      </w:r>
      <w:r>
        <w:rPr>
          <w:rFonts w:ascii="宋体" w:hAnsi="宋体" w:cs="宋体" w:hint="eastAsia"/>
          <w:szCs w:val="21"/>
        </w:rPr>
        <w:t>软件验收通过后，在收到承建商开具相应金额正式发票及售后服务承诺函后，支付合同总金额的</w:t>
      </w:r>
      <w:r w:rsidR="001F6B5D">
        <w:rPr>
          <w:rFonts w:ascii="宋体" w:hAnsi="宋体" w:cs="宋体"/>
          <w:szCs w:val="21"/>
        </w:rPr>
        <w:t>9</w:t>
      </w:r>
      <w:r>
        <w:rPr>
          <w:rFonts w:ascii="宋体" w:hAnsi="宋体" w:cs="宋体"/>
          <w:szCs w:val="21"/>
        </w:rPr>
        <w:t>0</w:t>
      </w:r>
      <w:r>
        <w:rPr>
          <w:rFonts w:ascii="宋体" w:hAnsi="宋体" w:cs="宋体" w:hint="eastAsia"/>
          <w:szCs w:val="21"/>
        </w:rPr>
        <w:t>%</w:t>
      </w:r>
      <w:r>
        <w:rPr>
          <w:rFonts w:ascii="宋体" w:hAnsi="宋体" w:cs="宋体" w:hint="eastAsia"/>
          <w:szCs w:val="21"/>
        </w:rPr>
        <w:t>。</w:t>
      </w:r>
    </w:p>
    <w:sectPr w:rsidR="00E52A94">
      <w:footerReference w:type="even" r:id="rId7"/>
      <w:footerReference w:type="default" r:id="rId8"/>
      <w:pgSz w:w="11906" w:h="16838"/>
      <w:pgMar w:top="1247" w:right="1701" w:bottom="85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63EBD" w14:textId="77777777" w:rsidR="009232C9" w:rsidRDefault="009232C9">
      <w:r>
        <w:separator/>
      </w:r>
    </w:p>
  </w:endnote>
  <w:endnote w:type="continuationSeparator" w:id="0">
    <w:p w14:paraId="6B0367E6" w14:textId="77777777" w:rsidR="009232C9" w:rsidRDefault="0092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162390239"/>
    </w:sdtPr>
    <w:sdtEndPr>
      <w:rPr>
        <w:rStyle w:val="ae"/>
      </w:rPr>
    </w:sdtEndPr>
    <w:sdtContent>
      <w:p w14:paraId="61C06C21" w14:textId="77777777" w:rsidR="00E52A94" w:rsidRDefault="009232C9">
        <w:pPr>
          <w:pStyle w:val="a7"/>
          <w:framePr w:wrap="auto"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3A36C215" w14:textId="77777777" w:rsidR="00E52A94" w:rsidRDefault="00E52A9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1563601526"/>
    </w:sdtPr>
    <w:sdtEndPr>
      <w:rPr>
        <w:rStyle w:val="ae"/>
      </w:rPr>
    </w:sdtEndPr>
    <w:sdtContent>
      <w:p w14:paraId="1347CEC0" w14:textId="19521762" w:rsidR="00E52A94" w:rsidRDefault="009232C9">
        <w:pPr>
          <w:pStyle w:val="a7"/>
          <w:framePr w:wrap="auto" w:vAnchor="text" w:hAnchor="margin" w:xAlign="center" w:y="1"/>
          <w:rPr>
            <w:rStyle w:val="ae"/>
          </w:rPr>
        </w:pPr>
        <w:r>
          <w:rPr>
            <w:rStyle w:val="ae"/>
          </w:rPr>
          <w:fldChar w:fldCharType="begin"/>
        </w:r>
        <w:r>
          <w:rPr>
            <w:rStyle w:val="ae"/>
          </w:rPr>
          <w:instrText xml:space="preserve"> PAGE </w:instrText>
        </w:r>
        <w:r>
          <w:rPr>
            <w:rStyle w:val="ae"/>
          </w:rPr>
          <w:fldChar w:fldCharType="separate"/>
        </w:r>
        <w:r w:rsidR="00186201">
          <w:rPr>
            <w:rStyle w:val="ae"/>
            <w:noProof/>
          </w:rPr>
          <w:t>4</w:t>
        </w:r>
        <w:r>
          <w:rPr>
            <w:rStyle w:val="ae"/>
          </w:rPr>
          <w:fldChar w:fldCharType="end"/>
        </w:r>
      </w:p>
    </w:sdtContent>
  </w:sdt>
  <w:p w14:paraId="63717950" w14:textId="77777777" w:rsidR="00E52A94" w:rsidRDefault="00E52A9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40647" w14:textId="77777777" w:rsidR="009232C9" w:rsidRDefault="009232C9">
      <w:r>
        <w:separator/>
      </w:r>
    </w:p>
  </w:footnote>
  <w:footnote w:type="continuationSeparator" w:id="0">
    <w:p w14:paraId="43FAE370" w14:textId="77777777" w:rsidR="009232C9" w:rsidRDefault="009232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63A2"/>
    <w:multiLevelType w:val="multilevel"/>
    <w:tmpl w:val="0AE363A2"/>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B27559D"/>
    <w:multiLevelType w:val="multilevel"/>
    <w:tmpl w:val="4B27559D"/>
    <w:lvl w:ilvl="0">
      <w:start w:val="1"/>
      <w:numFmt w:val="decimal"/>
      <w:lvlText w:val="3.%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F3"/>
    <w:rsid w:val="0000250F"/>
    <w:rsid w:val="000057DB"/>
    <w:rsid w:val="00015A25"/>
    <w:rsid w:val="0001614B"/>
    <w:rsid w:val="00024040"/>
    <w:rsid w:val="00027DED"/>
    <w:rsid w:val="00040EA7"/>
    <w:rsid w:val="0005476F"/>
    <w:rsid w:val="00055894"/>
    <w:rsid w:val="00056A21"/>
    <w:rsid w:val="000664F7"/>
    <w:rsid w:val="0007718D"/>
    <w:rsid w:val="00083361"/>
    <w:rsid w:val="00087434"/>
    <w:rsid w:val="000914A7"/>
    <w:rsid w:val="000A447F"/>
    <w:rsid w:val="000B17FD"/>
    <w:rsid w:val="000B21C9"/>
    <w:rsid w:val="000C2BEF"/>
    <w:rsid w:val="000C50D2"/>
    <w:rsid w:val="000C79B0"/>
    <w:rsid w:val="000D11AA"/>
    <w:rsid w:val="000D2360"/>
    <w:rsid w:val="000D2639"/>
    <w:rsid w:val="000E6F7D"/>
    <w:rsid w:val="000F0233"/>
    <w:rsid w:val="000F1A65"/>
    <w:rsid w:val="00114C62"/>
    <w:rsid w:val="00144FC1"/>
    <w:rsid w:val="00146F28"/>
    <w:rsid w:val="00147F1B"/>
    <w:rsid w:val="00152944"/>
    <w:rsid w:val="0016103D"/>
    <w:rsid w:val="00170FDA"/>
    <w:rsid w:val="001726E4"/>
    <w:rsid w:val="001740AA"/>
    <w:rsid w:val="00176FBC"/>
    <w:rsid w:val="00185D28"/>
    <w:rsid w:val="00186201"/>
    <w:rsid w:val="001A6D8C"/>
    <w:rsid w:val="001B6B9D"/>
    <w:rsid w:val="001B7AA4"/>
    <w:rsid w:val="001C68DC"/>
    <w:rsid w:val="001D1714"/>
    <w:rsid w:val="001D24FB"/>
    <w:rsid w:val="001E26A8"/>
    <w:rsid w:val="001E79E5"/>
    <w:rsid w:val="001F2039"/>
    <w:rsid w:val="001F3AC3"/>
    <w:rsid w:val="001F43C3"/>
    <w:rsid w:val="001F6B5D"/>
    <w:rsid w:val="00206AD1"/>
    <w:rsid w:val="00214418"/>
    <w:rsid w:val="0021471F"/>
    <w:rsid w:val="002272E0"/>
    <w:rsid w:val="002274DE"/>
    <w:rsid w:val="00233EAA"/>
    <w:rsid w:val="00237315"/>
    <w:rsid w:val="00244582"/>
    <w:rsid w:val="0026026B"/>
    <w:rsid w:val="002612ED"/>
    <w:rsid w:val="00261D0A"/>
    <w:rsid w:val="002641B7"/>
    <w:rsid w:val="00273C80"/>
    <w:rsid w:val="002818E8"/>
    <w:rsid w:val="00290BB9"/>
    <w:rsid w:val="00291310"/>
    <w:rsid w:val="002979F3"/>
    <w:rsid w:val="002B47FA"/>
    <w:rsid w:val="002B4B03"/>
    <w:rsid w:val="002C0932"/>
    <w:rsid w:val="002C31C2"/>
    <w:rsid w:val="002C473C"/>
    <w:rsid w:val="002D59F8"/>
    <w:rsid w:val="003019B3"/>
    <w:rsid w:val="003060F6"/>
    <w:rsid w:val="0031266D"/>
    <w:rsid w:val="003158C8"/>
    <w:rsid w:val="003251DD"/>
    <w:rsid w:val="00326C6B"/>
    <w:rsid w:val="00361589"/>
    <w:rsid w:val="003718AA"/>
    <w:rsid w:val="00382411"/>
    <w:rsid w:val="0039647A"/>
    <w:rsid w:val="003A05D8"/>
    <w:rsid w:val="003A543F"/>
    <w:rsid w:val="003A76FA"/>
    <w:rsid w:val="003B24A0"/>
    <w:rsid w:val="003B6481"/>
    <w:rsid w:val="003C20F4"/>
    <w:rsid w:val="003C2F47"/>
    <w:rsid w:val="003D24F9"/>
    <w:rsid w:val="003D273B"/>
    <w:rsid w:val="003D544A"/>
    <w:rsid w:val="003D71EB"/>
    <w:rsid w:val="003D7C9B"/>
    <w:rsid w:val="003E311B"/>
    <w:rsid w:val="003F1A5B"/>
    <w:rsid w:val="00401F84"/>
    <w:rsid w:val="0042560D"/>
    <w:rsid w:val="00426E20"/>
    <w:rsid w:val="0044289D"/>
    <w:rsid w:val="004471D4"/>
    <w:rsid w:val="00460AA7"/>
    <w:rsid w:val="004619FF"/>
    <w:rsid w:val="004638E1"/>
    <w:rsid w:val="00466C75"/>
    <w:rsid w:val="0047385F"/>
    <w:rsid w:val="00474CEC"/>
    <w:rsid w:val="0047723C"/>
    <w:rsid w:val="00495A80"/>
    <w:rsid w:val="004A53BE"/>
    <w:rsid w:val="004A7518"/>
    <w:rsid w:val="004A7D75"/>
    <w:rsid w:val="004C1EE3"/>
    <w:rsid w:val="004C51FE"/>
    <w:rsid w:val="004D2440"/>
    <w:rsid w:val="004E0196"/>
    <w:rsid w:val="004E0862"/>
    <w:rsid w:val="004E23B5"/>
    <w:rsid w:val="004E3540"/>
    <w:rsid w:val="004E54C8"/>
    <w:rsid w:val="004F25F4"/>
    <w:rsid w:val="004F33D1"/>
    <w:rsid w:val="004F50B2"/>
    <w:rsid w:val="0050460E"/>
    <w:rsid w:val="00511695"/>
    <w:rsid w:val="00512B49"/>
    <w:rsid w:val="00514940"/>
    <w:rsid w:val="0051685E"/>
    <w:rsid w:val="0052155B"/>
    <w:rsid w:val="00522289"/>
    <w:rsid w:val="00526F1B"/>
    <w:rsid w:val="00531AC6"/>
    <w:rsid w:val="00551535"/>
    <w:rsid w:val="00553BD8"/>
    <w:rsid w:val="00557DDB"/>
    <w:rsid w:val="00560C0E"/>
    <w:rsid w:val="00562CA5"/>
    <w:rsid w:val="00566D9E"/>
    <w:rsid w:val="005677E0"/>
    <w:rsid w:val="005706E5"/>
    <w:rsid w:val="0058311B"/>
    <w:rsid w:val="0058386E"/>
    <w:rsid w:val="00597DE2"/>
    <w:rsid w:val="005A1961"/>
    <w:rsid w:val="005B057F"/>
    <w:rsid w:val="005B2E5C"/>
    <w:rsid w:val="005B47C5"/>
    <w:rsid w:val="005B6256"/>
    <w:rsid w:val="005B6704"/>
    <w:rsid w:val="005C58BC"/>
    <w:rsid w:val="005C5D3B"/>
    <w:rsid w:val="005D0BC0"/>
    <w:rsid w:val="005E3A92"/>
    <w:rsid w:val="005F10ED"/>
    <w:rsid w:val="005F782F"/>
    <w:rsid w:val="0060219D"/>
    <w:rsid w:val="00604DBA"/>
    <w:rsid w:val="00614143"/>
    <w:rsid w:val="00617190"/>
    <w:rsid w:val="00626350"/>
    <w:rsid w:val="006373DA"/>
    <w:rsid w:val="00653ED2"/>
    <w:rsid w:val="006578CB"/>
    <w:rsid w:val="00661077"/>
    <w:rsid w:val="006752CD"/>
    <w:rsid w:val="006935F8"/>
    <w:rsid w:val="006A019A"/>
    <w:rsid w:val="006A2D02"/>
    <w:rsid w:val="006B1F0D"/>
    <w:rsid w:val="006B66B0"/>
    <w:rsid w:val="006D326D"/>
    <w:rsid w:val="006E2835"/>
    <w:rsid w:val="006E4AA3"/>
    <w:rsid w:val="006E5BD7"/>
    <w:rsid w:val="006E63C1"/>
    <w:rsid w:val="006E6CD5"/>
    <w:rsid w:val="007027DE"/>
    <w:rsid w:val="00713B2A"/>
    <w:rsid w:val="00723016"/>
    <w:rsid w:val="00733FF2"/>
    <w:rsid w:val="00734F7F"/>
    <w:rsid w:val="00736DA4"/>
    <w:rsid w:val="00751CCE"/>
    <w:rsid w:val="00752952"/>
    <w:rsid w:val="0075500D"/>
    <w:rsid w:val="00761429"/>
    <w:rsid w:val="00767078"/>
    <w:rsid w:val="00771141"/>
    <w:rsid w:val="00777376"/>
    <w:rsid w:val="00793BE2"/>
    <w:rsid w:val="007A47A3"/>
    <w:rsid w:val="007A48F1"/>
    <w:rsid w:val="007B6561"/>
    <w:rsid w:val="007B73F0"/>
    <w:rsid w:val="007C1A31"/>
    <w:rsid w:val="007C33B6"/>
    <w:rsid w:val="007D352E"/>
    <w:rsid w:val="007D3F41"/>
    <w:rsid w:val="007D7E26"/>
    <w:rsid w:val="00800D2E"/>
    <w:rsid w:val="00810188"/>
    <w:rsid w:val="00813258"/>
    <w:rsid w:val="00815A06"/>
    <w:rsid w:val="00820556"/>
    <w:rsid w:val="00820E08"/>
    <w:rsid w:val="00827E98"/>
    <w:rsid w:val="008307C1"/>
    <w:rsid w:val="008422E1"/>
    <w:rsid w:val="008439DB"/>
    <w:rsid w:val="00843CD8"/>
    <w:rsid w:val="00847EE3"/>
    <w:rsid w:val="00871CF7"/>
    <w:rsid w:val="00875D01"/>
    <w:rsid w:val="008802AA"/>
    <w:rsid w:val="008906B3"/>
    <w:rsid w:val="00890BAE"/>
    <w:rsid w:val="008C1037"/>
    <w:rsid w:val="008C5B3A"/>
    <w:rsid w:val="008D412D"/>
    <w:rsid w:val="008E0FEF"/>
    <w:rsid w:val="008E10F1"/>
    <w:rsid w:val="008E441C"/>
    <w:rsid w:val="008F77BD"/>
    <w:rsid w:val="00900DAE"/>
    <w:rsid w:val="00901828"/>
    <w:rsid w:val="0090261E"/>
    <w:rsid w:val="0090568B"/>
    <w:rsid w:val="00906985"/>
    <w:rsid w:val="00907FC8"/>
    <w:rsid w:val="00920DB2"/>
    <w:rsid w:val="009232C9"/>
    <w:rsid w:val="00925277"/>
    <w:rsid w:val="00933A86"/>
    <w:rsid w:val="0093791B"/>
    <w:rsid w:val="00943E03"/>
    <w:rsid w:val="0095472D"/>
    <w:rsid w:val="0095495D"/>
    <w:rsid w:val="009563BF"/>
    <w:rsid w:val="00956831"/>
    <w:rsid w:val="00962E5C"/>
    <w:rsid w:val="00965B2A"/>
    <w:rsid w:val="0097033C"/>
    <w:rsid w:val="00971106"/>
    <w:rsid w:val="0097322B"/>
    <w:rsid w:val="00973ACC"/>
    <w:rsid w:val="0097422D"/>
    <w:rsid w:val="00975E9D"/>
    <w:rsid w:val="009817CA"/>
    <w:rsid w:val="00981D6C"/>
    <w:rsid w:val="009934DF"/>
    <w:rsid w:val="009942CE"/>
    <w:rsid w:val="009A40AE"/>
    <w:rsid w:val="009A661B"/>
    <w:rsid w:val="009A7D8A"/>
    <w:rsid w:val="009B605F"/>
    <w:rsid w:val="009C2E47"/>
    <w:rsid w:val="009C31B8"/>
    <w:rsid w:val="009C4DA5"/>
    <w:rsid w:val="009C715C"/>
    <w:rsid w:val="009D028A"/>
    <w:rsid w:val="009D20D8"/>
    <w:rsid w:val="009D3653"/>
    <w:rsid w:val="009D7AA1"/>
    <w:rsid w:val="009F1F75"/>
    <w:rsid w:val="009F510D"/>
    <w:rsid w:val="00A0426B"/>
    <w:rsid w:val="00A05E10"/>
    <w:rsid w:val="00A074FA"/>
    <w:rsid w:val="00A141AF"/>
    <w:rsid w:val="00A233E3"/>
    <w:rsid w:val="00A25BCE"/>
    <w:rsid w:val="00A3143D"/>
    <w:rsid w:val="00A3536B"/>
    <w:rsid w:val="00A5162A"/>
    <w:rsid w:val="00A522DA"/>
    <w:rsid w:val="00A53633"/>
    <w:rsid w:val="00A62622"/>
    <w:rsid w:val="00A627DB"/>
    <w:rsid w:val="00A7413C"/>
    <w:rsid w:val="00A82806"/>
    <w:rsid w:val="00A91E11"/>
    <w:rsid w:val="00A93A67"/>
    <w:rsid w:val="00A948AD"/>
    <w:rsid w:val="00AB1058"/>
    <w:rsid w:val="00AB6EBF"/>
    <w:rsid w:val="00AC2203"/>
    <w:rsid w:val="00AC50EA"/>
    <w:rsid w:val="00AD3174"/>
    <w:rsid w:val="00AD5DDF"/>
    <w:rsid w:val="00AD7D61"/>
    <w:rsid w:val="00B001D0"/>
    <w:rsid w:val="00B13EC8"/>
    <w:rsid w:val="00B309A6"/>
    <w:rsid w:val="00B32C17"/>
    <w:rsid w:val="00B3316E"/>
    <w:rsid w:val="00B3383C"/>
    <w:rsid w:val="00B33AF4"/>
    <w:rsid w:val="00B34AE0"/>
    <w:rsid w:val="00B36051"/>
    <w:rsid w:val="00B43E56"/>
    <w:rsid w:val="00B559E5"/>
    <w:rsid w:val="00B6037A"/>
    <w:rsid w:val="00B613AE"/>
    <w:rsid w:val="00B6592E"/>
    <w:rsid w:val="00B677D3"/>
    <w:rsid w:val="00B75FB6"/>
    <w:rsid w:val="00B7744F"/>
    <w:rsid w:val="00B8203C"/>
    <w:rsid w:val="00B866B2"/>
    <w:rsid w:val="00B93874"/>
    <w:rsid w:val="00B93E2F"/>
    <w:rsid w:val="00B96504"/>
    <w:rsid w:val="00BA0381"/>
    <w:rsid w:val="00BA1A76"/>
    <w:rsid w:val="00BC1844"/>
    <w:rsid w:val="00BC1C2A"/>
    <w:rsid w:val="00BC69B3"/>
    <w:rsid w:val="00BD53DF"/>
    <w:rsid w:val="00BE0495"/>
    <w:rsid w:val="00BE6B91"/>
    <w:rsid w:val="00BE72FF"/>
    <w:rsid w:val="00BF04F5"/>
    <w:rsid w:val="00BF1C03"/>
    <w:rsid w:val="00BF4AEE"/>
    <w:rsid w:val="00BF5698"/>
    <w:rsid w:val="00BF6FD3"/>
    <w:rsid w:val="00C02881"/>
    <w:rsid w:val="00C07C9C"/>
    <w:rsid w:val="00C10AB1"/>
    <w:rsid w:val="00C22504"/>
    <w:rsid w:val="00C32EE6"/>
    <w:rsid w:val="00C331A9"/>
    <w:rsid w:val="00C37513"/>
    <w:rsid w:val="00C41CAA"/>
    <w:rsid w:val="00C54100"/>
    <w:rsid w:val="00C61EF3"/>
    <w:rsid w:val="00C63022"/>
    <w:rsid w:val="00C63B2C"/>
    <w:rsid w:val="00C74483"/>
    <w:rsid w:val="00C770C4"/>
    <w:rsid w:val="00C77DD5"/>
    <w:rsid w:val="00C83B24"/>
    <w:rsid w:val="00C86901"/>
    <w:rsid w:val="00C96C58"/>
    <w:rsid w:val="00C97169"/>
    <w:rsid w:val="00CA0D9E"/>
    <w:rsid w:val="00CA2F39"/>
    <w:rsid w:val="00CA53D7"/>
    <w:rsid w:val="00CA5F50"/>
    <w:rsid w:val="00CB0458"/>
    <w:rsid w:val="00CB2A1C"/>
    <w:rsid w:val="00CC088A"/>
    <w:rsid w:val="00CC1ED9"/>
    <w:rsid w:val="00CC4F53"/>
    <w:rsid w:val="00CD1216"/>
    <w:rsid w:val="00CE05F1"/>
    <w:rsid w:val="00CF2912"/>
    <w:rsid w:val="00CF5880"/>
    <w:rsid w:val="00CF5DBA"/>
    <w:rsid w:val="00CF7603"/>
    <w:rsid w:val="00D11642"/>
    <w:rsid w:val="00D131B4"/>
    <w:rsid w:val="00D140B8"/>
    <w:rsid w:val="00D153BF"/>
    <w:rsid w:val="00D30982"/>
    <w:rsid w:val="00D35E55"/>
    <w:rsid w:val="00D36B16"/>
    <w:rsid w:val="00D372DB"/>
    <w:rsid w:val="00D375AE"/>
    <w:rsid w:val="00D377BF"/>
    <w:rsid w:val="00D502D7"/>
    <w:rsid w:val="00D50DDE"/>
    <w:rsid w:val="00D57A79"/>
    <w:rsid w:val="00D67FB3"/>
    <w:rsid w:val="00D816B6"/>
    <w:rsid w:val="00D87DB3"/>
    <w:rsid w:val="00D92787"/>
    <w:rsid w:val="00D946B5"/>
    <w:rsid w:val="00DA2B68"/>
    <w:rsid w:val="00DA3435"/>
    <w:rsid w:val="00DB1629"/>
    <w:rsid w:val="00DB2C91"/>
    <w:rsid w:val="00DB4F9F"/>
    <w:rsid w:val="00DB52D8"/>
    <w:rsid w:val="00DB7986"/>
    <w:rsid w:val="00DC634E"/>
    <w:rsid w:val="00DD6BD3"/>
    <w:rsid w:val="00DE57C2"/>
    <w:rsid w:val="00DF2BA8"/>
    <w:rsid w:val="00DF44A9"/>
    <w:rsid w:val="00E044AB"/>
    <w:rsid w:val="00E15568"/>
    <w:rsid w:val="00E2130C"/>
    <w:rsid w:val="00E21D0D"/>
    <w:rsid w:val="00E260E4"/>
    <w:rsid w:val="00E26638"/>
    <w:rsid w:val="00E268DA"/>
    <w:rsid w:val="00E34100"/>
    <w:rsid w:val="00E52A94"/>
    <w:rsid w:val="00E52F6D"/>
    <w:rsid w:val="00E56516"/>
    <w:rsid w:val="00E67FDE"/>
    <w:rsid w:val="00E7337D"/>
    <w:rsid w:val="00E74B44"/>
    <w:rsid w:val="00E74DEF"/>
    <w:rsid w:val="00E75549"/>
    <w:rsid w:val="00E76B5B"/>
    <w:rsid w:val="00E85FB0"/>
    <w:rsid w:val="00E90D08"/>
    <w:rsid w:val="00E94FB9"/>
    <w:rsid w:val="00EA27F2"/>
    <w:rsid w:val="00EB4A9C"/>
    <w:rsid w:val="00EB706C"/>
    <w:rsid w:val="00EC0965"/>
    <w:rsid w:val="00EC4157"/>
    <w:rsid w:val="00EC7C5F"/>
    <w:rsid w:val="00ED4288"/>
    <w:rsid w:val="00EE05C2"/>
    <w:rsid w:val="00EE1E2C"/>
    <w:rsid w:val="00EF09D2"/>
    <w:rsid w:val="00EF2362"/>
    <w:rsid w:val="00EF4013"/>
    <w:rsid w:val="00EF5686"/>
    <w:rsid w:val="00EF5EC5"/>
    <w:rsid w:val="00EF693A"/>
    <w:rsid w:val="00F10DEF"/>
    <w:rsid w:val="00F24296"/>
    <w:rsid w:val="00F25AEC"/>
    <w:rsid w:val="00F301D2"/>
    <w:rsid w:val="00F346F7"/>
    <w:rsid w:val="00F45835"/>
    <w:rsid w:val="00F47E62"/>
    <w:rsid w:val="00F5410B"/>
    <w:rsid w:val="00F5503F"/>
    <w:rsid w:val="00F61383"/>
    <w:rsid w:val="00F65DF5"/>
    <w:rsid w:val="00F70F04"/>
    <w:rsid w:val="00F82863"/>
    <w:rsid w:val="00F83CDD"/>
    <w:rsid w:val="00F87837"/>
    <w:rsid w:val="00F97991"/>
    <w:rsid w:val="00FA5029"/>
    <w:rsid w:val="00FA7B26"/>
    <w:rsid w:val="00FB1DAD"/>
    <w:rsid w:val="00FB7A5D"/>
    <w:rsid w:val="00FC03B0"/>
    <w:rsid w:val="00FC1FB9"/>
    <w:rsid w:val="00FC5F19"/>
    <w:rsid w:val="00FD30A0"/>
    <w:rsid w:val="00FE5118"/>
    <w:rsid w:val="00FE79FA"/>
    <w:rsid w:val="00FE7EC1"/>
    <w:rsid w:val="00FF4B4D"/>
    <w:rsid w:val="026E6B4F"/>
    <w:rsid w:val="33B4035B"/>
    <w:rsid w:val="39076677"/>
    <w:rsid w:val="41BB6A3A"/>
    <w:rsid w:val="41EF5419"/>
    <w:rsid w:val="49EF649C"/>
    <w:rsid w:val="503075A5"/>
    <w:rsid w:val="54573C43"/>
    <w:rsid w:val="643423CE"/>
    <w:rsid w:val="67CF670C"/>
    <w:rsid w:val="6867315A"/>
    <w:rsid w:val="7AA203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C0FA8"/>
  <w15:docId w15:val="{FB88F6B9-528C-42CA-8C44-AAFE698A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spacing w:beforeLines="100" w:before="100"/>
      <w:jc w:val="left"/>
      <w:outlineLvl w:val="0"/>
    </w:pPr>
    <w:rPr>
      <w:rFonts w:ascii="宋体" w:hAnsi="宋体" w:hint="eastAsia"/>
      <w:b/>
      <w:bCs/>
      <w:kern w:val="44"/>
      <w:sz w:val="32"/>
      <w:szCs w:val="48"/>
    </w:rPr>
  </w:style>
  <w:style w:type="paragraph" w:styleId="2">
    <w:name w:val="heading 2"/>
    <w:basedOn w:val="a"/>
    <w:next w:val="a"/>
    <w:link w:val="20"/>
    <w:uiPriority w:val="9"/>
    <w:unhideWhenUsed/>
    <w:qFormat/>
    <w:pPr>
      <w:keepNext/>
      <w:keepLines/>
      <w:spacing w:line="415" w:lineRule="auto"/>
      <w:outlineLvl w:val="1"/>
    </w:pPr>
    <w:rPr>
      <w:rFonts w:asciiTheme="majorHAnsi" w:hAnsiTheme="majorHAnsi" w:cstheme="majorBidi"/>
      <w:b/>
      <w:bCs/>
      <w:sz w:val="24"/>
      <w:szCs w:val="32"/>
    </w:rPr>
  </w:style>
  <w:style w:type="paragraph" w:styleId="3">
    <w:name w:val="heading 3"/>
    <w:basedOn w:val="a"/>
    <w:next w:val="a"/>
    <w:uiPriority w:val="9"/>
    <w:unhideWhenUsed/>
    <w:qFormat/>
    <w:pPr>
      <w:keepNext/>
      <w:keepLines/>
      <w:spacing w:line="36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line="259" w:lineRule="auto"/>
      <w:jc w:val="left"/>
    </w:pPr>
    <w:rPr>
      <w:rFonts w:ascii="宋体" w:hAnsi="宋体" w:cs="宋体"/>
      <w:kern w:val="0"/>
      <w:sz w:val="24"/>
      <w:szCs w:val="24"/>
    </w:rPr>
  </w:style>
  <w:style w:type="table" w:styleId="ac">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Strong"/>
    <w:basedOn w:val="a0"/>
    <w:uiPriority w:val="22"/>
    <w:qFormat/>
    <w:rPr>
      <w:b/>
    </w:rPr>
  </w:style>
  <w:style w:type="character" w:styleId="ae">
    <w:name w:val="page number"/>
    <w:basedOn w:val="a0"/>
    <w:uiPriority w:val="99"/>
    <w:semiHidden/>
    <w:unhideWhenUsed/>
    <w:qFormat/>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qFormat/>
    <w:rPr>
      <w:kern w:val="2"/>
      <w:sz w:val="18"/>
      <w:szCs w:val="18"/>
    </w:rPr>
  </w:style>
  <w:style w:type="paragraph" w:customStyle="1" w:styleId="11">
    <w:name w:val="修订1"/>
    <w:hidden/>
    <w:uiPriority w:val="99"/>
    <w:semiHidden/>
    <w:qFormat/>
    <w:rPr>
      <w:kern w:val="2"/>
      <w:sz w:val="21"/>
      <w:szCs w:val="22"/>
    </w:rPr>
  </w:style>
  <w:style w:type="character" w:customStyle="1" w:styleId="a4">
    <w:name w:val="日期 字符"/>
    <w:basedOn w:val="a0"/>
    <w:link w:val="a3"/>
    <w:uiPriority w:val="99"/>
    <w:semiHidden/>
    <w:qFormat/>
    <w:rPr>
      <w:kern w:val="2"/>
      <w:sz w:val="21"/>
      <w:szCs w:val="22"/>
    </w:rPr>
  </w:style>
  <w:style w:type="character" w:customStyle="1" w:styleId="10">
    <w:name w:val="标题 1 字符"/>
    <w:basedOn w:val="a0"/>
    <w:link w:val="1"/>
    <w:qFormat/>
    <w:rPr>
      <w:rFonts w:ascii="宋体" w:hAnsi="宋体"/>
      <w:b/>
      <w:bCs/>
      <w:kern w:val="44"/>
      <w:sz w:val="32"/>
      <w:szCs w:val="48"/>
    </w:rPr>
  </w:style>
  <w:style w:type="table" w:customStyle="1" w:styleId="12">
    <w:name w:val="网格型1"/>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qFormat/>
    <w:rPr>
      <w:rFonts w:asciiTheme="majorHAnsi" w:hAnsiTheme="majorHAnsi" w:cstheme="majorBidi"/>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345</Words>
  <Characters>1973</Characters>
  <Application>Microsoft Office Word</Application>
  <DocSecurity>0</DocSecurity>
  <Lines>16</Lines>
  <Paragraphs>4</Paragraphs>
  <ScaleCrop>false</ScaleCrop>
  <Company>Microsoft</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甘寨妃</dc:creator>
  <cp:lastModifiedBy>netuser</cp:lastModifiedBy>
  <cp:revision>7</cp:revision>
  <cp:lastPrinted>2025-01-20T03:30:00Z</cp:lastPrinted>
  <dcterms:created xsi:type="dcterms:W3CDTF">2026-07-01T07:31:00Z</dcterms:created>
  <dcterms:modified xsi:type="dcterms:W3CDTF">2026-07-01T07:35:00Z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eyJoZGlkIjoiMjA1MWE1MmJiOTM5YTllMzNhNzk0N2FiOTVlNjFiNjQiLCJ1c2VySWQiOiIyMzUxODI0NTcifQ==</vt:lpwstr>
  </property>
  <property fmtid="{D5CDD505-2E9C-101B-9397-08002B2CF9AE}" pid="3" name="KSOProductBuildVer">
    <vt:lpwstr>2052-12.1.0.25865</vt:lpwstr>
  </property>
  <property fmtid="{D5CDD505-2E9C-101B-9397-08002B2CF9AE}" pid="4" name="ICV">
    <vt:lpwstr>2BD29C0053FC49ED8326FE593EA07DF5_12</vt:lpwstr>
  </property>
</Properties>
</file>