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0BDCE">
      <w:pPr>
        <w:pStyle w:val="2"/>
        <w:numPr>
          <w:ilvl w:val="0"/>
          <w:numId w:val="0"/>
        </w:numPr>
        <w:bidi w:val="0"/>
        <w:ind w:leftChars="0"/>
        <w:jc w:val="center"/>
        <w:rPr>
          <w:rFonts w:hint="eastAsia"/>
          <w:color w:val="auto"/>
        </w:rPr>
      </w:pPr>
      <w:r>
        <w:rPr>
          <w:rFonts w:hint="eastAsia"/>
          <w:color w:val="auto"/>
          <w:lang w:val="en-US" w:eastAsia="zh-CN"/>
        </w:rPr>
        <w:t>血液内科NAS存储采购项目（2026）</w:t>
      </w:r>
    </w:p>
    <w:p w14:paraId="0A035D4C">
      <w:pPr>
        <w:pStyle w:val="2"/>
        <w:numPr>
          <w:ilvl w:val="0"/>
          <w:numId w:val="0"/>
        </w:numPr>
        <w:bidi w:val="0"/>
        <w:ind w:leftChars="0"/>
        <w:jc w:val="center"/>
        <w:rPr>
          <w:rFonts w:hint="eastAsia" w:eastAsia="宋体"/>
          <w:color w:val="auto"/>
          <w:lang w:val="en-US" w:eastAsia="zh-CN"/>
        </w:rPr>
      </w:pPr>
      <w:r>
        <w:rPr>
          <w:rFonts w:hint="eastAsia"/>
          <w:color w:val="auto"/>
          <w:lang w:val="en-US" w:eastAsia="zh-CN"/>
        </w:rPr>
        <w:t>项目需求书</w:t>
      </w:r>
      <w:bookmarkStart w:id="0" w:name="_GoBack"/>
      <w:bookmarkEnd w:id="0"/>
    </w:p>
    <w:p w14:paraId="08771F5D">
      <w:pPr>
        <w:pStyle w:val="2"/>
        <w:bidi w:val="0"/>
        <w:rPr>
          <w:rFonts w:hint="eastAsia"/>
          <w:color w:val="auto"/>
        </w:rPr>
      </w:pPr>
      <w:r>
        <w:rPr>
          <w:rFonts w:hint="eastAsia"/>
          <w:color w:val="auto"/>
        </w:rPr>
        <w:t>项目名称</w:t>
      </w:r>
    </w:p>
    <w:p w14:paraId="74BB0770">
      <w:pPr>
        <w:spacing w:line="360" w:lineRule="auto"/>
        <w:ind w:left="432"/>
        <w:rPr>
          <w:rFonts w:hint="eastAsia" w:cs="宋体"/>
          <w:color w:val="auto"/>
          <w:lang w:eastAsia="zh-CN"/>
        </w:rPr>
      </w:pPr>
      <w:r>
        <w:rPr>
          <w:rFonts w:hint="eastAsia" w:cs="宋体"/>
          <w:color w:val="auto"/>
          <w:lang w:val="en-US" w:eastAsia="zh-CN"/>
        </w:rPr>
        <w:t>项目名称：</w:t>
      </w:r>
      <w:r>
        <w:rPr>
          <w:rFonts w:hint="eastAsia" w:cs="宋体"/>
          <w:color w:val="auto"/>
          <w:lang w:eastAsia="zh-CN"/>
        </w:rPr>
        <w:t>血液内科NAS存储采购项目（2026）</w:t>
      </w:r>
    </w:p>
    <w:p w14:paraId="2C57A28E">
      <w:pPr>
        <w:spacing w:line="360" w:lineRule="auto"/>
        <w:ind w:left="432"/>
        <w:rPr>
          <w:rFonts w:hint="eastAsia" w:cs="宋体"/>
          <w:color w:val="auto"/>
          <w:lang w:eastAsia="zh-CN"/>
        </w:rPr>
      </w:pPr>
    </w:p>
    <w:p w14:paraId="1F3E1713">
      <w:pPr>
        <w:pStyle w:val="2"/>
        <w:bidi w:val="0"/>
        <w:rPr>
          <w:rFonts w:hint="eastAsia"/>
          <w:color w:val="auto"/>
        </w:rPr>
      </w:pPr>
      <w:r>
        <w:rPr>
          <w:rFonts w:hint="eastAsia"/>
          <w:color w:val="auto"/>
        </w:rPr>
        <w:t>项目背景</w:t>
      </w:r>
    </w:p>
    <w:p w14:paraId="45B3F628">
      <w:pPr>
        <w:spacing w:line="360" w:lineRule="auto"/>
        <w:ind w:left="432"/>
        <w:rPr>
          <w:rFonts w:hint="eastAsia" w:ascii="宋体" w:hAnsi="宋体" w:eastAsia="宋体" w:cs="宋体"/>
          <w:color w:val="auto"/>
          <w:lang w:val="en-US" w:eastAsia="zh-CN"/>
        </w:rPr>
      </w:pPr>
      <w:r>
        <w:rPr>
          <w:rFonts w:hint="eastAsia" w:ascii="宋体" w:hAnsi="宋体" w:eastAsia="宋体" w:cs="宋体"/>
          <w:color w:val="auto"/>
          <w:lang w:val="en-US" w:eastAsia="zh-CN"/>
        </w:rPr>
        <w:t>设备主要用于科研项目实验数据、科研文档、图像资料、分析结果及其他非结构化数据的集中存储、共享、备份与长期归档。</w:t>
      </w:r>
    </w:p>
    <w:p w14:paraId="116BCCCB">
      <w:pPr>
        <w:spacing w:line="360" w:lineRule="auto"/>
        <w:ind w:left="432"/>
        <w:rPr>
          <w:rFonts w:hint="eastAsia" w:ascii="宋体" w:hAnsi="宋体" w:eastAsia="宋体" w:cs="宋体"/>
          <w:color w:val="auto"/>
          <w:lang w:val="en-US" w:eastAsia="zh-CN"/>
        </w:rPr>
      </w:pPr>
    </w:p>
    <w:p w14:paraId="103A4822">
      <w:pPr>
        <w:pStyle w:val="2"/>
        <w:bidi w:val="0"/>
        <w:rPr>
          <w:rFonts w:hint="eastAsia"/>
          <w:color w:val="auto"/>
        </w:rPr>
      </w:pPr>
      <w:r>
        <w:rPr>
          <w:rFonts w:hint="eastAsia"/>
          <w:color w:val="auto"/>
        </w:rPr>
        <w:t xml:space="preserve">采购设备清单 </w:t>
      </w:r>
    </w:p>
    <w:tbl>
      <w:tblPr>
        <w:tblStyle w:val="16"/>
        <w:tblpPr w:leftFromText="180" w:rightFromText="180" w:vertAnchor="text" w:horzAnchor="margin" w:tblpY="4"/>
        <w:tblW w:w="5000" w:type="pct"/>
        <w:tblInd w:w="0" w:type="dxa"/>
        <w:tblLayout w:type="autofit"/>
        <w:tblCellMar>
          <w:top w:w="15" w:type="dxa"/>
          <w:left w:w="15" w:type="dxa"/>
          <w:bottom w:w="15" w:type="dxa"/>
          <w:right w:w="15" w:type="dxa"/>
        </w:tblCellMar>
      </w:tblPr>
      <w:tblGrid>
        <w:gridCol w:w="757"/>
        <w:gridCol w:w="2750"/>
        <w:gridCol w:w="3609"/>
        <w:gridCol w:w="1220"/>
      </w:tblGrid>
      <w:tr w14:paraId="69C1DF5F">
        <w:tblPrEx>
          <w:tblCellMar>
            <w:top w:w="15" w:type="dxa"/>
            <w:left w:w="15" w:type="dxa"/>
            <w:bottom w:w="15" w:type="dxa"/>
            <w:right w:w="15" w:type="dxa"/>
          </w:tblCellMar>
        </w:tblPrEx>
        <w:trPr>
          <w:trHeight w:val="581" w:hRule="atLeast"/>
        </w:trPr>
        <w:tc>
          <w:tcPr>
            <w:tcW w:w="454" w:type="pct"/>
            <w:tcBorders>
              <w:top w:val="single" w:color="000000" w:sz="4" w:space="0"/>
              <w:left w:val="single" w:color="000000" w:sz="4" w:space="0"/>
              <w:bottom w:val="single" w:color="000000" w:sz="4" w:space="0"/>
              <w:right w:val="single" w:color="000000" w:sz="4" w:space="0"/>
            </w:tcBorders>
            <w:vAlign w:val="center"/>
          </w:tcPr>
          <w:p w14:paraId="26EDEF7C">
            <w:pPr>
              <w:spacing w:before="100" w:beforeAutospacing="1" w:after="100" w:afterAutospacing="1" w:line="360" w:lineRule="auto"/>
              <w:jc w:val="center"/>
              <w:rPr>
                <w:rFonts w:hint="eastAsia" w:ascii="宋体" w:hAnsi="宋体" w:eastAsia="宋体" w:cs="宋体"/>
                <w:b/>
                <w:bCs/>
                <w:color w:val="auto"/>
              </w:rPr>
            </w:pPr>
            <w:r>
              <w:rPr>
                <w:rFonts w:hint="eastAsia" w:ascii="宋体" w:hAnsi="宋体" w:eastAsia="宋体" w:cs="宋体"/>
                <w:b/>
                <w:bCs/>
                <w:color w:val="auto"/>
              </w:rPr>
              <w:t>序号</w:t>
            </w:r>
          </w:p>
        </w:tc>
        <w:tc>
          <w:tcPr>
            <w:tcW w:w="1649" w:type="pct"/>
            <w:tcBorders>
              <w:top w:val="single" w:color="000000" w:sz="4" w:space="0"/>
              <w:left w:val="single" w:color="000000" w:sz="4" w:space="0"/>
              <w:bottom w:val="single" w:color="000000" w:sz="4" w:space="0"/>
              <w:right w:val="single" w:color="000000" w:sz="4" w:space="0"/>
            </w:tcBorders>
            <w:vAlign w:val="center"/>
          </w:tcPr>
          <w:p w14:paraId="11092531">
            <w:pPr>
              <w:spacing w:before="100" w:beforeAutospacing="1" w:after="100" w:afterAutospacing="1" w:line="360" w:lineRule="auto"/>
              <w:jc w:val="center"/>
              <w:rPr>
                <w:rFonts w:hint="eastAsia" w:ascii="宋体" w:hAnsi="宋体" w:eastAsia="宋体" w:cs="宋体"/>
                <w:b/>
                <w:bCs/>
                <w:color w:val="auto"/>
              </w:rPr>
            </w:pPr>
            <w:r>
              <w:rPr>
                <w:rFonts w:hint="eastAsia" w:ascii="宋体" w:hAnsi="宋体" w:eastAsia="宋体" w:cs="宋体"/>
                <w:b/>
                <w:bCs/>
                <w:color w:val="auto"/>
              </w:rPr>
              <w:t>设备名称</w:t>
            </w:r>
          </w:p>
        </w:tc>
        <w:tc>
          <w:tcPr>
            <w:tcW w:w="2164" w:type="pct"/>
            <w:tcBorders>
              <w:top w:val="single" w:color="000000" w:sz="4" w:space="0"/>
              <w:left w:val="single" w:color="000000" w:sz="4" w:space="0"/>
              <w:bottom w:val="single" w:color="000000" w:sz="4" w:space="0"/>
              <w:right w:val="single" w:color="000000" w:sz="4" w:space="0"/>
            </w:tcBorders>
            <w:vAlign w:val="center"/>
          </w:tcPr>
          <w:p w14:paraId="26E484AC">
            <w:pPr>
              <w:spacing w:before="100" w:beforeAutospacing="1" w:after="100" w:afterAutospacing="1" w:line="360" w:lineRule="auto"/>
              <w:jc w:val="center"/>
              <w:rPr>
                <w:rFonts w:hint="eastAsia" w:ascii="宋体" w:hAnsi="宋体" w:eastAsia="宋体" w:cs="宋体"/>
                <w:b/>
                <w:bCs/>
                <w:color w:val="auto"/>
              </w:rPr>
            </w:pPr>
            <w:r>
              <w:rPr>
                <w:rFonts w:hint="eastAsia" w:ascii="宋体" w:hAnsi="宋体" w:eastAsia="宋体" w:cs="宋体"/>
                <w:b/>
                <w:bCs/>
                <w:color w:val="auto"/>
              </w:rPr>
              <w:t>规格</w:t>
            </w:r>
          </w:p>
        </w:tc>
        <w:tc>
          <w:tcPr>
            <w:tcW w:w="731" w:type="pct"/>
            <w:tcBorders>
              <w:top w:val="single" w:color="000000" w:sz="4" w:space="0"/>
              <w:left w:val="single" w:color="000000" w:sz="4" w:space="0"/>
              <w:bottom w:val="single" w:color="000000" w:sz="4" w:space="0"/>
              <w:right w:val="single" w:color="000000" w:sz="4" w:space="0"/>
            </w:tcBorders>
            <w:vAlign w:val="center"/>
          </w:tcPr>
          <w:p w14:paraId="27C272FB">
            <w:pPr>
              <w:spacing w:before="100" w:beforeAutospacing="1" w:after="100" w:afterAutospacing="1" w:line="360" w:lineRule="auto"/>
              <w:jc w:val="center"/>
              <w:rPr>
                <w:rFonts w:hint="eastAsia" w:ascii="宋体" w:hAnsi="宋体" w:eastAsia="宋体" w:cs="宋体"/>
                <w:b/>
                <w:bCs/>
                <w:color w:val="auto"/>
              </w:rPr>
            </w:pPr>
            <w:r>
              <w:rPr>
                <w:rFonts w:hint="eastAsia" w:ascii="宋体" w:hAnsi="宋体" w:eastAsia="宋体" w:cs="宋体"/>
                <w:b/>
                <w:bCs/>
                <w:color w:val="auto"/>
              </w:rPr>
              <w:t>数量</w:t>
            </w:r>
          </w:p>
        </w:tc>
      </w:tr>
      <w:tr w14:paraId="6663EF9E">
        <w:tblPrEx>
          <w:tblCellMar>
            <w:top w:w="15" w:type="dxa"/>
            <w:left w:w="15" w:type="dxa"/>
            <w:bottom w:w="15" w:type="dxa"/>
            <w:right w:w="15" w:type="dxa"/>
          </w:tblCellMar>
        </w:tblPrEx>
        <w:trPr>
          <w:trHeight w:val="491" w:hRule="atLeast"/>
        </w:trPr>
        <w:tc>
          <w:tcPr>
            <w:tcW w:w="454" w:type="pct"/>
            <w:tcBorders>
              <w:top w:val="single" w:color="000000" w:sz="4" w:space="0"/>
              <w:left w:val="single" w:color="000000" w:sz="4" w:space="0"/>
              <w:bottom w:val="single" w:color="000000" w:sz="4" w:space="0"/>
              <w:right w:val="single" w:color="000000" w:sz="4" w:space="0"/>
            </w:tcBorders>
            <w:vAlign w:val="center"/>
          </w:tcPr>
          <w:p w14:paraId="4DA337B2">
            <w:pPr>
              <w:spacing w:before="100" w:beforeAutospacing="1" w:after="100" w:afterAutospacing="1" w:line="360" w:lineRule="auto"/>
              <w:jc w:val="center"/>
              <w:rPr>
                <w:rFonts w:hint="eastAsia" w:ascii="宋体" w:hAnsi="宋体" w:eastAsia="宋体" w:cs="宋体"/>
                <w:color w:val="auto"/>
              </w:rPr>
            </w:pPr>
            <w:r>
              <w:rPr>
                <w:rFonts w:hint="eastAsia" w:ascii="宋体" w:hAnsi="宋体" w:eastAsia="宋体" w:cs="宋体"/>
                <w:color w:val="auto"/>
              </w:rPr>
              <w:t>1</w:t>
            </w:r>
          </w:p>
        </w:tc>
        <w:tc>
          <w:tcPr>
            <w:tcW w:w="1649" w:type="pct"/>
            <w:tcBorders>
              <w:top w:val="single" w:color="000000" w:sz="4" w:space="0"/>
              <w:left w:val="single" w:color="000000" w:sz="4" w:space="0"/>
              <w:bottom w:val="single" w:color="000000" w:sz="4" w:space="0"/>
              <w:right w:val="single" w:color="000000" w:sz="4" w:space="0"/>
            </w:tcBorders>
            <w:vAlign w:val="center"/>
          </w:tcPr>
          <w:p w14:paraId="099C8EFE">
            <w:pPr>
              <w:spacing w:line="360" w:lineRule="auto"/>
              <w:jc w:val="center"/>
              <w:rPr>
                <w:rFonts w:hint="eastAsia" w:ascii="宋体" w:hAnsi="宋体" w:eastAsia="宋体" w:cs="宋体"/>
                <w:color w:val="auto"/>
                <w:lang w:eastAsia="zh-CN"/>
              </w:rPr>
            </w:pPr>
            <w:r>
              <w:rPr>
                <w:rFonts w:hint="eastAsia" w:cs="宋体"/>
                <w:color w:val="auto"/>
                <w:lang w:val="en-US" w:eastAsia="zh-CN"/>
              </w:rPr>
              <w:t>NAS文件存储</w:t>
            </w:r>
          </w:p>
        </w:tc>
        <w:tc>
          <w:tcPr>
            <w:tcW w:w="2164" w:type="pct"/>
            <w:tcBorders>
              <w:top w:val="single" w:color="000000" w:sz="4" w:space="0"/>
              <w:left w:val="single" w:color="000000" w:sz="4" w:space="0"/>
              <w:bottom w:val="single" w:color="000000" w:sz="4" w:space="0"/>
              <w:right w:val="single" w:color="000000" w:sz="4" w:space="0"/>
            </w:tcBorders>
            <w:vAlign w:val="center"/>
          </w:tcPr>
          <w:p w14:paraId="56266C41">
            <w:pPr>
              <w:spacing w:line="360" w:lineRule="auto"/>
              <w:jc w:val="center"/>
              <w:rPr>
                <w:rFonts w:hint="eastAsia" w:ascii="宋体" w:hAnsi="宋体" w:eastAsia="宋体" w:cs="宋体"/>
                <w:color w:val="auto"/>
              </w:rPr>
            </w:pPr>
            <w:r>
              <w:rPr>
                <w:rFonts w:hint="eastAsia" w:ascii="宋体" w:hAnsi="宋体" w:eastAsia="宋体" w:cs="宋体"/>
                <w:color w:val="auto"/>
              </w:rPr>
              <w:t>详见4.1章节</w:t>
            </w:r>
          </w:p>
        </w:tc>
        <w:tc>
          <w:tcPr>
            <w:tcW w:w="731" w:type="pct"/>
            <w:tcBorders>
              <w:top w:val="single" w:color="000000" w:sz="4" w:space="0"/>
              <w:left w:val="single" w:color="000000" w:sz="4" w:space="0"/>
              <w:bottom w:val="single" w:color="000000" w:sz="4" w:space="0"/>
              <w:right w:val="single" w:color="000000" w:sz="4" w:space="0"/>
            </w:tcBorders>
            <w:vAlign w:val="center"/>
          </w:tcPr>
          <w:p w14:paraId="1B13EC7B">
            <w:pPr>
              <w:spacing w:line="360" w:lineRule="auto"/>
              <w:jc w:val="center"/>
              <w:rPr>
                <w:rFonts w:hint="eastAsia" w:ascii="宋体" w:hAnsi="宋体" w:eastAsia="宋体" w:cs="宋体"/>
                <w:color w:val="auto"/>
              </w:rPr>
            </w:pPr>
            <w:r>
              <w:rPr>
                <w:rFonts w:hint="eastAsia" w:cs="宋体"/>
                <w:color w:val="auto"/>
                <w:lang w:val="en-US" w:eastAsia="zh-CN"/>
              </w:rPr>
              <w:t>1</w:t>
            </w:r>
            <w:r>
              <w:rPr>
                <w:rFonts w:hint="eastAsia" w:ascii="宋体" w:hAnsi="宋体" w:eastAsia="宋体" w:cs="宋体"/>
                <w:color w:val="auto"/>
              </w:rPr>
              <w:t>台</w:t>
            </w:r>
          </w:p>
        </w:tc>
      </w:tr>
    </w:tbl>
    <w:p w14:paraId="155EEDFD">
      <w:pPr>
        <w:rPr>
          <w:rFonts w:hint="eastAsia" w:ascii="宋体" w:hAnsi="宋体" w:eastAsia="宋体" w:cs="宋体"/>
          <w:color w:val="auto"/>
        </w:rPr>
      </w:pPr>
    </w:p>
    <w:p w14:paraId="6CB045C1">
      <w:pPr>
        <w:rPr>
          <w:rFonts w:hint="eastAsia" w:ascii="宋体" w:hAnsi="宋体" w:eastAsia="宋体" w:cs="宋体"/>
          <w:color w:val="auto"/>
        </w:rPr>
      </w:pPr>
    </w:p>
    <w:p w14:paraId="75DCAEBE">
      <w:pPr>
        <w:pStyle w:val="2"/>
        <w:bidi w:val="0"/>
        <w:rPr>
          <w:rFonts w:hint="eastAsia"/>
          <w:color w:val="auto"/>
        </w:rPr>
      </w:pPr>
      <w:r>
        <w:rPr>
          <w:rFonts w:hint="eastAsia"/>
          <w:color w:val="auto"/>
        </w:rPr>
        <w:t>详细配置参数</w:t>
      </w:r>
    </w:p>
    <w:p w14:paraId="2E2892D4">
      <w:pPr>
        <w:pStyle w:val="3"/>
        <w:bidi w:val="0"/>
        <w:rPr>
          <w:rFonts w:hint="eastAsia"/>
          <w:color w:val="auto"/>
        </w:rPr>
      </w:pPr>
      <w:r>
        <w:rPr>
          <w:rFonts w:hint="eastAsia"/>
          <w:color w:val="auto"/>
        </w:rPr>
        <w:t>NAS文件</w:t>
      </w:r>
      <w:r>
        <w:rPr>
          <w:rFonts w:hint="eastAsia"/>
          <w:color w:val="auto"/>
          <w:lang w:val="en-US" w:eastAsia="zh-CN"/>
        </w:rPr>
        <w:t>存储</w:t>
      </w:r>
      <w:r>
        <w:rPr>
          <w:rFonts w:hint="eastAsia"/>
          <w:color w:val="auto"/>
        </w:rPr>
        <w:t>参数要求</w:t>
      </w:r>
    </w:p>
    <w:tbl>
      <w:tblPr>
        <w:tblStyle w:val="16"/>
        <w:tblW w:w="50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1689"/>
        <w:gridCol w:w="4165"/>
        <w:gridCol w:w="1893"/>
      </w:tblGrid>
      <w:tr w14:paraId="5D07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6512E3C3">
            <w:pPr>
              <w:spacing w:line="360" w:lineRule="auto"/>
              <w:jc w:val="center"/>
              <w:rPr>
                <w:rFonts w:hint="eastAsia" w:ascii="宋体" w:hAnsi="宋体" w:eastAsia="宋体" w:cs="宋体"/>
                <w:b/>
                <w:bCs/>
                <w:color w:val="auto"/>
              </w:rPr>
            </w:pPr>
            <w:r>
              <w:rPr>
                <w:rFonts w:hint="eastAsia" w:ascii="宋体" w:hAnsi="宋体" w:eastAsia="宋体" w:cs="宋体"/>
                <w:b/>
                <w:bCs/>
                <w:color w:val="auto"/>
              </w:rPr>
              <w:t>序号</w:t>
            </w:r>
          </w:p>
        </w:tc>
        <w:tc>
          <w:tcPr>
            <w:tcW w:w="989" w:type="pct"/>
            <w:shd w:val="clear" w:color="auto" w:fill="auto"/>
            <w:vAlign w:val="center"/>
          </w:tcPr>
          <w:p w14:paraId="20B8A3E8">
            <w:pPr>
              <w:spacing w:line="360" w:lineRule="auto"/>
              <w:jc w:val="center"/>
              <w:rPr>
                <w:rFonts w:hint="eastAsia" w:ascii="宋体" w:hAnsi="宋体" w:eastAsia="宋体" w:cs="宋体"/>
                <w:b/>
                <w:bCs/>
                <w:color w:val="auto"/>
              </w:rPr>
            </w:pPr>
            <w:r>
              <w:rPr>
                <w:rFonts w:hint="eastAsia" w:ascii="宋体" w:hAnsi="宋体" w:eastAsia="宋体" w:cs="宋体"/>
                <w:b/>
                <w:bCs/>
                <w:color w:val="auto"/>
              </w:rPr>
              <w:t>指标项</w:t>
            </w:r>
          </w:p>
        </w:tc>
        <w:tc>
          <w:tcPr>
            <w:tcW w:w="2439" w:type="pct"/>
            <w:shd w:val="clear" w:color="auto" w:fill="auto"/>
            <w:vAlign w:val="center"/>
          </w:tcPr>
          <w:p w14:paraId="6674BC9E">
            <w:pPr>
              <w:spacing w:line="360" w:lineRule="auto"/>
              <w:jc w:val="center"/>
              <w:rPr>
                <w:rFonts w:hint="eastAsia" w:ascii="宋体" w:hAnsi="宋体" w:eastAsia="宋体" w:cs="宋体"/>
                <w:b/>
                <w:bCs/>
                <w:color w:val="auto"/>
              </w:rPr>
            </w:pPr>
            <w:r>
              <w:rPr>
                <w:rFonts w:hint="eastAsia" w:ascii="宋体" w:hAnsi="宋体" w:eastAsia="宋体" w:cs="宋体"/>
                <w:b/>
                <w:bCs/>
                <w:color w:val="auto"/>
              </w:rPr>
              <w:t>技术规格要求</w:t>
            </w:r>
          </w:p>
        </w:tc>
        <w:tc>
          <w:tcPr>
            <w:tcW w:w="1108" w:type="pct"/>
            <w:shd w:val="clear" w:color="auto" w:fill="auto"/>
            <w:vAlign w:val="center"/>
          </w:tcPr>
          <w:p w14:paraId="47FE0506">
            <w:pPr>
              <w:spacing w:line="360" w:lineRule="auto"/>
              <w:jc w:val="center"/>
              <w:rPr>
                <w:rFonts w:hint="eastAsia" w:ascii="宋体" w:hAnsi="宋体" w:eastAsia="宋体" w:cs="宋体"/>
                <w:b/>
                <w:bCs/>
                <w:color w:val="auto"/>
              </w:rPr>
            </w:pPr>
            <w:r>
              <w:rPr>
                <w:rFonts w:hint="eastAsia" w:ascii="宋体" w:hAnsi="宋体" w:eastAsia="宋体" w:cs="宋体"/>
                <w:b/>
                <w:bCs/>
                <w:color w:val="auto"/>
              </w:rPr>
              <w:t>证明材料要求</w:t>
            </w:r>
          </w:p>
        </w:tc>
      </w:tr>
      <w:tr w14:paraId="5A46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5C9196B2">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6CB66978">
            <w:pPr>
              <w:spacing w:line="360" w:lineRule="auto"/>
              <w:rPr>
                <w:rFonts w:hint="eastAsia" w:ascii="宋体" w:hAnsi="宋体" w:eastAsia="宋体" w:cs="宋体"/>
                <w:color w:val="auto"/>
              </w:rPr>
            </w:pPr>
            <w:r>
              <w:rPr>
                <w:rFonts w:hint="eastAsia" w:ascii="宋体" w:hAnsi="宋体"/>
                <w:color w:val="auto"/>
                <w:szCs w:val="21"/>
              </w:rPr>
              <w:t>CPU配置</w:t>
            </w:r>
          </w:p>
        </w:tc>
        <w:tc>
          <w:tcPr>
            <w:tcW w:w="2439" w:type="pct"/>
            <w:shd w:val="clear" w:color="auto" w:fill="auto"/>
            <w:vAlign w:val="center"/>
          </w:tcPr>
          <w:p w14:paraId="247182B5">
            <w:pPr>
              <w:spacing w:line="360" w:lineRule="auto"/>
              <w:rPr>
                <w:rFonts w:hint="default" w:ascii="宋体" w:hAnsi="宋体" w:eastAsia="宋体" w:cs="宋体"/>
                <w:color w:val="auto"/>
                <w:lang w:val="en-US" w:eastAsia="zh-CN"/>
              </w:rPr>
            </w:pPr>
            <w:r>
              <w:rPr>
                <w:rFonts w:hint="eastAsia" w:cs="宋体"/>
                <w:color w:val="auto"/>
                <w:lang w:val="en-US" w:eastAsia="zh-CN"/>
              </w:rPr>
              <w:t>≥1颗处理器；每颗处理器主频≥2.2GHz；每颗处理器物理核数≥4核</w:t>
            </w:r>
          </w:p>
        </w:tc>
        <w:tc>
          <w:tcPr>
            <w:tcW w:w="1108" w:type="pct"/>
            <w:shd w:val="clear" w:color="auto" w:fill="auto"/>
            <w:vAlign w:val="center"/>
          </w:tcPr>
          <w:p w14:paraId="39042C75">
            <w:pPr>
              <w:snapToGrid w:val="0"/>
              <w:ind w:left="0" w:leftChars="0" w:right="0" w:rightChars="0" w:firstLine="0" w:firstLineChars="0"/>
              <w:jc w:val="left"/>
              <w:rPr>
                <w:rFonts w:hint="default" w:ascii="宋体" w:hAnsi="宋体" w:eastAsia="宋体" w:cs="宋体"/>
                <w:color w:val="auto"/>
                <w:sz w:val="24"/>
                <w:szCs w:val="24"/>
                <w:lang w:val="en-US" w:eastAsia="zh-CN" w:bidi="ar-SA"/>
              </w:rPr>
            </w:pPr>
            <w:r>
              <w:rPr>
                <w:rFonts w:hint="eastAsia"/>
                <w:color w:val="auto"/>
                <w:lang w:val="en-US" w:eastAsia="zh-CN"/>
              </w:rPr>
              <w:t>提供官网截图、产品彩页或原厂技术确认函等证明材料</w:t>
            </w:r>
          </w:p>
        </w:tc>
      </w:tr>
      <w:tr w14:paraId="1270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2E8B3C26">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2E8F4CB5">
            <w:pPr>
              <w:spacing w:line="360" w:lineRule="auto"/>
              <w:rPr>
                <w:rFonts w:hint="default" w:ascii="宋体" w:hAnsi="宋体" w:eastAsia="宋体" w:cs="宋体"/>
                <w:color w:val="auto"/>
                <w:lang w:val="en-US" w:eastAsia="zh-CN"/>
              </w:rPr>
            </w:pPr>
            <w:r>
              <w:rPr>
                <w:rFonts w:hint="eastAsia"/>
                <w:color w:val="auto"/>
                <w:szCs w:val="21"/>
                <w:lang w:val="en-US" w:eastAsia="zh-CN"/>
              </w:rPr>
              <w:t>系统内存</w:t>
            </w:r>
          </w:p>
        </w:tc>
        <w:tc>
          <w:tcPr>
            <w:tcW w:w="2439" w:type="pct"/>
            <w:shd w:val="clear" w:color="auto" w:fill="auto"/>
            <w:vAlign w:val="center"/>
          </w:tcPr>
          <w:p w14:paraId="4A7E797F">
            <w:pPr>
              <w:spacing w:line="360" w:lineRule="auto"/>
              <w:rPr>
                <w:rFonts w:hint="default" w:ascii="宋体" w:hAnsi="宋体" w:eastAsia="宋体" w:cs="宋体"/>
                <w:color w:val="auto"/>
                <w:lang w:val="en-US" w:eastAsia="zh-CN"/>
              </w:rPr>
            </w:pPr>
            <w:r>
              <w:rPr>
                <w:rFonts w:hint="eastAsia" w:ascii="宋体" w:hAnsi="宋体" w:eastAsia="宋体" w:cs="宋体"/>
                <w:color w:val="auto"/>
              </w:rPr>
              <w:t>配置≥</w:t>
            </w:r>
            <w:r>
              <w:rPr>
                <w:rFonts w:hint="eastAsia" w:cs="宋体"/>
                <w:color w:val="auto"/>
                <w:lang w:val="en-US" w:eastAsia="zh-CN"/>
              </w:rPr>
              <w:t>8GB</w:t>
            </w:r>
            <w:r>
              <w:rPr>
                <w:rFonts w:hint="eastAsia" w:ascii="宋体" w:hAnsi="宋体" w:eastAsia="宋体" w:cs="宋体"/>
                <w:color w:val="auto"/>
              </w:rPr>
              <w:t xml:space="preserve"> DDR</w:t>
            </w:r>
            <w:r>
              <w:rPr>
                <w:rFonts w:hint="eastAsia" w:cs="宋体"/>
                <w:color w:val="auto"/>
                <w:lang w:val="en-US" w:eastAsia="zh-CN"/>
              </w:rPr>
              <w:t>4</w:t>
            </w:r>
            <w:r>
              <w:rPr>
                <w:rFonts w:hint="eastAsia" w:ascii="宋体" w:hAnsi="宋体" w:eastAsia="宋体" w:cs="宋体"/>
                <w:color w:val="auto"/>
              </w:rPr>
              <w:t>内存</w:t>
            </w:r>
            <w:r>
              <w:rPr>
                <w:rFonts w:hint="eastAsia" w:cs="宋体"/>
                <w:color w:val="auto"/>
                <w:lang w:eastAsia="zh-CN"/>
              </w:rPr>
              <w:t>；</w:t>
            </w:r>
            <w:r>
              <w:rPr>
                <w:rFonts w:hint="eastAsia" w:cs="宋体"/>
                <w:color w:val="auto"/>
                <w:lang w:val="en-US" w:eastAsia="zh-CN"/>
              </w:rPr>
              <w:t>具备≥2个内存插槽；</w:t>
            </w:r>
          </w:p>
        </w:tc>
        <w:tc>
          <w:tcPr>
            <w:tcW w:w="1108" w:type="pct"/>
            <w:shd w:val="clear" w:color="auto" w:fill="auto"/>
            <w:vAlign w:val="center"/>
          </w:tcPr>
          <w:p w14:paraId="4CAC68EA">
            <w:pPr>
              <w:snapToGrid w:val="0"/>
              <w:ind w:left="0" w:leftChars="0" w:right="0" w:rightChars="0" w:firstLine="0" w:firstLineChars="0"/>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提供官网截图、产品彩页或原厂技术确认函等证明材料</w:t>
            </w:r>
          </w:p>
        </w:tc>
      </w:tr>
      <w:tr w14:paraId="0B84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52EC1C38">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47036B88">
            <w:pPr>
              <w:spacing w:line="360" w:lineRule="auto"/>
              <w:rPr>
                <w:rFonts w:hint="default" w:ascii="宋体" w:hAnsi="宋体" w:eastAsia="宋体" w:cs="宋体"/>
                <w:color w:val="auto"/>
                <w:lang w:val="en-US" w:eastAsia="zh-CN"/>
              </w:rPr>
            </w:pPr>
            <w:r>
              <w:rPr>
                <w:rFonts w:hint="eastAsia"/>
                <w:color w:val="auto"/>
                <w:szCs w:val="21"/>
                <w:lang w:val="en-US" w:eastAsia="zh-CN"/>
              </w:rPr>
              <w:t>硬盘槽位</w:t>
            </w:r>
          </w:p>
        </w:tc>
        <w:tc>
          <w:tcPr>
            <w:tcW w:w="2439" w:type="pct"/>
            <w:shd w:val="clear" w:color="auto" w:fill="auto"/>
            <w:vAlign w:val="center"/>
          </w:tcPr>
          <w:p w14:paraId="1916B6B1">
            <w:pPr>
              <w:spacing w:line="360" w:lineRule="auto"/>
              <w:rPr>
                <w:rFonts w:hint="default" w:ascii="宋体" w:hAnsi="宋体" w:eastAsia="宋体" w:cs="宋体"/>
                <w:color w:val="auto"/>
                <w:lang w:val="en-US" w:eastAsia="zh-CN"/>
              </w:rPr>
            </w:pPr>
            <w:r>
              <w:rPr>
                <w:rFonts w:hint="eastAsia" w:cs="宋体"/>
                <w:color w:val="auto"/>
                <w:lang w:val="en-US" w:eastAsia="zh-CN"/>
              </w:rPr>
              <w:t>具备≥5个硬盘槽位；搭配扩充设备最⼤硬盘位数≥15个；支持≥2个M.2槽位；</w:t>
            </w:r>
          </w:p>
        </w:tc>
        <w:tc>
          <w:tcPr>
            <w:tcW w:w="1108" w:type="pct"/>
            <w:shd w:val="clear" w:color="auto" w:fill="auto"/>
            <w:vAlign w:val="center"/>
          </w:tcPr>
          <w:p w14:paraId="5D3200F3">
            <w:pPr>
              <w:snapToGrid w:val="0"/>
              <w:ind w:left="0" w:leftChars="0" w:right="0" w:rightChars="0" w:firstLine="0" w:firstLineChars="0"/>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提供官网截图、产品彩页或原厂技术确认函等证明材料</w:t>
            </w:r>
          </w:p>
        </w:tc>
      </w:tr>
      <w:tr w14:paraId="1B78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584DAA2B">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36860CB7">
            <w:pPr>
              <w:spacing w:line="360" w:lineRule="auto"/>
              <w:rPr>
                <w:rFonts w:hint="eastAsia" w:ascii="宋体" w:hAnsi="宋体" w:eastAsia="宋体" w:cs="宋体"/>
                <w:color w:val="auto"/>
                <w:lang w:val="en-US" w:eastAsia="zh-CN"/>
              </w:rPr>
            </w:pPr>
            <w:r>
              <w:rPr>
                <w:rFonts w:hint="eastAsia" w:ascii="宋体" w:hAnsi="宋体"/>
                <w:color w:val="auto"/>
                <w:szCs w:val="21"/>
              </w:rPr>
              <w:t>硬盘</w:t>
            </w:r>
            <w:r>
              <w:rPr>
                <w:rFonts w:hint="eastAsia"/>
                <w:color w:val="auto"/>
                <w:szCs w:val="21"/>
                <w:lang w:val="en-US" w:eastAsia="zh-CN"/>
              </w:rPr>
              <w:t>配置</w:t>
            </w:r>
          </w:p>
        </w:tc>
        <w:tc>
          <w:tcPr>
            <w:tcW w:w="2439" w:type="pct"/>
            <w:shd w:val="clear" w:color="auto" w:fill="auto"/>
            <w:vAlign w:val="center"/>
          </w:tcPr>
          <w:p w14:paraId="4FA291D6">
            <w:pPr>
              <w:spacing w:line="360" w:lineRule="auto"/>
              <w:rPr>
                <w:rFonts w:hint="default" w:ascii="宋体" w:hAnsi="宋体" w:eastAsia="宋体" w:cs="宋体"/>
                <w:color w:val="auto"/>
                <w:lang w:val="en-US" w:eastAsia="zh-CN"/>
              </w:rPr>
            </w:pPr>
            <w:r>
              <w:rPr>
                <w:rFonts w:hint="eastAsia" w:cs="宋体"/>
                <w:color w:val="auto"/>
                <w:lang w:val="en-US" w:eastAsia="zh-CN"/>
              </w:rPr>
              <w:t>配置≥5块存储专用硬盘；每块存储专用硬盘容量≥16TB；</w:t>
            </w:r>
          </w:p>
        </w:tc>
        <w:tc>
          <w:tcPr>
            <w:tcW w:w="1108" w:type="pct"/>
            <w:shd w:val="clear" w:color="auto" w:fill="auto"/>
            <w:vAlign w:val="center"/>
          </w:tcPr>
          <w:p w14:paraId="421F4196">
            <w:pPr>
              <w:snapToGrid w:val="0"/>
              <w:ind w:left="0" w:leftChars="0" w:right="0" w:rightChars="0" w:firstLine="0" w:firstLineChars="0"/>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提供官网截图、产品彩页或原厂技术确认函等证明材料</w:t>
            </w:r>
          </w:p>
        </w:tc>
      </w:tr>
      <w:tr w14:paraId="71A9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5F07894F">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3F2B8A98">
            <w:pPr>
              <w:spacing w:line="360" w:lineRule="auto"/>
              <w:rPr>
                <w:rFonts w:hint="default" w:ascii="宋体" w:hAnsi="宋体" w:eastAsia="宋体" w:cs="宋体"/>
                <w:color w:val="auto"/>
                <w:lang w:val="en-US" w:eastAsia="zh-CN"/>
              </w:rPr>
            </w:pPr>
            <w:r>
              <w:rPr>
                <w:rFonts w:hint="eastAsia"/>
                <w:color w:val="auto"/>
                <w:szCs w:val="21"/>
                <w:lang w:val="en-US" w:eastAsia="zh-CN"/>
              </w:rPr>
              <w:t>网络</w:t>
            </w:r>
          </w:p>
        </w:tc>
        <w:tc>
          <w:tcPr>
            <w:tcW w:w="2439" w:type="pct"/>
            <w:shd w:val="clear" w:color="auto" w:fill="auto"/>
            <w:vAlign w:val="center"/>
          </w:tcPr>
          <w:p w14:paraId="0470BC78">
            <w:pPr>
              <w:spacing w:line="360" w:lineRule="auto"/>
              <w:rPr>
                <w:rFonts w:hint="default" w:ascii="宋体" w:hAnsi="宋体" w:eastAsia="宋体" w:cs="宋体"/>
                <w:color w:val="auto"/>
                <w:lang w:val="en-US" w:eastAsia="zh-CN"/>
              </w:rPr>
            </w:pPr>
            <w:r>
              <w:rPr>
                <w:rFonts w:hint="eastAsia" w:cs="宋体"/>
                <w:color w:val="auto"/>
                <w:lang w:val="en-US" w:eastAsia="zh-CN"/>
              </w:rPr>
              <w:t>配置≥2个RJ-45 2.5GbE ⽹⼝</w:t>
            </w:r>
          </w:p>
        </w:tc>
        <w:tc>
          <w:tcPr>
            <w:tcW w:w="1108" w:type="pct"/>
            <w:shd w:val="clear" w:color="auto" w:fill="auto"/>
            <w:vAlign w:val="center"/>
          </w:tcPr>
          <w:p w14:paraId="5BB91A59">
            <w:pPr>
              <w:snapToGrid w:val="0"/>
              <w:ind w:left="0" w:leftChars="0" w:right="0" w:rightChars="0" w:firstLine="0" w:firstLineChars="0"/>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提供官网截图、产品彩页或原厂技术确认函等证明材料</w:t>
            </w:r>
          </w:p>
        </w:tc>
      </w:tr>
      <w:tr w14:paraId="6E6F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7D5C6045">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5BE63120">
            <w:pPr>
              <w:spacing w:line="360" w:lineRule="auto"/>
              <w:rPr>
                <w:rFonts w:hint="default" w:ascii="宋体" w:hAnsi="宋体" w:eastAsia="宋体" w:cs="宋体"/>
                <w:color w:val="auto"/>
                <w:lang w:val="en-US" w:eastAsia="zh-CN"/>
              </w:rPr>
            </w:pPr>
            <w:r>
              <w:rPr>
                <w:rFonts w:hint="eastAsia" w:cs="宋体"/>
                <w:color w:val="auto"/>
                <w:lang w:val="en-US" w:eastAsia="zh-CN"/>
              </w:rPr>
              <w:t>USB</w:t>
            </w:r>
          </w:p>
        </w:tc>
        <w:tc>
          <w:tcPr>
            <w:tcW w:w="2439" w:type="pct"/>
            <w:shd w:val="clear" w:color="auto" w:fill="auto"/>
            <w:vAlign w:val="center"/>
          </w:tcPr>
          <w:p w14:paraId="28F76E6B">
            <w:pPr>
              <w:spacing w:line="360" w:lineRule="auto"/>
              <w:rPr>
                <w:rFonts w:hint="default" w:ascii="宋体" w:hAnsi="宋体" w:eastAsia="宋体" w:cs="宋体"/>
                <w:color w:val="auto"/>
                <w:lang w:val="en-US" w:eastAsia="zh-CN"/>
              </w:rPr>
            </w:pPr>
            <w:r>
              <w:rPr>
                <w:rFonts w:hint="eastAsia" w:cs="宋体"/>
                <w:color w:val="auto"/>
                <w:lang w:val="en-US" w:eastAsia="zh-CN"/>
              </w:rPr>
              <w:t>配置≥2个USB 3.2 Gen 1 端⼝</w:t>
            </w:r>
          </w:p>
        </w:tc>
        <w:tc>
          <w:tcPr>
            <w:tcW w:w="1108" w:type="pct"/>
            <w:shd w:val="clear" w:color="auto" w:fill="auto"/>
            <w:vAlign w:val="center"/>
          </w:tcPr>
          <w:p w14:paraId="33ED5D75">
            <w:pPr>
              <w:spacing w:line="360" w:lineRule="auto"/>
              <w:rPr>
                <w:rFonts w:hint="eastAsia" w:ascii="宋体" w:hAnsi="宋体" w:eastAsia="宋体" w:cs="宋体"/>
                <w:color w:val="auto"/>
              </w:rPr>
            </w:pPr>
            <w:r>
              <w:rPr>
                <w:rFonts w:hint="eastAsia" w:cs="宋体"/>
                <w:color w:val="auto"/>
                <w:lang w:val="en-US" w:eastAsia="zh-CN"/>
              </w:rPr>
              <w:t>否</w:t>
            </w:r>
          </w:p>
        </w:tc>
      </w:tr>
      <w:tr w14:paraId="1EB9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6F12EB39">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78615048">
            <w:pPr>
              <w:spacing w:line="360" w:lineRule="auto"/>
              <w:rPr>
                <w:rFonts w:hint="default" w:ascii="宋体" w:hAnsi="宋体" w:eastAsia="宋体"/>
                <w:color w:val="auto"/>
                <w:szCs w:val="21"/>
                <w:lang w:val="en-US" w:eastAsia="zh-CN"/>
              </w:rPr>
            </w:pPr>
            <w:r>
              <w:rPr>
                <w:rFonts w:hint="eastAsia"/>
                <w:color w:val="auto"/>
                <w:szCs w:val="21"/>
                <w:lang w:val="en-US" w:eastAsia="zh-CN"/>
              </w:rPr>
              <w:t>电源</w:t>
            </w:r>
          </w:p>
        </w:tc>
        <w:tc>
          <w:tcPr>
            <w:tcW w:w="2439" w:type="pct"/>
            <w:shd w:val="clear" w:color="auto" w:fill="auto"/>
            <w:vAlign w:val="center"/>
          </w:tcPr>
          <w:p w14:paraId="4F50FD7B">
            <w:pPr>
              <w:spacing w:line="360" w:lineRule="auto"/>
              <w:rPr>
                <w:rFonts w:hint="default" w:ascii="宋体" w:hAnsi="宋体" w:eastAsia="宋体" w:cs="宋体"/>
                <w:color w:val="auto"/>
                <w:lang w:val="en-US" w:eastAsia="zh-CN"/>
              </w:rPr>
            </w:pPr>
            <w:r>
              <w:rPr>
                <w:rFonts w:hint="eastAsia" w:cs="宋体"/>
                <w:color w:val="auto"/>
                <w:lang w:val="en-US" w:eastAsia="zh-CN"/>
              </w:rPr>
              <w:t>提供≥1个电源</w:t>
            </w:r>
          </w:p>
        </w:tc>
        <w:tc>
          <w:tcPr>
            <w:tcW w:w="1108" w:type="pct"/>
            <w:shd w:val="clear" w:color="auto" w:fill="auto"/>
            <w:vAlign w:val="center"/>
          </w:tcPr>
          <w:p w14:paraId="5DC7AFD0">
            <w:pPr>
              <w:spacing w:line="360" w:lineRule="auto"/>
              <w:rPr>
                <w:rFonts w:hint="default" w:cs="宋体"/>
                <w:color w:val="auto"/>
                <w:lang w:val="en-US" w:eastAsia="zh-CN"/>
              </w:rPr>
            </w:pPr>
            <w:r>
              <w:rPr>
                <w:rFonts w:hint="eastAsia" w:cs="宋体"/>
                <w:color w:val="auto"/>
                <w:lang w:val="en-US" w:eastAsia="zh-CN"/>
              </w:rPr>
              <w:t>否</w:t>
            </w:r>
          </w:p>
        </w:tc>
      </w:tr>
      <w:tr w14:paraId="12AE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5561C47E">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2E6B84FA">
            <w:pPr>
              <w:spacing w:line="360" w:lineRule="auto"/>
              <w:rPr>
                <w:rFonts w:hint="eastAsia" w:ascii="宋体" w:hAnsi="宋体" w:eastAsia="宋体" w:cs="宋体"/>
                <w:color w:val="auto"/>
              </w:rPr>
            </w:pPr>
            <w:r>
              <w:rPr>
                <w:rFonts w:hint="eastAsia" w:ascii="宋体" w:hAnsi="宋体" w:eastAsia="宋体" w:cs="宋体"/>
                <w:color w:val="auto"/>
              </w:rPr>
              <w:t>⽀持的 RAID 类型</w:t>
            </w:r>
          </w:p>
        </w:tc>
        <w:tc>
          <w:tcPr>
            <w:tcW w:w="2439" w:type="pct"/>
            <w:shd w:val="clear" w:color="auto" w:fill="auto"/>
            <w:vAlign w:val="center"/>
          </w:tcPr>
          <w:p w14:paraId="6DD934EC">
            <w:pPr>
              <w:spacing w:line="360" w:lineRule="auto"/>
              <w:rPr>
                <w:rFonts w:hint="eastAsia" w:ascii="宋体" w:hAnsi="宋体" w:eastAsia="宋体" w:cs="宋体"/>
                <w:color w:val="auto"/>
              </w:rPr>
            </w:pPr>
            <w:r>
              <w:rPr>
                <w:rFonts w:hint="eastAsia" w:cs="宋体"/>
                <w:color w:val="auto"/>
                <w:lang w:val="en-US" w:eastAsia="zh-CN"/>
              </w:rPr>
              <w:t>支持</w:t>
            </w:r>
            <w:r>
              <w:rPr>
                <w:rFonts w:hint="eastAsia" w:ascii="宋体" w:hAnsi="宋体" w:eastAsia="宋体" w:cs="宋体"/>
                <w:color w:val="auto"/>
                <w:lang w:val="en-US" w:eastAsia="zh-CN"/>
              </w:rPr>
              <w:t>JBOD，RAID 0，RAID 1，RAID 5，RAID 6，RAID 10</w:t>
            </w:r>
          </w:p>
        </w:tc>
        <w:tc>
          <w:tcPr>
            <w:tcW w:w="1108" w:type="pct"/>
            <w:shd w:val="clear" w:color="auto" w:fill="auto"/>
            <w:vAlign w:val="center"/>
          </w:tcPr>
          <w:p w14:paraId="54846143">
            <w:pPr>
              <w:snapToGrid w:val="0"/>
              <w:ind w:left="0" w:leftChars="0" w:right="0" w:rightChars="0" w:firstLine="0" w:firstLineChars="0"/>
              <w:jc w:val="left"/>
              <w:rPr>
                <w:rFonts w:hint="eastAsia" w:ascii="宋体" w:hAnsi="宋体" w:eastAsia="宋体" w:cs="宋体"/>
                <w:color w:val="auto"/>
              </w:rPr>
            </w:pPr>
            <w:r>
              <w:rPr>
                <w:rFonts w:hint="eastAsia" w:ascii="宋体" w:hAnsi="宋体" w:eastAsia="宋体" w:cs="宋体"/>
                <w:color w:val="auto"/>
                <w:lang w:val="en-US" w:eastAsia="zh-CN"/>
              </w:rPr>
              <w:t>提供官网截图、产品彩页或原厂技术确认函等证明材料</w:t>
            </w:r>
          </w:p>
        </w:tc>
      </w:tr>
      <w:tr w14:paraId="0BED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2" w:type="pct"/>
            <w:shd w:val="clear" w:color="auto" w:fill="auto"/>
            <w:vAlign w:val="center"/>
          </w:tcPr>
          <w:p w14:paraId="0E705D88">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07C0D053">
            <w:pPr>
              <w:spacing w:line="360" w:lineRule="auto"/>
              <w:rPr>
                <w:rFonts w:hint="eastAsia" w:ascii="宋体" w:hAnsi="宋体" w:eastAsia="宋体" w:cs="宋体"/>
                <w:color w:val="auto"/>
              </w:rPr>
            </w:pPr>
            <w:r>
              <w:rPr>
                <w:rFonts w:hint="eastAsia" w:ascii="宋体" w:hAnsi="宋体"/>
                <w:color w:val="auto"/>
                <w:szCs w:val="21"/>
              </w:rPr>
              <w:t>网络通讯协议</w:t>
            </w:r>
          </w:p>
        </w:tc>
        <w:tc>
          <w:tcPr>
            <w:tcW w:w="2439" w:type="pct"/>
            <w:shd w:val="clear" w:color="auto" w:fill="auto"/>
            <w:vAlign w:val="center"/>
          </w:tcPr>
          <w:p w14:paraId="0B04B02F">
            <w:pPr>
              <w:spacing w:line="360" w:lineRule="auto"/>
              <w:rPr>
                <w:rFonts w:hint="default" w:ascii="宋体" w:hAnsi="宋体" w:eastAsia="宋体" w:cs="宋体"/>
                <w:color w:val="auto"/>
                <w:lang w:val="en-US" w:eastAsia="zh-CN"/>
              </w:rPr>
            </w:pPr>
            <w:r>
              <w:rPr>
                <w:rFonts w:hint="eastAsia" w:cs="宋体"/>
                <w:color w:val="auto"/>
                <w:lang w:val="en-US" w:eastAsia="zh-CN"/>
              </w:rPr>
              <w:t>支持SMB2、SMB3、NFSv3、NFSv4、iSCSI、HTTP、HTTPS、FTP、SNMP</w:t>
            </w:r>
          </w:p>
        </w:tc>
        <w:tc>
          <w:tcPr>
            <w:tcW w:w="1108" w:type="pct"/>
            <w:shd w:val="clear" w:color="auto" w:fill="auto"/>
            <w:vAlign w:val="center"/>
          </w:tcPr>
          <w:p w14:paraId="38802DB5">
            <w:pPr>
              <w:spacing w:line="360" w:lineRule="auto"/>
              <w:rPr>
                <w:rFonts w:hint="eastAsia" w:ascii="宋体" w:hAnsi="宋体" w:eastAsia="宋体" w:cs="宋体"/>
                <w:color w:val="auto"/>
              </w:rPr>
            </w:pPr>
            <w:r>
              <w:rPr>
                <w:rFonts w:hint="eastAsia" w:cs="宋体"/>
                <w:color w:val="auto"/>
                <w:lang w:val="en-US" w:eastAsia="zh-CN"/>
              </w:rPr>
              <w:t>否</w:t>
            </w:r>
          </w:p>
        </w:tc>
      </w:tr>
      <w:tr w14:paraId="680D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4E9B6C50">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3B971C6B">
            <w:pPr>
              <w:spacing w:line="360" w:lineRule="auto"/>
              <w:rPr>
                <w:rFonts w:hint="default" w:ascii="宋体" w:hAnsi="宋体" w:eastAsia="宋体" w:cs="宋体"/>
                <w:color w:val="auto"/>
                <w:lang w:val="en-US" w:eastAsia="zh-CN"/>
              </w:rPr>
            </w:pPr>
            <w:r>
              <w:rPr>
                <w:rFonts w:hint="eastAsia" w:cs="宋体"/>
                <w:color w:val="auto"/>
                <w:lang w:val="en-US" w:eastAsia="zh-CN"/>
              </w:rPr>
              <w:t>虚拟化支持</w:t>
            </w:r>
          </w:p>
        </w:tc>
        <w:tc>
          <w:tcPr>
            <w:tcW w:w="2439" w:type="pct"/>
            <w:shd w:val="clear" w:color="auto" w:fill="auto"/>
            <w:vAlign w:val="center"/>
          </w:tcPr>
          <w:p w14:paraId="2F2A092B">
            <w:pPr>
              <w:spacing w:line="360" w:lineRule="auto"/>
              <w:rPr>
                <w:rFonts w:hint="eastAsia" w:ascii="宋体" w:hAnsi="宋体" w:eastAsia="宋体" w:cs="宋体"/>
                <w:color w:val="auto"/>
              </w:rPr>
            </w:pPr>
            <w:r>
              <w:rPr>
                <w:rFonts w:hint="eastAsia" w:cs="宋体"/>
                <w:color w:val="auto"/>
                <w:lang w:val="en-US" w:eastAsia="zh-CN"/>
              </w:rPr>
              <w:t>支持VMware vSphere  Microsoft Hyper-V  Citrix  OpenStack</w:t>
            </w:r>
          </w:p>
        </w:tc>
        <w:tc>
          <w:tcPr>
            <w:tcW w:w="1108" w:type="pct"/>
            <w:shd w:val="clear" w:color="auto" w:fill="auto"/>
            <w:vAlign w:val="center"/>
          </w:tcPr>
          <w:p w14:paraId="3A4791A2">
            <w:pPr>
              <w:spacing w:line="360" w:lineRule="auto"/>
              <w:rPr>
                <w:rFonts w:hint="eastAsia" w:ascii="宋体" w:hAnsi="宋体" w:eastAsia="宋体" w:cs="宋体"/>
                <w:color w:val="auto"/>
              </w:rPr>
            </w:pPr>
            <w:r>
              <w:rPr>
                <w:rFonts w:hint="eastAsia" w:cs="宋体"/>
                <w:color w:val="auto"/>
                <w:lang w:val="en-US" w:eastAsia="zh-CN"/>
              </w:rPr>
              <w:t>否</w:t>
            </w:r>
          </w:p>
        </w:tc>
      </w:tr>
      <w:tr w14:paraId="0CA1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558B719E">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74C7967B">
            <w:pPr>
              <w:spacing w:line="360" w:lineRule="auto"/>
              <w:rPr>
                <w:rFonts w:hint="eastAsia" w:ascii="宋体" w:hAnsi="宋体" w:eastAsia="宋体" w:cs="宋体"/>
                <w:color w:val="auto"/>
              </w:rPr>
            </w:pPr>
            <w:r>
              <w:rPr>
                <w:rFonts w:hint="eastAsia" w:ascii="宋体" w:hAnsi="宋体" w:eastAsia="宋体" w:cs="宋体"/>
                <w:color w:val="auto"/>
              </w:rPr>
              <w:t>软件</w:t>
            </w:r>
          </w:p>
        </w:tc>
        <w:tc>
          <w:tcPr>
            <w:tcW w:w="2439" w:type="pct"/>
            <w:shd w:val="clear" w:color="auto" w:fill="auto"/>
            <w:vAlign w:val="center"/>
          </w:tcPr>
          <w:p w14:paraId="48516A16">
            <w:pPr>
              <w:spacing w:line="360" w:lineRule="auto"/>
              <w:rPr>
                <w:rFonts w:hint="eastAsia" w:ascii="宋体" w:hAnsi="宋体" w:eastAsia="宋体" w:cs="宋体"/>
                <w:color w:val="auto"/>
                <w:lang w:val="en-US" w:eastAsia="zh-CN"/>
              </w:rPr>
            </w:pPr>
            <w:r>
              <w:rPr>
                <w:rFonts w:hint="eastAsia" w:cs="宋体"/>
                <w:color w:val="auto"/>
                <w:lang w:val="en-US" w:eastAsia="zh-CN"/>
              </w:rPr>
              <w:t>提供虚拟驱动器、远程文件夹、WindowsACL编辑器、归档文件的压缩/解压、特定用户/群组的带宽控制、创建共享链接和传输日志</w:t>
            </w:r>
          </w:p>
        </w:tc>
        <w:tc>
          <w:tcPr>
            <w:tcW w:w="1108" w:type="pct"/>
            <w:shd w:val="clear" w:color="auto" w:fill="auto"/>
            <w:vAlign w:val="center"/>
          </w:tcPr>
          <w:p w14:paraId="553FA680">
            <w:pPr>
              <w:spacing w:line="360" w:lineRule="auto"/>
              <w:rPr>
                <w:rFonts w:hint="eastAsia" w:ascii="宋体" w:hAnsi="宋体" w:eastAsia="宋体" w:cs="宋体"/>
                <w:color w:val="auto"/>
                <w:lang w:val="en-US" w:eastAsia="zh-CN"/>
              </w:rPr>
            </w:pPr>
            <w:r>
              <w:rPr>
                <w:rFonts w:hint="eastAsia" w:cs="宋体"/>
                <w:color w:val="auto"/>
                <w:lang w:val="en-US" w:eastAsia="zh-CN"/>
              </w:rPr>
              <w:t>否</w:t>
            </w:r>
          </w:p>
        </w:tc>
      </w:tr>
      <w:tr w14:paraId="2042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4ED87A2C">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7D20587C">
            <w:pPr>
              <w:spacing w:line="360" w:lineRule="auto"/>
              <w:rPr>
                <w:rFonts w:hint="default" w:ascii="宋体" w:hAnsi="宋体" w:eastAsia="宋体"/>
                <w:color w:val="auto"/>
                <w:szCs w:val="21"/>
                <w:lang w:val="en-US" w:eastAsia="zh-CN"/>
              </w:rPr>
            </w:pPr>
            <w:r>
              <w:rPr>
                <w:rFonts w:hint="eastAsia"/>
                <w:color w:val="auto"/>
                <w:szCs w:val="21"/>
                <w:lang w:val="en-US" w:eastAsia="zh-CN"/>
              </w:rPr>
              <w:t>备份功能</w:t>
            </w:r>
          </w:p>
        </w:tc>
        <w:tc>
          <w:tcPr>
            <w:tcW w:w="2439" w:type="pct"/>
            <w:shd w:val="clear" w:color="auto" w:fill="auto"/>
            <w:vAlign w:val="center"/>
          </w:tcPr>
          <w:p w14:paraId="66CFF9B1">
            <w:pPr>
              <w:spacing w:line="360" w:lineRule="auto"/>
              <w:rPr>
                <w:rFonts w:hint="eastAsia" w:ascii="宋体" w:hAnsi="宋体"/>
                <w:color w:val="auto"/>
                <w:szCs w:val="21"/>
              </w:rPr>
            </w:pPr>
            <w:r>
              <w:rPr>
                <w:rFonts w:hint="eastAsia" w:cs="宋体"/>
                <w:color w:val="auto"/>
                <w:lang w:val="en-US" w:eastAsia="zh-CN"/>
              </w:rPr>
              <w:t>支持本地备份、网络备份以及数据备份到其他服务器和公有云</w:t>
            </w:r>
          </w:p>
        </w:tc>
        <w:tc>
          <w:tcPr>
            <w:tcW w:w="1108" w:type="pct"/>
            <w:shd w:val="clear" w:color="auto" w:fill="auto"/>
            <w:vAlign w:val="center"/>
          </w:tcPr>
          <w:p w14:paraId="3D2F81E5">
            <w:pPr>
              <w:spacing w:line="360" w:lineRule="auto"/>
              <w:rPr>
                <w:rFonts w:hint="eastAsia" w:cs="宋体"/>
                <w:color w:val="auto"/>
                <w:lang w:val="en-US" w:eastAsia="zh-CN"/>
              </w:rPr>
            </w:pPr>
            <w:r>
              <w:rPr>
                <w:rFonts w:hint="eastAsia" w:cs="宋体"/>
                <w:color w:val="auto"/>
                <w:lang w:val="en-US" w:eastAsia="zh-CN"/>
              </w:rPr>
              <w:t>否</w:t>
            </w:r>
          </w:p>
        </w:tc>
      </w:tr>
      <w:tr w14:paraId="426A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28A585A1">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7A8ED98F">
            <w:pPr>
              <w:spacing w:line="360" w:lineRule="auto"/>
              <w:rPr>
                <w:rFonts w:hint="default" w:ascii="宋体" w:hAnsi="宋体" w:eastAsia="宋体"/>
                <w:color w:val="auto"/>
                <w:szCs w:val="21"/>
                <w:lang w:val="en-US" w:eastAsia="zh-CN"/>
              </w:rPr>
            </w:pPr>
            <w:r>
              <w:rPr>
                <w:rFonts w:hint="eastAsia"/>
                <w:color w:val="auto"/>
                <w:szCs w:val="21"/>
                <w:lang w:val="en-US" w:eastAsia="zh-CN"/>
              </w:rPr>
              <w:t>数据同步</w:t>
            </w:r>
          </w:p>
        </w:tc>
        <w:tc>
          <w:tcPr>
            <w:tcW w:w="2439" w:type="pct"/>
            <w:shd w:val="clear" w:color="auto" w:fill="auto"/>
            <w:vAlign w:val="center"/>
          </w:tcPr>
          <w:p w14:paraId="1B22A91D">
            <w:pPr>
              <w:spacing w:line="360" w:lineRule="auto"/>
              <w:rPr>
                <w:rFonts w:hint="eastAsia" w:ascii="宋体" w:hAnsi="宋体"/>
                <w:color w:val="auto"/>
                <w:szCs w:val="21"/>
              </w:rPr>
            </w:pPr>
            <w:r>
              <w:rPr>
                <w:rFonts w:hint="eastAsia" w:ascii="宋体" w:hAnsi="宋体"/>
                <w:color w:val="auto"/>
                <w:szCs w:val="21"/>
              </w:rPr>
              <w:t>支持在Windows、macOS、Linux、Android和</w:t>
            </w:r>
            <w:r>
              <w:rPr>
                <w:rFonts w:hint="eastAsia"/>
                <w:color w:val="auto"/>
                <w:szCs w:val="21"/>
                <w:lang w:val="en-US" w:eastAsia="zh-CN"/>
              </w:rPr>
              <w:t>i</w:t>
            </w:r>
            <w:r>
              <w:rPr>
                <w:rFonts w:hint="eastAsia" w:ascii="宋体" w:hAnsi="宋体"/>
                <w:color w:val="auto"/>
                <w:szCs w:val="21"/>
              </w:rPr>
              <w:t>OS之间同步文件。内置的跨平台门户可随时随地访问数据</w:t>
            </w:r>
          </w:p>
        </w:tc>
        <w:tc>
          <w:tcPr>
            <w:tcW w:w="1108" w:type="pct"/>
            <w:shd w:val="clear" w:color="auto" w:fill="auto"/>
            <w:vAlign w:val="center"/>
          </w:tcPr>
          <w:p w14:paraId="23BFDF01">
            <w:pPr>
              <w:spacing w:line="360" w:lineRule="auto"/>
              <w:rPr>
                <w:rFonts w:hint="eastAsia" w:cs="宋体"/>
                <w:color w:val="auto"/>
                <w:lang w:val="en-US" w:eastAsia="zh-CN"/>
              </w:rPr>
            </w:pPr>
            <w:r>
              <w:rPr>
                <w:rFonts w:hint="eastAsia" w:cs="宋体"/>
                <w:color w:val="auto"/>
                <w:lang w:val="en-US" w:eastAsia="zh-CN"/>
              </w:rPr>
              <w:t>否</w:t>
            </w:r>
          </w:p>
        </w:tc>
      </w:tr>
      <w:tr w14:paraId="37A0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62" w:type="pct"/>
            <w:shd w:val="clear" w:color="auto" w:fill="auto"/>
            <w:vAlign w:val="center"/>
          </w:tcPr>
          <w:p w14:paraId="1C3F1DD5">
            <w:pPr>
              <w:pStyle w:val="24"/>
              <w:numPr>
                <w:ilvl w:val="0"/>
                <w:numId w:val="2"/>
              </w:numPr>
              <w:spacing w:line="360" w:lineRule="auto"/>
              <w:ind w:firstLineChars="0"/>
              <w:jc w:val="center"/>
              <w:rPr>
                <w:rFonts w:hint="eastAsia" w:ascii="宋体" w:hAnsi="宋体" w:eastAsia="宋体" w:cs="宋体"/>
                <w:color w:val="auto"/>
              </w:rPr>
            </w:pPr>
          </w:p>
        </w:tc>
        <w:tc>
          <w:tcPr>
            <w:tcW w:w="989" w:type="pct"/>
            <w:shd w:val="clear" w:color="auto" w:fill="auto"/>
            <w:vAlign w:val="center"/>
          </w:tcPr>
          <w:p w14:paraId="67268D66">
            <w:pPr>
              <w:spacing w:line="360" w:lineRule="auto"/>
              <w:rPr>
                <w:rFonts w:hint="eastAsia" w:ascii="宋体" w:hAnsi="宋体" w:eastAsia="宋体"/>
                <w:color w:val="auto"/>
                <w:szCs w:val="21"/>
                <w:lang w:val="en-US" w:eastAsia="zh-CN"/>
              </w:rPr>
            </w:pPr>
            <w:r>
              <w:rPr>
                <w:rFonts w:hint="eastAsia"/>
                <w:color w:val="auto"/>
                <w:szCs w:val="21"/>
                <w:lang w:val="en-US" w:eastAsia="zh-CN"/>
              </w:rPr>
              <w:t>服务</w:t>
            </w:r>
          </w:p>
        </w:tc>
        <w:tc>
          <w:tcPr>
            <w:tcW w:w="2439" w:type="pct"/>
            <w:shd w:val="clear" w:color="auto" w:fill="auto"/>
            <w:vAlign w:val="center"/>
          </w:tcPr>
          <w:p w14:paraId="269FE773">
            <w:pPr>
              <w:spacing w:line="360" w:lineRule="auto"/>
              <w:rPr>
                <w:rFonts w:hint="default" w:ascii="宋体" w:hAnsi="宋体" w:eastAsia="宋体"/>
                <w:color w:val="auto"/>
                <w:szCs w:val="21"/>
                <w:lang w:val="en-US" w:eastAsia="zh-CN"/>
              </w:rPr>
            </w:pPr>
            <w:r>
              <w:rPr>
                <w:rFonts w:hint="eastAsia"/>
                <w:color w:val="auto"/>
                <w:szCs w:val="21"/>
                <w:lang w:val="en-US" w:eastAsia="zh-CN"/>
              </w:rPr>
              <w:t>提供≥3年原厂质保服务</w:t>
            </w:r>
          </w:p>
        </w:tc>
        <w:tc>
          <w:tcPr>
            <w:tcW w:w="1108" w:type="pct"/>
            <w:shd w:val="clear" w:color="auto" w:fill="auto"/>
            <w:vAlign w:val="center"/>
          </w:tcPr>
          <w:p w14:paraId="7D4B38F6">
            <w:pPr>
              <w:snapToGrid w:val="0"/>
              <w:ind w:left="0" w:leftChars="0" w:right="0" w:rightChars="0" w:firstLine="0" w:firstLineChars="0"/>
              <w:jc w:val="left"/>
              <w:rPr>
                <w:rFonts w:hint="default" w:ascii="宋体" w:hAnsi="宋体"/>
                <w:color w:val="auto"/>
                <w:szCs w:val="21"/>
                <w:lang w:val="en-US" w:eastAsia="zh-CN"/>
              </w:rPr>
            </w:pPr>
            <w:r>
              <w:rPr>
                <w:rFonts w:hint="eastAsia" w:ascii="宋体" w:hAnsi="宋体" w:eastAsia="宋体" w:cs="宋体"/>
                <w:color w:val="auto"/>
                <w:lang w:val="en-US" w:eastAsia="zh-CN"/>
              </w:rPr>
              <w:t>提供承诺函</w:t>
            </w:r>
          </w:p>
        </w:tc>
      </w:tr>
    </w:tbl>
    <w:p w14:paraId="6D44FF43">
      <w:pPr>
        <w:rPr>
          <w:rFonts w:hint="eastAsia" w:ascii="宋体" w:hAnsi="宋体" w:eastAsia="宋体" w:cs="宋体"/>
          <w:color w:val="auto"/>
        </w:rPr>
      </w:pPr>
    </w:p>
    <w:p w14:paraId="7685855A">
      <w:pPr>
        <w:bidi w:val="0"/>
        <w:rPr>
          <w:rFonts w:hint="eastAsia"/>
          <w:color w:val="auto"/>
        </w:rPr>
      </w:pPr>
    </w:p>
    <w:p w14:paraId="7965CF2C">
      <w:pPr>
        <w:rPr>
          <w:rFonts w:hint="eastAsia" w:ascii="宋体" w:hAnsi="宋体" w:eastAsia="宋体" w:cs="宋体"/>
          <w:color w:val="auto"/>
        </w:rPr>
      </w:pPr>
    </w:p>
    <w:p w14:paraId="342D2041">
      <w:pPr>
        <w:pStyle w:val="2"/>
        <w:bidi w:val="0"/>
        <w:rPr>
          <w:rFonts w:hint="eastAsia"/>
          <w:color w:val="auto"/>
        </w:rPr>
      </w:pPr>
      <w:r>
        <w:rPr>
          <w:rFonts w:hint="eastAsia"/>
          <w:color w:val="auto"/>
        </w:rPr>
        <w:t>项目工期及实施要求</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671"/>
        <w:gridCol w:w="6116"/>
      </w:tblGrid>
      <w:tr w14:paraId="03EB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31" w:type="pct"/>
            <w:shd w:val="clear" w:color="auto" w:fill="auto"/>
          </w:tcPr>
          <w:p w14:paraId="423B3D26">
            <w:pPr>
              <w:spacing w:line="360" w:lineRule="auto"/>
              <w:jc w:val="center"/>
              <w:rPr>
                <w:rFonts w:hint="eastAsia" w:ascii="宋体" w:hAnsi="宋体" w:eastAsia="宋体" w:cs="宋体"/>
                <w:b/>
                <w:bCs/>
                <w:color w:val="auto"/>
              </w:rPr>
            </w:pPr>
            <w:r>
              <w:rPr>
                <w:rFonts w:hint="eastAsia" w:ascii="宋体" w:hAnsi="宋体" w:eastAsia="宋体" w:cs="宋体"/>
                <w:b/>
                <w:bCs/>
                <w:color w:val="auto"/>
              </w:rPr>
              <w:t>序号</w:t>
            </w:r>
          </w:p>
        </w:tc>
        <w:tc>
          <w:tcPr>
            <w:tcW w:w="980" w:type="pct"/>
            <w:shd w:val="clear" w:color="auto" w:fill="auto"/>
          </w:tcPr>
          <w:p w14:paraId="75A5A4FB">
            <w:pPr>
              <w:spacing w:line="360" w:lineRule="auto"/>
              <w:jc w:val="center"/>
              <w:rPr>
                <w:rFonts w:hint="eastAsia" w:ascii="宋体" w:hAnsi="宋体" w:eastAsia="宋体" w:cs="宋体"/>
                <w:b/>
                <w:bCs/>
                <w:color w:val="auto"/>
              </w:rPr>
            </w:pPr>
            <w:r>
              <w:rPr>
                <w:rFonts w:hint="eastAsia" w:ascii="宋体" w:hAnsi="宋体" w:eastAsia="宋体" w:cs="宋体"/>
                <w:b/>
                <w:bCs/>
                <w:color w:val="auto"/>
              </w:rPr>
              <w:t>内容</w:t>
            </w:r>
          </w:p>
        </w:tc>
        <w:tc>
          <w:tcPr>
            <w:tcW w:w="3587" w:type="pct"/>
            <w:shd w:val="clear" w:color="auto" w:fill="auto"/>
          </w:tcPr>
          <w:p w14:paraId="6EB72AA4">
            <w:pPr>
              <w:spacing w:line="360" w:lineRule="auto"/>
              <w:jc w:val="center"/>
              <w:rPr>
                <w:rFonts w:hint="eastAsia" w:ascii="宋体" w:hAnsi="宋体" w:eastAsia="宋体" w:cs="宋体"/>
                <w:b/>
                <w:bCs/>
                <w:color w:val="auto"/>
              </w:rPr>
            </w:pPr>
            <w:r>
              <w:rPr>
                <w:rFonts w:hint="eastAsia" w:ascii="宋体" w:hAnsi="宋体" w:eastAsia="宋体" w:cs="宋体"/>
                <w:b/>
                <w:bCs/>
                <w:color w:val="auto"/>
              </w:rPr>
              <w:t>实施标准</w:t>
            </w:r>
          </w:p>
        </w:tc>
      </w:tr>
      <w:tr w14:paraId="2F7D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31" w:type="pct"/>
            <w:vAlign w:val="center"/>
          </w:tcPr>
          <w:p w14:paraId="063F1065">
            <w:pPr>
              <w:pStyle w:val="24"/>
              <w:numPr>
                <w:ilvl w:val="0"/>
                <w:numId w:val="3"/>
              </w:numPr>
              <w:spacing w:line="360" w:lineRule="auto"/>
              <w:ind w:firstLineChars="0"/>
              <w:rPr>
                <w:rFonts w:hint="eastAsia" w:ascii="宋体" w:hAnsi="宋体" w:eastAsia="宋体" w:cs="宋体"/>
                <w:color w:val="auto"/>
                <w:sz w:val="24"/>
                <w:szCs w:val="32"/>
              </w:rPr>
            </w:pPr>
          </w:p>
        </w:tc>
        <w:tc>
          <w:tcPr>
            <w:tcW w:w="980" w:type="pct"/>
            <w:vAlign w:val="center"/>
          </w:tcPr>
          <w:p w14:paraId="3C64A20C">
            <w:pPr>
              <w:spacing w:line="360" w:lineRule="auto"/>
              <w:rPr>
                <w:rFonts w:hint="eastAsia" w:ascii="宋体" w:hAnsi="宋体" w:eastAsia="宋体" w:cs="宋体"/>
                <w:color w:val="auto"/>
              </w:rPr>
            </w:pPr>
            <w:r>
              <w:rPr>
                <w:rFonts w:hint="eastAsia" w:ascii="宋体" w:hAnsi="宋体" w:eastAsia="宋体" w:cs="宋体"/>
                <w:color w:val="auto"/>
              </w:rPr>
              <w:t>项目实施过程控制</w:t>
            </w:r>
          </w:p>
        </w:tc>
        <w:tc>
          <w:tcPr>
            <w:tcW w:w="3587" w:type="pct"/>
            <w:vAlign w:val="center"/>
          </w:tcPr>
          <w:p w14:paraId="7BA97867">
            <w:pPr>
              <w:spacing w:line="360" w:lineRule="auto"/>
              <w:rPr>
                <w:rFonts w:hint="eastAsia" w:ascii="宋体" w:hAnsi="宋体" w:eastAsia="宋体" w:cs="宋体"/>
                <w:color w:val="auto"/>
              </w:rPr>
            </w:pPr>
            <w:r>
              <w:rPr>
                <w:rFonts w:hint="eastAsia" w:ascii="宋体" w:hAnsi="宋体" w:eastAsia="宋体" w:cs="宋体"/>
                <w:color w:val="auto"/>
              </w:rPr>
              <w:t>软件到货、安装、调试、验收工作，严格按照技术要求文件和合同的工期要求完成项目实施。</w:t>
            </w:r>
          </w:p>
        </w:tc>
      </w:tr>
      <w:tr w14:paraId="7F8B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31" w:type="pct"/>
            <w:vAlign w:val="center"/>
          </w:tcPr>
          <w:p w14:paraId="6A01D749">
            <w:pPr>
              <w:pStyle w:val="24"/>
              <w:numPr>
                <w:ilvl w:val="0"/>
                <w:numId w:val="3"/>
              </w:numPr>
              <w:spacing w:line="360" w:lineRule="auto"/>
              <w:ind w:firstLineChars="0"/>
              <w:rPr>
                <w:rFonts w:hint="eastAsia" w:ascii="宋体" w:hAnsi="宋体" w:eastAsia="宋体" w:cs="宋体"/>
                <w:color w:val="auto"/>
                <w:sz w:val="24"/>
                <w:szCs w:val="32"/>
              </w:rPr>
            </w:pPr>
          </w:p>
        </w:tc>
        <w:tc>
          <w:tcPr>
            <w:tcW w:w="980" w:type="pct"/>
            <w:vAlign w:val="center"/>
          </w:tcPr>
          <w:p w14:paraId="63ACFF82">
            <w:pPr>
              <w:spacing w:line="360" w:lineRule="auto"/>
              <w:rPr>
                <w:rFonts w:hint="eastAsia" w:ascii="宋体" w:hAnsi="宋体" w:eastAsia="宋体" w:cs="宋体"/>
                <w:color w:val="auto"/>
              </w:rPr>
            </w:pPr>
            <w:r>
              <w:rPr>
                <w:rFonts w:hint="eastAsia" w:ascii="宋体" w:hAnsi="宋体" w:eastAsia="宋体" w:cs="宋体"/>
                <w:color w:val="auto"/>
              </w:rPr>
              <w:t>项目实施过程文档管理</w:t>
            </w:r>
          </w:p>
        </w:tc>
        <w:tc>
          <w:tcPr>
            <w:tcW w:w="3587" w:type="pct"/>
            <w:vAlign w:val="center"/>
          </w:tcPr>
          <w:p w14:paraId="7ED2FEF5">
            <w:pPr>
              <w:spacing w:line="360" w:lineRule="auto"/>
              <w:rPr>
                <w:rFonts w:hint="eastAsia" w:ascii="宋体" w:hAnsi="宋体" w:eastAsia="宋体" w:cs="宋体"/>
                <w:color w:val="auto"/>
              </w:rPr>
            </w:pPr>
            <w:r>
              <w:rPr>
                <w:rFonts w:hint="eastAsia" w:ascii="宋体" w:hAnsi="宋体" w:eastAsia="宋体" w:cs="宋体"/>
                <w:color w:val="auto"/>
              </w:rPr>
              <w:t>提供各个阶段过程文档类别、文档管理措施等。</w:t>
            </w:r>
          </w:p>
        </w:tc>
      </w:tr>
      <w:tr w14:paraId="146C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31" w:type="pct"/>
            <w:vAlign w:val="center"/>
          </w:tcPr>
          <w:p w14:paraId="359AED2A">
            <w:pPr>
              <w:pStyle w:val="24"/>
              <w:numPr>
                <w:ilvl w:val="0"/>
                <w:numId w:val="3"/>
              </w:numPr>
              <w:spacing w:line="360" w:lineRule="auto"/>
              <w:ind w:firstLineChars="0"/>
              <w:rPr>
                <w:rFonts w:hint="eastAsia" w:ascii="宋体" w:hAnsi="宋体" w:eastAsia="宋体" w:cs="宋体"/>
                <w:color w:val="auto"/>
                <w:sz w:val="24"/>
                <w:szCs w:val="32"/>
              </w:rPr>
            </w:pPr>
          </w:p>
        </w:tc>
        <w:tc>
          <w:tcPr>
            <w:tcW w:w="980" w:type="pct"/>
            <w:vAlign w:val="center"/>
          </w:tcPr>
          <w:p w14:paraId="13892EAA">
            <w:pPr>
              <w:spacing w:line="360" w:lineRule="auto"/>
              <w:rPr>
                <w:rFonts w:hint="eastAsia" w:ascii="宋体" w:hAnsi="宋体" w:eastAsia="宋体" w:cs="宋体"/>
                <w:color w:val="auto"/>
              </w:rPr>
            </w:pPr>
            <w:r>
              <w:rPr>
                <w:rFonts w:hint="eastAsia" w:ascii="宋体" w:hAnsi="宋体" w:eastAsia="宋体" w:cs="宋体"/>
                <w:color w:val="auto"/>
              </w:rPr>
              <w:t>项目实施组织架构</w:t>
            </w:r>
          </w:p>
        </w:tc>
        <w:tc>
          <w:tcPr>
            <w:tcW w:w="3587" w:type="pct"/>
            <w:vAlign w:val="center"/>
          </w:tcPr>
          <w:p w14:paraId="10CFF166">
            <w:pPr>
              <w:spacing w:line="360" w:lineRule="auto"/>
              <w:rPr>
                <w:rFonts w:hint="eastAsia" w:ascii="宋体" w:hAnsi="宋体" w:eastAsia="宋体" w:cs="宋体"/>
                <w:color w:val="auto"/>
              </w:rPr>
            </w:pPr>
            <w:r>
              <w:rPr>
                <w:rFonts w:hint="eastAsia" w:ascii="宋体" w:hAnsi="宋体" w:eastAsia="宋体" w:cs="宋体"/>
                <w:color w:val="auto"/>
              </w:rPr>
              <w:t>提供项目组织架构、职责分工、参与成员能力等内容。</w:t>
            </w:r>
          </w:p>
        </w:tc>
      </w:tr>
      <w:tr w14:paraId="3AF8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31" w:type="pct"/>
            <w:vAlign w:val="center"/>
          </w:tcPr>
          <w:p w14:paraId="23917052">
            <w:pPr>
              <w:pStyle w:val="24"/>
              <w:numPr>
                <w:ilvl w:val="0"/>
                <w:numId w:val="3"/>
              </w:numPr>
              <w:spacing w:line="360" w:lineRule="auto"/>
              <w:ind w:firstLineChars="0"/>
              <w:rPr>
                <w:rFonts w:hint="eastAsia" w:ascii="宋体" w:hAnsi="宋体" w:eastAsia="宋体" w:cs="宋体"/>
                <w:color w:val="auto"/>
                <w:sz w:val="24"/>
                <w:szCs w:val="32"/>
              </w:rPr>
            </w:pPr>
          </w:p>
        </w:tc>
        <w:tc>
          <w:tcPr>
            <w:tcW w:w="980" w:type="pct"/>
            <w:vAlign w:val="center"/>
          </w:tcPr>
          <w:p w14:paraId="1D8EC219">
            <w:pPr>
              <w:spacing w:line="360" w:lineRule="auto"/>
              <w:rPr>
                <w:rFonts w:hint="eastAsia" w:ascii="宋体" w:hAnsi="宋体" w:eastAsia="宋体" w:cs="宋体"/>
                <w:color w:val="auto"/>
              </w:rPr>
            </w:pPr>
            <w:r>
              <w:rPr>
                <w:rFonts w:hint="eastAsia" w:ascii="宋体" w:hAnsi="宋体" w:eastAsia="宋体" w:cs="宋体"/>
                <w:color w:val="auto"/>
              </w:rPr>
              <w:t>项目实施进度安排</w:t>
            </w:r>
          </w:p>
        </w:tc>
        <w:tc>
          <w:tcPr>
            <w:tcW w:w="3587" w:type="pct"/>
            <w:vAlign w:val="center"/>
          </w:tcPr>
          <w:p w14:paraId="08B8F76D">
            <w:pPr>
              <w:spacing w:line="360" w:lineRule="auto"/>
              <w:rPr>
                <w:rFonts w:hint="eastAsia" w:ascii="宋体" w:hAnsi="宋体" w:eastAsia="宋体" w:cs="宋体"/>
                <w:color w:val="auto"/>
              </w:rPr>
            </w:pPr>
            <w:r>
              <w:rPr>
                <w:rFonts w:hint="eastAsia" w:ascii="宋体" w:hAnsi="宋体" w:eastAsia="宋体" w:cs="宋体"/>
                <w:color w:val="auto"/>
              </w:rPr>
              <w:t>提供实施进度计划和控制措施，确保按期完成</w:t>
            </w:r>
          </w:p>
        </w:tc>
      </w:tr>
      <w:tr w14:paraId="5868B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31" w:type="pct"/>
            <w:vAlign w:val="center"/>
          </w:tcPr>
          <w:p w14:paraId="753ED64B">
            <w:pPr>
              <w:pStyle w:val="24"/>
              <w:numPr>
                <w:ilvl w:val="0"/>
                <w:numId w:val="3"/>
              </w:numPr>
              <w:spacing w:line="360" w:lineRule="auto"/>
              <w:ind w:firstLineChars="0"/>
              <w:rPr>
                <w:rFonts w:hint="eastAsia" w:ascii="宋体" w:hAnsi="宋体" w:eastAsia="宋体" w:cs="宋体"/>
                <w:color w:val="auto"/>
                <w:sz w:val="24"/>
                <w:szCs w:val="32"/>
              </w:rPr>
            </w:pPr>
          </w:p>
        </w:tc>
        <w:tc>
          <w:tcPr>
            <w:tcW w:w="980" w:type="pct"/>
            <w:vAlign w:val="center"/>
          </w:tcPr>
          <w:p w14:paraId="06AFFFCC">
            <w:pPr>
              <w:spacing w:line="360" w:lineRule="auto"/>
              <w:rPr>
                <w:rFonts w:hint="eastAsia" w:ascii="宋体" w:hAnsi="宋体" w:eastAsia="宋体" w:cs="宋体"/>
                <w:color w:val="auto"/>
              </w:rPr>
            </w:pPr>
            <w:r>
              <w:rPr>
                <w:rFonts w:hint="eastAsia" w:ascii="宋体" w:hAnsi="宋体" w:eastAsia="宋体" w:cs="宋体"/>
                <w:color w:val="auto"/>
              </w:rPr>
              <w:t>项目安装过程安排</w:t>
            </w:r>
          </w:p>
        </w:tc>
        <w:tc>
          <w:tcPr>
            <w:tcW w:w="3587" w:type="pct"/>
            <w:vAlign w:val="center"/>
          </w:tcPr>
          <w:p w14:paraId="28F4F506">
            <w:pPr>
              <w:spacing w:line="360" w:lineRule="auto"/>
              <w:rPr>
                <w:rFonts w:hint="eastAsia" w:ascii="宋体" w:hAnsi="宋体" w:eastAsia="宋体" w:cs="宋体"/>
                <w:color w:val="auto"/>
              </w:rPr>
            </w:pPr>
            <w:r>
              <w:rPr>
                <w:rFonts w:hint="eastAsia" w:ascii="宋体" w:hAnsi="宋体" w:eastAsia="宋体" w:cs="宋体"/>
                <w:color w:val="auto"/>
              </w:rPr>
              <w:t>提供项目服务整体方案，含服务技术能力和服务质量及服务保证措施。</w:t>
            </w:r>
          </w:p>
        </w:tc>
      </w:tr>
      <w:tr w14:paraId="4128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31" w:type="pct"/>
            <w:vAlign w:val="center"/>
          </w:tcPr>
          <w:p w14:paraId="4568927F">
            <w:pPr>
              <w:pStyle w:val="24"/>
              <w:numPr>
                <w:ilvl w:val="0"/>
                <w:numId w:val="3"/>
              </w:numPr>
              <w:spacing w:line="360" w:lineRule="auto"/>
              <w:ind w:firstLineChars="0"/>
              <w:rPr>
                <w:rFonts w:hint="eastAsia" w:ascii="宋体" w:hAnsi="宋体" w:eastAsia="宋体" w:cs="宋体"/>
                <w:color w:val="auto"/>
                <w:sz w:val="24"/>
                <w:szCs w:val="32"/>
              </w:rPr>
            </w:pPr>
          </w:p>
        </w:tc>
        <w:tc>
          <w:tcPr>
            <w:tcW w:w="980" w:type="pct"/>
            <w:vAlign w:val="center"/>
          </w:tcPr>
          <w:p w14:paraId="57C8F830">
            <w:pPr>
              <w:spacing w:line="360" w:lineRule="auto"/>
              <w:rPr>
                <w:rFonts w:hint="eastAsia" w:ascii="宋体" w:hAnsi="宋体" w:eastAsia="宋体" w:cs="宋体"/>
                <w:color w:val="auto"/>
              </w:rPr>
            </w:pPr>
            <w:r>
              <w:rPr>
                <w:rFonts w:hint="eastAsia" w:ascii="宋体" w:hAnsi="宋体" w:eastAsia="宋体" w:cs="宋体"/>
                <w:color w:val="auto"/>
              </w:rPr>
              <w:t>项目验收安排</w:t>
            </w:r>
          </w:p>
        </w:tc>
        <w:tc>
          <w:tcPr>
            <w:tcW w:w="3587" w:type="pct"/>
            <w:vAlign w:val="center"/>
          </w:tcPr>
          <w:p w14:paraId="53E63269">
            <w:pPr>
              <w:spacing w:line="360" w:lineRule="auto"/>
              <w:rPr>
                <w:rFonts w:hint="eastAsia" w:ascii="宋体" w:hAnsi="宋体" w:eastAsia="宋体" w:cs="宋体"/>
                <w:color w:val="auto"/>
              </w:rPr>
            </w:pPr>
            <w:r>
              <w:rPr>
                <w:rFonts w:hint="eastAsia" w:ascii="宋体" w:hAnsi="宋体" w:eastAsia="宋体" w:cs="宋体"/>
                <w:color w:val="auto"/>
              </w:rPr>
              <w:t>提供项目测试和验收方案，验收后项目文档交付方案。</w:t>
            </w:r>
          </w:p>
        </w:tc>
      </w:tr>
      <w:tr w14:paraId="2D45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31" w:type="pct"/>
            <w:vAlign w:val="center"/>
          </w:tcPr>
          <w:p w14:paraId="561A3888">
            <w:pPr>
              <w:pStyle w:val="24"/>
              <w:numPr>
                <w:ilvl w:val="0"/>
                <w:numId w:val="3"/>
              </w:numPr>
              <w:spacing w:line="360" w:lineRule="auto"/>
              <w:ind w:firstLineChars="0"/>
              <w:rPr>
                <w:rFonts w:hint="eastAsia" w:ascii="宋体" w:hAnsi="宋体" w:eastAsia="宋体" w:cs="宋体"/>
                <w:color w:val="auto"/>
                <w:sz w:val="24"/>
                <w:szCs w:val="32"/>
              </w:rPr>
            </w:pPr>
          </w:p>
        </w:tc>
        <w:tc>
          <w:tcPr>
            <w:tcW w:w="980" w:type="pct"/>
            <w:vAlign w:val="center"/>
          </w:tcPr>
          <w:p w14:paraId="46F7ACF2">
            <w:pPr>
              <w:spacing w:line="360" w:lineRule="auto"/>
              <w:rPr>
                <w:rFonts w:hint="eastAsia" w:ascii="宋体" w:hAnsi="宋体" w:eastAsia="宋体" w:cs="宋体"/>
                <w:color w:val="auto"/>
              </w:rPr>
            </w:pPr>
            <w:r>
              <w:rPr>
                <w:rFonts w:hint="eastAsia" w:ascii="宋体" w:hAnsi="宋体" w:eastAsia="宋体" w:cs="宋体"/>
                <w:color w:val="auto"/>
              </w:rPr>
              <w:t>项目培训安排</w:t>
            </w:r>
          </w:p>
        </w:tc>
        <w:tc>
          <w:tcPr>
            <w:tcW w:w="3587" w:type="pct"/>
            <w:vAlign w:val="center"/>
          </w:tcPr>
          <w:p w14:paraId="26B29D34">
            <w:pPr>
              <w:spacing w:line="360" w:lineRule="auto"/>
              <w:rPr>
                <w:rFonts w:hint="eastAsia" w:ascii="宋体" w:hAnsi="宋体" w:eastAsia="宋体" w:cs="宋体"/>
                <w:color w:val="auto"/>
              </w:rPr>
            </w:pPr>
            <w:r>
              <w:rPr>
                <w:rFonts w:hint="eastAsia" w:ascii="宋体" w:hAnsi="宋体" w:eastAsia="宋体" w:cs="宋体"/>
                <w:color w:val="auto"/>
              </w:rPr>
              <w:t>提供完善培训方案。</w:t>
            </w:r>
          </w:p>
        </w:tc>
      </w:tr>
    </w:tbl>
    <w:p w14:paraId="6038C961">
      <w:pPr>
        <w:rPr>
          <w:rFonts w:hint="eastAsia" w:ascii="宋体" w:hAnsi="宋体" w:eastAsia="宋体" w:cs="宋体"/>
          <w:color w:val="auto"/>
        </w:rPr>
      </w:pPr>
    </w:p>
    <w:p w14:paraId="7D926DB2">
      <w:pPr>
        <w:pStyle w:val="2"/>
        <w:bidi w:val="0"/>
        <w:rPr>
          <w:rFonts w:hint="eastAsia"/>
          <w:color w:val="auto"/>
        </w:rPr>
      </w:pPr>
      <w:r>
        <w:rPr>
          <w:rFonts w:hint="eastAsia"/>
          <w:color w:val="auto"/>
        </w:rPr>
        <w:t>集成技术及实施服务要求</w:t>
      </w:r>
    </w:p>
    <w:tbl>
      <w:tblPr>
        <w:tblStyle w:val="16"/>
        <w:tblW w:w="5000" w:type="pct"/>
        <w:tblInd w:w="0" w:type="dxa"/>
        <w:tblLayout w:type="autofit"/>
        <w:tblCellMar>
          <w:top w:w="0" w:type="dxa"/>
          <w:left w:w="108" w:type="dxa"/>
          <w:bottom w:w="0" w:type="dxa"/>
          <w:right w:w="108" w:type="dxa"/>
        </w:tblCellMar>
      </w:tblPr>
      <w:tblGrid>
        <w:gridCol w:w="1070"/>
        <w:gridCol w:w="7452"/>
      </w:tblGrid>
      <w:tr w14:paraId="5B334324">
        <w:tblPrEx>
          <w:tblCellMar>
            <w:top w:w="0" w:type="dxa"/>
            <w:left w:w="108" w:type="dxa"/>
            <w:bottom w:w="0" w:type="dxa"/>
            <w:right w:w="108" w:type="dxa"/>
          </w:tblCellMar>
        </w:tblPrEx>
        <w:tc>
          <w:tcPr>
            <w:tcW w:w="628" w:type="pct"/>
            <w:tcBorders>
              <w:top w:val="single" w:color="auto" w:sz="4" w:space="0"/>
              <w:left w:val="single" w:color="auto" w:sz="4" w:space="0"/>
              <w:bottom w:val="single" w:color="auto" w:sz="4" w:space="0"/>
              <w:right w:val="single" w:color="auto" w:sz="4" w:space="0"/>
            </w:tcBorders>
            <w:vAlign w:val="center"/>
          </w:tcPr>
          <w:p w14:paraId="75872F3C">
            <w:pPr>
              <w:snapToGrid w:val="0"/>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4371" w:type="pct"/>
            <w:tcBorders>
              <w:top w:val="single" w:color="auto" w:sz="4" w:space="0"/>
              <w:left w:val="single" w:color="auto" w:sz="4" w:space="0"/>
              <w:bottom w:val="single" w:color="auto" w:sz="4" w:space="0"/>
              <w:right w:val="single" w:color="auto" w:sz="4" w:space="0"/>
            </w:tcBorders>
            <w:vAlign w:val="center"/>
          </w:tcPr>
          <w:p w14:paraId="5E2C0E73">
            <w:pPr>
              <w:snapToGrid w:val="0"/>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服务要求</w:t>
            </w:r>
          </w:p>
        </w:tc>
      </w:tr>
      <w:tr w14:paraId="5FAFA68E">
        <w:tblPrEx>
          <w:tblCellMar>
            <w:top w:w="0" w:type="dxa"/>
            <w:left w:w="108" w:type="dxa"/>
            <w:bottom w:w="0" w:type="dxa"/>
            <w:right w:w="108" w:type="dxa"/>
          </w:tblCellMar>
        </w:tblPrEx>
        <w:trPr>
          <w:trHeight w:val="983" w:hRule="atLeast"/>
        </w:trPr>
        <w:tc>
          <w:tcPr>
            <w:tcW w:w="628" w:type="pct"/>
            <w:tcBorders>
              <w:top w:val="single" w:color="auto" w:sz="4" w:space="0"/>
              <w:left w:val="single" w:color="auto" w:sz="4" w:space="0"/>
              <w:bottom w:val="single" w:color="auto" w:sz="4" w:space="0"/>
              <w:right w:val="single" w:color="auto" w:sz="4" w:space="0"/>
            </w:tcBorders>
            <w:vAlign w:val="center"/>
          </w:tcPr>
          <w:p w14:paraId="58A3B576">
            <w:pPr>
              <w:numPr>
                <w:ilvl w:val="0"/>
                <w:numId w:val="4"/>
              </w:numPr>
              <w:spacing w:line="360" w:lineRule="auto"/>
              <w:jc w:val="center"/>
              <w:rPr>
                <w:rFonts w:hint="eastAsia" w:ascii="宋体" w:hAnsi="宋体" w:eastAsia="宋体" w:cs="宋体"/>
                <w:bCs/>
                <w:color w:val="auto"/>
                <w:szCs w:val="21"/>
              </w:rPr>
            </w:pPr>
          </w:p>
        </w:tc>
        <w:tc>
          <w:tcPr>
            <w:tcW w:w="4371" w:type="pct"/>
            <w:tcBorders>
              <w:top w:val="single" w:color="auto" w:sz="4" w:space="0"/>
              <w:left w:val="single" w:color="auto" w:sz="4" w:space="0"/>
              <w:bottom w:val="single" w:color="auto" w:sz="4" w:space="0"/>
              <w:right w:val="single" w:color="auto" w:sz="4" w:space="0"/>
            </w:tcBorders>
          </w:tcPr>
          <w:p w14:paraId="1B755399">
            <w:pPr>
              <w:spacing w:line="360" w:lineRule="auto"/>
              <w:rPr>
                <w:rFonts w:hint="eastAsia" w:ascii="宋体" w:hAnsi="宋体" w:eastAsia="宋体" w:cs="宋体"/>
                <w:color w:val="auto"/>
                <w:szCs w:val="21"/>
              </w:rPr>
            </w:pPr>
            <w:r>
              <w:rPr>
                <w:rFonts w:hint="eastAsia" w:ascii="宋体" w:hAnsi="宋体" w:eastAsia="宋体" w:cs="宋体"/>
                <w:color w:val="auto"/>
                <w:szCs w:val="21"/>
              </w:rPr>
              <w:t>(一)供应商须在院方支付合同首款后的30个工作日内向院方提交采购清单中的物品。</w:t>
            </w:r>
          </w:p>
          <w:p w14:paraId="7F14E55A">
            <w:pPr>
              <w:spacing w:line="360" w:lineRule="auto"/>
              <w:rPr>
                <w:rFonts w:hint="eastAsia" w:ascii="宋体" w:hAnsi="宋体" w:eastAsia="宋体" w:cs="宋体"/>
                <w:bCs/>
                <w:color w:val="auto"/>
                <w:szCs w:val="21"/>
              </w:rPr>
            </w:pPr>
            <w:r>
              <w:rPr>
                <w:rFonts w:hint="eastAsia" w:ascii="宋体" w:hAnsi="宋体" w:eastAsia="宋体" w:cs="宋体"/>
                <w:color w:val="auto"/>
                <w:szCs w:val="21"/>
              </w:rPr>
              <w:t>(二)交货日期以货物到达院方指定货运详细地址的日期为准。</w:t>
            </w:r>
          </w:p>
        </w:tc>
      </w:tr>
      <w:tr w14:paraId="2732AF84">
        <w:tblPrEx>
          <w:tblCellMar>
            <w:top w:w="0" w:type="dxa"/>
            <w:left w:w="108" w:type="dxa"/>
            <w:bottom w:w="0" w:type="dxa"/>
            <w:right w:w="108" w:type="dxa"/>
          </w:tblCellMar>
        </w:tblPrEx>
        <w:trPr>
          <w:trHeight w:val="983" w:hRule="atLeast"/>
        </w:trPr>
        <w:tc>
          <w:tcPr>
            <w:tcW w:w="628" w:type="pct"/>
            <w:tcBorders>
              <w:top w:val="single" w:color="auto" w:sz="4" w:space="0"/>
              <w:left w:val="single" w:color="auto" w:sz="4" w:space="0"/>
              <w:bottom w:val="single" w:color="auto" w:sz="4" w:space="0"/>
              <w:right w:val="single" w:color="auto" w:sz="4" w:space="0"/>
            </w:tcBorders>
            <w:vAlign w:val="center"/>
          </w:tcPr>
          <w:p w14:paraId="70956EF9">
            <w:pPr>
              <w:numPr>
                <w:ilvl w:val="0"/>
                <w:numId w:val="4"/>
              </w:numPr>
              <w:spacing w:line="360" w:lineRule="auto"/>
              <w:jc w:val="center"/>
              <w:rPr>
                <w:rFonts w:hint="eastAsia" w:ascii="宋体" w:hAnsi="宋体" w:eastAsia="宋体" w:cs="宋体"/>
                <w:bCs/>
                <w:color w:val="auto"/>
                <w:szCs w:val="21"/>
              </w:rPr>
            </w:pPr>
          </w:p>
        </w:tc>
        <w:tc>
          <w:tcPr>
            <w:tcW w:w="4371" w:type="pct"/>
            <w:tcBorders>
              <w:top w:val="single" w:color="auto" w:sz="4" w:space="0"/>
              <w:left w:val="single" w:color="auto" w:sz="4" w:space="0"/>
              <w:bottom w:val="single" w:color="auto" w:sz="4" w:space="0"/>
              <w:right w:val="single" w:color="auto" w:sz="4" w:space="0"/>
            </w:tcBorders>
          </w:tcPr>
          <w:p w14:paraId="2FCF3B0C">
            <w:pPr>
              <w:spacing w:line="360" w:lineRule="auto"/>
              <w:rPr>
                <w:rFonts w:hint="eastAsia" w:ascii="宋体" w:hAnsi="宋体" w:eastAsia="宋体" w:cs="宋体"/>
                <w:color w:val="auto"/>
              </w:rPr>
            </w:pPr>
            <w:r>
              <w:rPr>
                <w:rFonts w:hint="eastAsia" w:ascii="宋体" w:hAnsi="宋体" w:eastAsia="宋体" w:cs="宋体"/>
                <w:color w:val="auto"/>
              </w:rPr>
              <w:t>(一)供应商应按时将货物送至院方指定货运详细地址。</w:t>
            </w:r>
          </w:p>
          <w:p w14:paraId="3C19071D">
            <w:pPr>
              <w:spacing w:line="360" w:lineRule="auto"/>
              <w:rPr>
                <w:rFonts w:hint="eastAsia" w:ascii="宋体" w:hAnsi="宋体" w:eastAsia="宋体" w:cs="宋体"/>
                <w:color w:val="auto"/>
              </w:rPr>
            </w:pPr>
            <w:r>
              <w:rPr>
                <w:rFonts w:hint="eastAsia" w:ascii="宋体" w:hAnsi="宋体" w:eastAsia="宋体" w:cs="宋体"/>
                <w:color w:val="auto"/>
              </w:rPr>
              <w:t>(二)交货完成的有效证明：供应商送货人，必须随货物提交交货签收单给院方收货人，交货签收单必须有院方、供应商两方的签字方有效。</w:t>
            </w:r>
          </w:p>
        </w:tc>
      </w:tr>
      <w:tr w14:paraId="2FC16D30">
        <w:tblPrEx>
          <w:tblCellMar>
            <w:top w:w="0" w:type="dxa"/>
            <w:left w:w="108" w:type="dxa"/>
            <w:bottom w:w="0" w:type="dxa"/>
            <w:right w:w="108" w:type="dxa"/>
          </w:tblCellMar>
        </w:tblPrEx>
        <w:trPr>
          <w:trHeight w:val="1630" w:hRule="atLeast"/>
        </w:trPr>
        <w:tc>
          <w:tcPr>
            <w:tcW w:w="628" w:type="pct"/>
            <w:tcBorders>
              <w:top w:val="single" w:color="auto" w:sz="4" w:space="0"/>
              <w:left w:val="single" w:color="auto" w:sz="4" w:space="0"/>
              <w:bottom w:val="single" w:color="auto" w:sz="4" w:space="0"/>
              <w:right w:val="single" w:color="auto" w:sz="4" w:space="0"/>
            </w:tcBorders>
            <w:vAlign w:val="center"/>
          </w:tcPr>
          <w:p w14:paraId="5E841578">
            <w:pPr>
              <w:numPr>
                <w:ilvl w:val="0"/>
                <w:numId w:val="4"/>
              </w:numPr>
              <w:spacing w:line="360" w:lineRule="auto"/>
              <w:jc w:val="center"/>
              <w:rPr>
                <w:rFonts w:hint="eastAsia" w:ascii="宋体" w:hAnsi="宋体" w:eastAsia="宋体" w:cs="宋体"/>
                <w:bCs/>
                <w:color w:val="auto"/>
                <w:szCs w:val="21"/>
              </w:rPr>
            </w:pPr>
          </w:p>
        </w:tc>
        <w:tc>
          <w:tcPr>
            <w:tcW w:w="4371" w:type="pct"/>
            <w:tcBorders>
              <w:top w:val="single" w:color="auto" w:sz="4" w:space="0"/>
              <w:left w:val="single" w:color="auto" w:sz="4" w:space="0"/>
              <w:bottom w:val="single" w:color="auto" w:sz="4" w:space="0"/>
              <w:right w:val="single" w:color="auto" w:sz="4" w:space="0"/>
            </w:tcBorders>
          </w:tcPr>
          <w:p w14:paraId="0C38977B">
            <w:pPr>
              <w:spacing w:line="360" w:lineRule="auto"/>
              <w:rPr>
                <w:rFonts w:hint="eastAsia" w:ascii="宋体" w:hAnsi="宋体" w:eastAsia="宋体" w:cs="宋体"/>
                <w:color w:val="auto"/>
              </w:rPr>
            </w:pPr>
            <w:r>
              <w:rPr>
                <w:rFonts w:hint="eastAsia" w:ascii="宋体" w:hAnsi="宋体" w:eastAsia="宋体" w:cs="宋体"/>
                <w:color w:val="auto"/>
              </w:rPr>
              <w:t>(一)供应商负责合同内设备的安装调试。</w:t>
            </w:r>
          </w:p>
          <w:p w14:paraId="7217F8F6">
            <w:pPr>
              <w:spacing w:line="360" w:lineRule="auto"/>
              <w:rPr>
                <w:rFonts w:hint="eastAsia" w:ascii="宋体" w:hAnsi="宋体" w:eastAsia="宋体" w:cs="宋体"/>
                <w:color w:val="auto"/>
              </w:rPr>
            </w:pPr>
            <w:r>
              <w:rPr>
                <w:rFonts w:hint="eastAsia" w:ascii="宋体" w:hAnsi="宋体" w:eastAsia="宋体" w:cs="宋体"/>
                <w:color w:val="auto"/>
              </w:rPr>
              <w:t>(二)供应商应按院方指定的安装日期、安装要求进行安装工作。</w:t>
            </w:r>
          </w:p>
          <w:p w14:paraId="1CB6E6D0">
            <w:pPr>
              <w:spacing w:line="360" w:lineRule="auto"/>
              <w:rPr>
                <w:rFonts w:hint="eastAsia" w:ascii="宋体" w:hAnsi="宋体" w:eastAsia="宋体" w:cs="宋体"/>
                <w:b/>
                <w:bCs/>
                <w:color w:val="auto"/>
              </w:rPr>
            </w:pPr>
            <w:r>
              <w:rPr>
                <w:rFonts w:hint="eastAsia" w:ascii="宋体" w:hAnsi="宋体" w:eastAsia="宋体" w:cs="宋体"/>
                <w:color w:val="auto"/>
              </w:rPr>
              <w:t>(三)供应商需根据院方的详细需求，提交项目产品的安装、调试及培训实施方案，方案得到院方确认后实施，保证系统按时、正常地投入运行。</w:t>
            </w:r>
          </w:p>
        </w:tc>
      </w:tr>
      <w:tr w14:paraId="3FFACD34">
        <w:tblPrEx>
          <w:tblCellMar>
            <w:top w:w="0" w:type="dxa"/>
            <w:left w:w="108" w:type="dxa"/>
            <w:bottom w:w="0" w:type="dxa"/>
            <w:right w:w="108" w:type="dxa"/>
          </w:tblCellMar>
        </w:tblPrEx>
        <w:trPr>
          <w:trHeight w:val="983" w:hRule="atLeast"/>
        </w:trPr>
        <w:tc>
          <w:tcPr>
            <w:tcW w:w="628" w:type="pct"/>
            <w:tcBorders>
              <w:top w:val="single" w:color="auto" w:sz="4" w:space="0"/>
              <w:left w:val="single" w:color="auto" w:sz="4" w:space="0"/>
              <w:bottom w:val="single" w:color="auto" w:sz="4" w:space="0"/>
              <w:right w:val="single" w:color="auto" w:sz="4" w:space="0"/>
            </w:tcBorders>
            <w:vAlign w:val="center"/>
          </w:tcPr>
          <w:p w14:paraId="2A86AA0C">
            <w:pPr>
              <w:numPr>
                <w:ilvl w:val="0"/>
                <w:numId w:val="4"/>
              </w:numPr>
              <w:spacing w:line="360" w:lineRule="auto"/>
              <w:jc w:val="center"/>
              <w:rPr>
                <w:rFonts w:hint="eastAsia" w:ascii="宋体" w:hAnsi="宋体" w:eastAsia="宋体" w:cs="宋体"/>
                <w:bCs/>
                <w:color w:val="auto"/>
                <w:szCs w:val="21"/>
              </w:rPr>
            </w:pPr>
          </w:p>
        </w:tc>
        <w:tc>
          <w:tcPr>
            <w:tcW w:w="4371" w:type="pct"/>
            <w:tcBorders>
              <w:top w:val="single" w:color="auto" w:sz="4" w:space="0"/>
              <w:left w:val="single" w:color="auto" w:sz="4" w:space="0"/>
              <w:bottom w:val="single" w:color="auto" w:sz="4" w:space="0"/>
              <w:right w:val="single" w:color="auto" w:sz="4" w:space="0"/>
            </w:tcBorders>
          </w:tcPr>
          <w:p w14:paraId="0B365F83">
            <w:pPr>
              <w:spacing w:line="360" w:lineRule="auto"/>
              <w:rPr>
                <w:rFonts w:hint="eastAsia" w:ascii="宋体" w:hAnsi="宋体" w:eastAsia="宋体" w:cs="宋体"/>
                <w:color w:val="auto"/>
              </w:rPr>
            </w:pPr>
            <w:r>
              <w:rPr>
                <w:rFonts w:hint="eastAsia" w:ascii="宋体" w:hAnsi="宋体" w:eastAsia="宋体" w:cs="宋体"/>
                <w:color w:val="auto"/>
              </w:rPr>
              <w:t>供应商需承诺根据院方技术需求提供不低于本次采购设备配置的备机，供应商报价时应充分考虑，院方在合同金额之外不再另行支付任何费用。</w:t>
            </w:r>
          </w:p>
        </w:tc>
      </w:tr>
      <w:tr w14:paraId="12AA4E89">
        <w:tblPrEx>
          <w:tblCellMar>
            <w:top w:w="0" w:type="dxa"/>
            <w:left w:w="108" w:type="dxa"/>
            <w:bottom w:w="0" w:type="dxa"/>
            <w:right w:w="108" w:type="dxa"/>
          </w:tblCellMar>
        </w:tblPrEx>
        <w:trPr>
          <w:trHeight w:val="522" w:hRule="atLeast"/>
        </w:trPr>
        <w:tc>
          <w:tcPr>
            <w:tcW w:w="628" w:type="pct"/>
            <w:tcBorders>
              <w:top w:val="single" w:color="auto" w:sz="4" w:space="0"/>
              <w:left w:val="single" w:color="auto" w:sz="4" w:space="0"/>
              <w:bottom w:val="single" w:color="auto" w:sz="4" w:space="0"/>
              <w:right w:val="single" w:color="auto" w:sz="4" w:space="0"/>
            </w:tcBorders>
            <w:vAlign w:val="center"/>
          </w:tcPr>
          <w:p w14:paraId="139F089A">
            <w:pPr>
              <w:numPr>
                <w:ilvl w:val="0"/>
                <w:numId w:val="4"/>
              </w:numPr>
              <w:spacing w:line="360" w:lineRule="auto"/>
              <w:jc w:val="center"/>
              <w:rPr>
                <w:rFonts w:hint="eastAsia" w:ascii="宋体" w:hAnsi="宋体" w:eastAsia="宋体" w:cs="宋体"/>
                <w:bCs/>
                <w:color w:val="auto"/>
                <w:szCs w:val="21"/>
              </w:rPr>
            </w:pPr>
          </w:p>
        </w:tc>
        <w:tc>
          <w:tcPr>
            <w:tcW w:w="4371" w:type="pct"/>
            <w:tcBorders>
              <w:top w:val="single" w:color="auto" w:sz="4" w:space="0"/>
              <w:left w:val="single" w:color="auto" w:sz="4" w:space="0"/>
              <w:bottom w:val="single" w:color="auto" w:sz="4" w:space="0"/>
              <w:right w:val="single" w:color="auto" w:sz="4" w:space="0"/>
            </w:tcBorders>
          </w:tcPr>
          <w:p w14:paraId="4625DDB1">
            <w:pPr>
              <w:spacing w:line="360" w:lineRule="auto"/>
              <w:rPr>
                <w:rFonts w:hint="default" w:ascii="宋体" w:hAnsi="宋体" w:eastAsia="宋体" w:cs="宋体"/>
                <w:color w:val="auto"/>
                <w:lang w:val="en-US" w:eastAsia="zh-CN"/>
              </w:rPr>
            </w:pPr>
            <w:r>
              <w:rPr>
                <w:rFonts w:hint="eastAsia" w:cs="宋体"/>
                <w:color w:val="auto"/>
                <w:lang w:val="en-US" w:eastAsia="zh-CN"/>
              </w:rPr>
              <w:t>供应商需根据院方现场环境情况，提供系统集成与实施服务，服务内容应包括：</w:t>
            </w:r>
          </w:p>
          <w:p w14:paraId="444DCC41">
            <w:pPr>
              <w:numPr>
                <w:ilvl w:val="0"/>
                <w:numId w:val="5"/>
              </w:numPr>
              <w:spacing w:line="360" w:lineRule="auto"/>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shd w:val="clear" w:fill="FFFFFF"/>
              </w:rPr>
              <w:t>根据</w:t>
            </w:r>
            <w:r>
              <w:rPr>
                <w:rFonts w:hint="eastAsia" w:ascii="宋体" w:hAnsi="宋体" w:eastAsia="宋体" w:cs="宋体"/>
                <w:i w:val="0"/>
                <w:iCs w:val="0"/>
                <w:caps w:val="0"/>
                <w:color w:val="auto"/>
                <w:spacing w:val="0"/>
                <w:sz w:val="24"/>
                <w:szCs w:val="24"/>
                <w:shd w:val="clear" w:fill="FFFFFF"/>
                <w:lang w:val="en-US" w:eastAsia="zh-CN"/>
              </w:rPr>
              <w:t>院方科研项目数据规模、数据类型及可靠性要求进行存储空间规划，完成NAS安装、初始化及配置</w:t>
            </w:r>
            <w:r>
              <w:rPr>
                <w:color w:val="auto"/>
              </w:rPr>
              <w:t>RAID 5/6并配置热备盘</w:t>
            </w:r>
            <w:r>
              <w:rPr>
                <w:rFonts w:hint="eastAsia" w:cs="宋体"/>
                <w:i w:val="0"/>
                <w:iCs w:val="0"/>
                <w:caps w:val="0"/>
                <w:color w:val="auto"/>
                <w:spacing w:val="0"/>
                <w:sz w:val="24"/>
                <w:szCs w:val="24"/>
                <w:shd w:val="clear" w:fill="FFFFFF"/>
                <w:lang w:val="en-US" w:eastAsia="zh-CN"/>
              </w:rPr>
              <w:t>；</w:t>
            </w:r>
          </w:p>
          <w:p w14:paraId="6F9EF477">
            <w:pPr>
              <w:numPr>
                <w:ilvl w:val="0"/>
                <w:numId w:val="0"/>
              </w:numPr>
              <w:spacing w:line="360" w:lineRule="auto"/>
              <w:rPr>
                <w:rFonts w:hint="eastAsia" w:cs="宋体"/>
                <w:i w:val="0"/>
                <w:iCs w:val="0"/>
                <w:caps w:val="0"/>
                <w:color w:val="auto"/>
                <w:spacing w:val="0"/>
                <w:sz w:val="24"/>
                <w:szCs w:val="24"/>
                <w:shd w:val="clear" w:fill="FFFFFF"/>
                <w:lang w:val="en-US" w:eastAsia="zh-CN"/>
              </w:rPr>
            </w:pPr>
            <w:r>
              <w:rPr>
                <w:rFonts w:hint="eastAsia" w:cs="宋体"/>
                <w:i w:val="0"/>
                <w:iCs w:val="0"/>
                <w:caps w:val="0"/>
                <w:color w:val="auto"/>
                <w:spacing w:val="0"/>
                <w:sz w:val="24"/>
                <w:szCs w:val="24"/>
                <w:shd w:val="clear" w:fill="FFFFFF"/>
                <w:lang w:val="en-US" w:eastAsia="zh-CN"/>
              </w:rPr>
              <w:t>（2）完成共享文件夹规划与创建，按照采购人部门或业务类型划分存储空间，设置相应的容量配额。</w:t>
            </w:r>
          </w:p>
          <w:p w14:paraId="59D5AE00">
            <w:pPr>
              <w:spacing w:line="360" w:lineRule="auto"/>
              <w:rPr>
                <w:rFonts w:hint="eastAsia" w:cs="宋体"/>
                <w:i w:val="0"/>
                <w:iCs w:val="0"/>
                <w:caps w:val="0"/>
                <w:color w:val="auto"/>
                <w:spacing w:val="0"/>
                <w:sz w:val="24"/>
                <w:szCs w:val="24"/>
                <w:shd w:val="clear" w:fill="FFFFFF"/>
                <w:lang w:val="en-US" w:eastAsia="zh-CN"/>
              </w:rPr>
            </w:pPr>
            <w:r>
              <w:rPr>
                <w:rFonts w:hint="eastAsia" w:cs="宋体"/>
                <w:i w:val="0"/>
                <w:iCs w:val="0"/>
                <w:caps w:val="0"/>
                <w:color w:val="auto"/>
                <w:spacing w:val="0"/>
                <w:sz w:val="24"/>
                <w:szCs w:val="24"/>
                <w:shd w:val="clear" w:fill="FFFFFF"/>
                <w:lang w:val="en-US" w:eastAsia="zh-CN"/>
              </w:rPr>
              <w:t>（3）完成2个网口的链路聚合配置，实现带宽叠加与链路冗余，</w:t>
            </w:r>
            <w:r>
              <w:rPr>
                <w:rFonts w:hint="eastAsia" w:cs="宋体"/>
                <w:color w:val="auto"/>
                <w:lang w:eastAsia="zh-CN"/>
              </w:rPr>
              <w:t>并根据现有网络环境进行科研数据上传、下载及并发访问测试；</w:t>
            </w:r>
          </w:p>
          <w:p w14:paraId="4CA61316">
            <w:pPr>
              <w:spacing w:line="360" w:lineRule="auto"/>
              <w:rPr>
                <w:rFonts w:hint="eastAsia" w:cs="宋体"/>
                <w:i w:val="0"/>
                <w:iCs w:val="0"/>
                <w:caps w:val="0"/>
                <w:color w:val="auto"/>
                <w:spacing w:val="0"/>
                <w:sz w:val="24"/>
                <w:szCs w:val="24"/>
                <w:shd w:val="clear" w:fill="FFFFFF"/>
                <w:lang w:val="en-US" w:eastAsia="zh-CN"/>
              </w:rPr>
            </w:pPr>
            <w:r>
              <w:rPr>
                <w:rFonts w:hint="eastAsia" w:cs="宋体"/>
                <w:i w:val="0"/>
                <w:iCs w:val="0"/>
                <w:caps w:val="0"/>
                <w:color w:val="auto"/>
                <w:spacing w:val="0"/>
                <w:sz w:val="24"/>
                <w:szCs w:val="24"/>
                <w:shd w:val="clear" w:fill="FFFFFF"/>
                <w:lang w:val="en-US" w:eastAsia="zh-CN"/>
              </w:rPr>
              <w:t>（4）配置静态IP或DHCP保留地址，确保NAS网络地址稳定可管理，根据</w:t>
            </w:r>
            <w:r>
              <w:rPr>
                <w:rFonts w:hint="eastAsia" w:ascii="宋体" w:hAnsi="宋体" w:eastAsia="宋体" w:cs="宋体"/>
                <w:i w:val="0"/>
                <w:iCs w:val="0"/>
                <w:caps w:val="0"/>
                <w:color w:val="auto"/>
                <w:spacing w:val="0"/>
                <w:sz w:val="24"/>
                <w:szCs w:val="24"/>
                <w:shd w:val="clear" w:fill="FFFFFF"/>
                <w:lang w:val="en-US" w:eastAsia="zh-CN"/>
              </w:rPr>
              <w:t>院方</w:t>
            </w:r>
            <w:r>
              <w:rPr>
                <w:rFonts w:hint="eastAsia" w:cs="宋体"/>
                <w:i w:val="0"/>
                <w:iCs w:val="0"/>
                <w:caps w:val="0"/>
                <w:color w:val="auto"/>
                <w:spacing w:val="0"/>
                <w:sz w:val="24"/>
                <w:szCs w:val="24"/>
                <w:shd w:val="clear" w:fill="FFFFFF"/>
                <w:lang w:val="en-US" w:eastAsia="zh-CN"/>
              </w:rPr>
              <w:t>网络安全策略，完成防火墙规则和访问控制列表（ACL）配置。</w:t>
            </w:r>
          </w:p>
          <w:p w14:paraId="093D8740">
            <w:pPr>
              <w:spacing w:line="360" w:lineRule="auto"/>
              <w:rPr>
                <w:rFonts w:hint="eastAsia" w:ascii="宋体" w:hAnsi="宋体" w:eastAsia="宋体" w:cs="宋体"/>
                <w:color w:val="auto"/>
              </w:rPr>
            </w:pPr>
            <w:r>
              <w:rPr>
                <w:rFonts w:hint="eastAsia" w:cs="宋体"/>
                <w:i w:val="0"/>
                <w:iCs w:val="0"/>
                <w:caps w:val="0"/>
                <w:color w:val="auto"/>
                <w:spacing w:val="0"/>
                <w:sz w:val="24"/>
                <w:szCs w:val="24"/>
                <w:shd w:val="clear" w:fill="FFFFFF"/>
                <w:lang w:val="en-US" w:eastAsia="zh-CN"/>
              </w:rPr>
              <w:t>（5）将NAS接入现有局域网，确保现有服务器/客户端可访问NAS存储。</w:t>
            </w:r>
            <w:r>
              <w:rPr>
                <w:rFonts w:hint="eastAsia" w:cs="宋体"/>
                <w:color w:val="auto"/>
                <w:lang w:val="en-US" w:eastAsia="zh-CN"/>
              </w:rPr>
              <w:t>并</w:t>
            </w:r>
            <w:r>
              <w:rPr>
                <w:rFonts w:hint="eastAsia" w:ascii="宋体" w:hAnsi="宋体" w:eastAsia="宋体" w:cs="宋体"/>
                <w:color w:val="auto"/>
              </w:rPr>
              <w:t>纳入现有认证体系，实现统一身份认证。</w:t>
            </w:r>
          </w:p>
          <w:p w14:paraId="45FE7BDD">
            <w:pPr>
              <w:spacing w:line="360" w:lineRule="auto"/>
              <w:rPr>
                <w:rFonts w:hint="eastAsia" w:ascii="宋体" w:hAnsi="宋体" w:eastAsia="宋体" w:cs="宋体"/>
                <w:color w:val="auto"/>
              </w:rPr>
            </w:pPr>
            <w:r>
              <w:rPr>
                <w:rFonts w:hint="eastAsia" w:ascii="宋体" w:hAnsi="宋体" w:eastAsia="宋体" w:cs="宋体"/>
                <w:color w:val="auto"/>
                <w:lang w:eastAsia="zh-CN"/>
              </w:rPr>
              <w:t>（</w:t>
            </w:r>
            <w:r>
              <w:rPr>
                <w:rFonts w:hint="eastAsia" w:cs="宋体"/>
                <w:color w:val="auto"/>
                <w:lang w:val="en-US" w:eastAsia="zh-CN"/>
              </w:rPr>
              <w:t>6</w:t>
            </w:r>
            <w:r>
              <w:rPr>
                <w:rFonts w:hint="eastAsia" w:ascii="宋体" w:hAnsi="宋体" w:eastAsia="宋体" w:cs="宋体"/>
                <w:color w:val="auto"/>
                <w:lang w:eastAsia="zh-CN"/>
              </w:rPr>
              <w:t>）</w:t>
            </w:r>
            <w:r>
              <w:rPr>
                <w:rFonts w:hint="eastAsia" w:ascii="宋体" w:hAnsi="宋体" w:eastAsia="宋体" w:cs="宋体"/>
                <w:color w:val="auto"/>
              </w:rPr>
              <w:t>配置NAS与现有备份系统的对接，如用户存在原有科研数据，提供数据迁移及完整性检查服务，确保迁移前后数据完整、可正常访问</w:t>
            </w:r>
            <w:r>
              <w:rPr>
                <w:rFonts w:hint="eastAsia" w:cs="宋体"/>
                <w:color w:val="auto"/>
                <w:lang w:eastAsia="zh-CN"/>
              </w:rPr>
              <w:t>，</w:t>
            </w:r>
            <w:r>
              <w:rPr>
                <w:rFonts w:hint="eastAsia" w:ascii="宋体" w:hAnsi="宋体" w:eastAsia="宋体" w:cs="宋体"/>
                <w:color w:val="auto"/>
              </w:rPr>
              <w:t>确保关键数据可通过网络备份方式纳入现有备份策略。</w:t>
            </w:r>
          </w:p>
          <w:p w14:paraId="4B39413C">
            <w:pPr>
              <w:spacing w:line="360" w:lineRule="auto"/>
              <w:rPr>
                <w:rFonts w:hint="eastAsia" w:cs="宋体"/>
                <w:color w:val="auto"/>
                <w:lang w:eastAsia="zh-CN"/>
              </w:rPr>
            </w:pPr>
            <w:r>
              <w:rPr>
                <w:rFonts w:hint="eastAsia" w:ascii="宋体" w:hAnsi="宋体" w:eastAsia="宋体" w:cs="宋体"/>
                <w:color w:val="auto"/>
                <w:lang w:eastAsia="zh-CN"/>
              </w:rPr>
              <w:t>（</w:t>
            </w:r>
            <w:r>
              <w:rPr>
                <w:rFonts w:hint="eastAsia" w:cs="宋体"/>
                <w:color w:val="auto"/>
                <w:lang w:val="en-US" w:eastAsia="zh-CN"/>
              </w:rPr>
              <w:t>7</w:t>
            </w:r>
            <w:r>
              <w:rPr>
                <w:rFonts w:hint="eastAsia" w:ascii="宋体" w:hAnsi="宋体" w:eastAsia="宋体" w:cs="宋体"/>
                <w:color w:val="auto"/>
                <w:lang w:eastAsia="zh-CN"/>
              </w:rPr>
              <w:t>）配置系统日志记录与审计策略，确保关键操作可追溯</w:t>
            </w:r>
            <w:r>
              <w:rPr>
                <w:rFonts w:hint="eastAsia" w:cs="宋体"/>
                <w:color w:val="auto"/>
                <w:lang w:eastAsia="zh-CN"/>
              </w:rPr>
              <w:t>；</w:t>
            </w:r>
          </w:p>
          <w:p w14:paraId="22C52B56">
            <w:pPr>
              <w:spacing w:line="360" w:lineRule="auto"/>
              <w:rPr>
                <w:rFonts w:hint="eastAsia" w:cs="宋体"/>
                <w:color w:val="auto"/>
                <w:lang w:val="en-US" w:eastAsia="zh-CN"/>
              </w:rPr>
            </w:pPr>
            <w:r>
              <w:rPr>
                <w:rFonts w:hint="eastAsia" w:cs="宋体"/>
                <w:color w:val="auto"/>
                <w:lang w:val="en-US" w:eastAsia="zh-CN"/>
              </w:rPr>
              <w:t>（8）提供不少于3年技术支持服务，服务期内发生硬盘、RAID、共享访问、容量及系统异常时，提供远程技术支持，必要时提供现场技术支持。</w:t>
            </w:r>
          </w:p>
        </w:tc>
      </w:tr>
    </w:tbl>
    <w:p w14:paraId="0CDF7DE2">
      <w:pPr>
        <w:rPr>
          <w:rFonts w:hint="eastAsia" w:ascii="宋体" w:hAnsi="宋体" w:eastAsia="宋体" w:cs="宋体"/>
          <w:color w:val="auto"/>
        </w:rPr>
      </w:pPr>
    </w:p>
    <w:p w14:paraId="79E4934E">
      <w:pPr>
        <w:pStyle w:val="2"/>
        <w:bidi w:val="0"/>
        <w:rPr>
          <w:rFonts w:hint="eastAsia"/>
          <w:color w:val="auto"/>
        </w:rPr>
      </w:pPr>
      <w:r>
        <w:rPr>
          <w:rFonts w:hint="eastAsia"/>
          <w:color w:val="auto"/>
        </w:rPr>
        <w:t>保修要求</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1747"/>
        <w:gridCol w:w="5906"/>
      </w:tblGrid>
      <w:tr w14:paraId="2AE0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510" w:type="pct"/>
            <w:shd w:val="clear" w:color="auto" w:fill="auto"/>
            <w:vAlign w:val="center"/>
          </w:tcPr>
          <w:p w14:paraId="50F41B82">
            <w:pPr>
              <w:snapToGrid w:val="0"/>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025" w:type="pct"/>
            <w:shd w:val="clear" w:color="auto" w:fill="auto"/>
            <w:vAlign w:val="center"/>
          </w:tcPr>
          <w:p w14:paraId="3FD033F3">
            <w:pPr>
              <w:snapToGrid w:val="0"/>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内容</w:t>
            </w:r>
          </w:p>
        </w:tc>
        <w:tc>
          <w:tcPr>
            <w:tcW w:w="3465" w:type="pct"/>
            <w:shd w:val="clear" w:color="auto" w:fill="auto"/>
            <w:vAlign w:val="center"/>
          </w:tcPr>
          <w:p w14:paraId="3165D66F">
            <w:pPr>
              <w:snapToGrid w:val="0"/>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服务要求标准</w:t>
            </w:r>
          </w:p>
        </w:tc>
      </w:tr>
      <w:tr w14:paraId="3A7B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510" w:type="pct"/>
            <w:vAlign w:val="center"/>
          </w:tcPr>
          <w:p w14:paraId="72A0A2EA">
            <w:pPr>
              <w:numPr>
                <w:ilvl w:val="0"/>
                <w:numId w:val="6"/>
              </w:numPr>
              <w:spacing w:line="360" w:lineRule="auto"/>
              <w:jc w:val="center"/>
              <w:rPr>
                <w:rFonts w:hint="eastAsia" w:ascii="宋体" w:hAnsi="宋体" w:eastAsia="宋体" w:cs="宋体"/>
                <w:color w:val="auto"/>
                <w:szCs w:val="21"/>
              </w:rPr>
            </w:pPr>
          </w:p>
        </w:tc>
        <w:tc>
          <w:tcPr>
            <w:tcW w:w="1025" w:type="pct"/>
            <w:vAlign w:val="center"/>
          </w:tcPr>
          <w:p w14:paraId="1796F1CE">
            <w:pPr>
              <w:spacing w:line="360" w:lineRule="auto"/>
              <w:rPr>
                <w:rFonts w:hint="eastAsia" w:ascii="宋体" w:hAnsi="宋体" w:eastAsia="宋体" w:cs="宋体"/>
                <w:color w:val="auto"/>
                <w:szCs w:val="21"/>
              </w:rPr>
            </w:pPr>
            <w:r>
              <w:rPr>
                <w:rFonts w:hint="eastAsia" w:ascii="宋体" w:hAnsi="宋体" w:eastAsia="宋体" w:cs="宋体"/>
                <w:color w:val="auto"/>
                <w:szCs w:val="21"/>
              </w:rPr>
              <w:t>供应商售后服务承诺函</w:t>
            </w:r>
          </w:p>
        </w:tc>
        <w:tc>
          <w:tcPr>
            <w:tcW w:w="3465" w:type="pct"/>
            <w:vAlign w:val="center"/>
          </w:tcPr>
          <w:p w14:paraId="14C73CFC">
            <w:pPr>
              <w:spacing w:line="360" w:lineRule="auto"/>
              <w:rPr>
                <w:rFonts w:hint="eastAsia" w:ascii="宋体" w:hAnsi="宋体" w:eastAsia="宋体" w:cs="宋体"/>
                <w:color w:val="auto"/>
                <w:szCs w:val="21"/>
              </w:rPr>
            </w:pPr>
            <w:r>
              <w:rPr>
                <w:rFonts w:hint="eastAsia" w:ascii="宋体" w:hAnsi="宋体" w:eastAsia="宋体" w:cs="宋体"/>
                <w:color w:val="auto"/>
                <w:szCs w:val="21"/>
              </w:rPr>
              <w:t>供应商需承诺提供原厂商</w:t>
            </w:r>
            <w:r>
              <w:rPr>
                <w:rFonts w:hint="eastAsia" w:cs="宋体"/>
                <w:color w:val="auto"/>
                <w:szCs w:val="21"/>
                <w:lang w:val="en-US" w:eastAsia="zh-CN"/>
              </w:rPr>
              <w:t>3年</w:t>
            </w:r>
            <w:r>
              <w:rPr>
                <w:rFonts w:hint="eastAsia" w:ascii="宋体" w:hAnsi="宋体" w:eastAsia="宋体" w:cs="宋体"/>
                <w:color w:val="auto"/>
                <w:szCs w:val="21"/>
              </w:rPr>
              <w:t>保修服务。</w:t>
            </w:r>
          </w:p>
        </w:tc>
      </w:tr>
      <w:tr w14:paraId="6B42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510" w:type="pct"/>
            <w:vAlign w:val="center"/>
          </w:tcPr>
          <w:p w14:paraId="29E5FF64">
            <w:pPr>
              <w:numPr>
                <w:ilvl w:val="0"/>
                <w:numId w:val="6"/>
              </w:numPr>
              <w:spacing w:line="360" w:lineRule="auto"/>
              <w:jc w:val="center"/>
              <w:rPr>
                <w:rFonts w:hint="eastAsia" w:ascii="宋体" w:hAnsi="宋体" w:eastAsia="宋体" w:cs="宋体"/>
                <w:color w:val="auto"/>
                <w:szCs w:val="21"/>
              </w:rPr>
            </w:pPr>
          </w:p>
        </w:tc>
        <w:tc>
          <w:tcPr>
            <w:tcW w:w="1025" w:type="pct"/>
            <w:vAlign w:val="center"/>
          </w:tcPr>
          <w:p w14:paraId="77836874">
            <w:pPr>
              <w:spacing w:line="360" w:lineRule="auto"/>
              <w:rPr>
                <w:rFonts w:hint="eastAsia" w:ascii="宋体" w:hAnsi="宋体" w:eastAsia="宋体" w:cs="宋体"/>
                <w:color w:val="auto"/>
                <w:szCs w:val="21"/>
              </w:rPr>
            </w:pPr>
            <w:r>
              <w:rPr>
                <w:rFonts w:hint="eastAsia" w:ascii="宋体" w:hAnsi="宋体" w:eastAsia="宋体" w:cs="宋体"/>
                <w:color w:val="auto"/>
                <w:szCs w:val="21"/>
              </w:rPr>
              <w:t>供应商服务标准</w:t>
            </w:r>
          </w:p>
        </w:tc>
        <w:tc>
          <w:tcPr>
            <w:tcW w:w="3465" w:type="pct"/>
            <w:vAlign w:val="center"/>
          </w:tcPr>
          <w:p w14:paraId="074B3523">
            <w:pPr>
              <w:spacing w:line="360" w:lineRule="auto"/>
              <w:rPr>
                <w:rFonts w:hint="eastAsia" w:ascii="宋体" w:hAnsi="宋体" w:eastAsia="宋体" w:cs="宋体"/>
                <w:color w:val="auto"/>
                <w:szCs w:val="21"/>
              </w:rPr>
            </w:pPr>
            <w:r>
              <w:rPr>
                <w:rFonts w:hint="eastAsia" w:ascii="宋体" w:hAnsi="宋体" w:eastAsia="宋体" w:cs="宋体"/>
                <w:color w:val="auto"/>
                <w:szCs w:val="21"/>
              </w:rPr>
              <w:t>供应商需承诺报修后4小时内</w:t>
            </w:r>
            <w:r>
              <w:rPr>
                <w:rFonts w:hint="eastAsia" w:cs="宋体"/>
                <w:color w:val="auto"/>
                <w:szCs w:val="21"/>
                <w:lang w:val="en-US" w:eastAsia="zh-CN"/>
              </w:rPr>
              <w:t>到达</w:t>
            </w:r>
            <w:r>
              <w:rPr>
                <w:rFonts w:hint="eastAsia" w:ascii="宋体" w:hAnsi="宋体" w:eastAsia="宋体" w:cs="宋体"/>
                <w:color w:val="auto"/>
                <w:szCs w:val="21"/>
              </w:rPr>
              <w:t>现场、12小时内排除故障。</w:t>
            </w:r>
          </w:p>
        </w:tc>
      </w:tr>
      <w:tr w14:paraId="185C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510" w:type="pct"/>
            <w:vAlign w:val="center"/>
          </w:tcPr>
          <w:p w14:paraId="65623417">
            <w:pPr>
              <w:numPr>
                <w:ilvl w:val="0"/>
                <w:numId w:val="6"/>
              </w:numPr>
              <w:spacing w:line="360" w:lineRule="auto"/>
              <w:jc w:val="center"/>
              <w:rPr>
                <w:rFonts w:hint="eastAsia" w:ascii="宋体" w:hAnsi="宋体" w:eastAsia="宋体" w:cs="宋体"/>
                <w:color w:val="auto"/>
                <w:szCs w:val="21"/>
              </w:rPr>
            </w:pPr>
          </w:p>
        </w:tc>
        <w:tc>
          <w:tcPr>
            <w:tcW w:w="1025" w:type="pct"/>
            <w:vAlign w:val="center"/>
          </w:tcPr>
          <w:p w14:paraId="03755669">
            <w:pPr>
              <w:spacing w:line="360" w:lineRule="auto"/>
              <w:rPr>
                <w:rFonts w:hint="eastAsia" w:ascii="宋体" w:hAnsi="宋体" w:eastAsia="宋体" w:cs="宋体"/>
                <w:color w:val="auto"/>
                <w:szCs w:val="21"/>
              </w:rPr>
            </w:pPr>
            <w:r>
              <w:rPr>
                <w:rFonts w:hint="eastAsia" w:ascii="宋体" w:hAnsi="宋体" w:eastAsia="宋体" w:cs="宋体"/>
                <w:color w:val="auto"/>
                <w:szCs w:val="21"/>
              </w:rPr>
              <w:t>集成标准</w:t>
            </w:r>
          </w:p>
        </w:tc>
        <w:tc>
          <w:tcPr>
            <w:tcW w:w="3465" w:type="pct"/>
            <w:vAlign w:val="center"/>
          </w:tcPr>
          <w:p w14:paraId="3101425F">
            <w:pPr>
              <w:spacing w:line="360" w:lineRule="auto"/>
              <w:rPr>
                <w:rFonts w:hint="eastAsia" w:ascii="宋体" w:hAnsi="宋体" w:eastAsia="宋体" w:cs="宋体"/>
                <w:color w:val="auto"/>
                <w:szCs w:val="21"/>
              </w:rPr>
            </w:pPr>
            <w:r>
              <w:rPr>
                <w:rFonts w:hint="eastAsia" w:ascii="宋体" w:hAnsi="宋体" w:eastAsia="宋体" w:cs="宋体"/>
                <w:color w:val="auto"/>
                <w:szCs w:val="21"/>
              </w:rPr>
              <w:t>供应商应组织完成本项目的部署实施工作，组织完成集成、安装、调试，并完成与院方现有软、硬件系统之间的联调工作。</w:t>
            </w:r>
          </w:p>
        </w:tc>
      </w:tr>
      <w:tr w14:paraId="70A7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10" w:type="pct"/>
            <w:vAlign w:val="center"/>
          </w:tcPr>
          <w:p w14:paraId="1D11D3B5">
            <w:pPr>
              <w:numPr>
                <w:ilvl w:val="0"/>
                <w:numId w:val="6"/>
              </w:numPr>
              <w:spacing w:line="360" w:lineRule="auto"/>
              <w:jc w:val="center"/>
              <w:rPr>
                <w:rFonts w:hint="eastAsia" w:ascii="宋体" w:hAnsi="宋体" w:eastAsia="宋体" w:cs="宋体"/>
                <w:color w:val="auto"/>
                <w:szCs w:val="21"/>
              </w:rPr>
            </w:pPr>
          </w:p>
        </w:tc>
        <w:tc>
          <w:tcPr>
            <w:tcW w:w="1025" w:type="pct"/>
            <w:vAlign w:val="center"/>
          </w:tcPr>
          <w:p w14:paraId="4FF39594">
            <w:pPr>
              <w:spacing w:line="360" w:lineRule="auto"/>
              <w:rPr>
                <w:rFonts w:hint="eastAsia" w:ascii="宋体" w:hAnsi="宋体" w:eastAsia="宋体" w:cs="宋体"/>
                <w:color w:val="auto"/>
                <w:szCs w:val="21"/>
              </w:rPr>
            </w:pPr>
            <w:r>
              <w:rPr>
                <w:rFonts w:hint="eastAsia" w:ascii="宋体" w:hAnsi="宋体" w:eastAsia="宋体" w:cs="宋体"/>
                <w:color w:val="auto"/>
                <w:szCs w:val="21"/>
              </w:rPr>
              <w:t>培训标准</w:t>
            </w:r>
          </w:p>
        </w:tc>
        <w:tc>
          <w:tcPr>
            <w:tcW w:w="3465" w:type="pct"/>
            <w:vAlign w:val="center"/>
          </w:tcPr>
          <w:p w14:paraId="4EBE2BE7">
            <w:pPr>
              <w:spacing w:line="360" w:lineRule="auto"/>
              <w:rPr>
                <w:rFonts w:hint="eastAsia" w:ascii="宋体" w:hAnsi="宋体" w:eastAsia="宋体" w:cs="宋体"/>
                <w:color w:val="auto"/>
                <w:szCs w:val="21"/>
              </w:rPr>
            </w:pPr>
            <w:r>
              <w:rPr>
                <w:rFonts w:hint="eastAsia" w:ascii="宋体" w:hAnsi="宋体" w:eastAsia="宋体" w:cs="宋体"/>
                <w:color w:val="auto"/>
                <w:szCs w:val="21"/>
              </w:rPr>
              <w:t>供应商需承诺提供不少于1天不少于3人的工程师安装配置等实操培训课程，场地、交通等与培训相关的费用均由供应商承担。</w:t>
            </w:r>
          </w:p>
        </w:tc>
      </w:tr>
      <w:tr w14:paraId="3D6D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510" w:type="pct"/>
            <w:vAlign w:val="center"/>
          </w:tcPr>
          <w:p w14:paraId="53DC10C3">
            <w:pPr>
              <w:numPr>
                <w:ilvl w:val="0"/>
                <w:numId w:val="6"/>
              </w:numPr>
              <w:spacing w:line="360" w:lineRule="auto"/>
              <w:jc w:val="center"/>
              <w:rPr>
                <w:rFonts w:hint="eastAsia" w:ascii="宋体" w:hAnsi="宋体" w:eastAsia="宋体" w:cs="宋体"/>
                <w:color w:val="auto"/>
                <w:szCs w:val="21"/>
              </w:rPr>
            </w:pPr>
          </w:p>
        </w:tc>
        <w:tc>
          <w:tcPr>
            <w:tcW w:w="1025" w:type="pct"/>
            <w:vAlign w:val="center"/>
          </w:tcPr>
          <w:p w14:paraId="3C7BE7A0">
            <w:pPr>
              <w:spacing w:line="360" w:lineRule="auto"/>
              <w:rPr>
                <w:rFonts w:hint="eastAsia" w:ascii="宋体" w:hAnsi="宋体" w:eastAsia="宋体" w:cs="宋体"/>
                <w:color w:val="auto"/>
                <w:szCs w:val="21"/>
              </w:rPr>
            </w:pPr>
            <w:r>
              <w:rPr>
                <w:rFonts w:hint="eastAsia" w:ascii="宋体" w:hAnsi="宋体" w:eastAsia="宋体" w:cs="宋体"/>
                <w:color w:val="auto"/>
                <w:szCs w:val="21"/>
              </w:rPr>
              <w:t>巡检服务</w:t>
            </w:r>
          </w:p>
        </w:tc>
        <w:tc>
          <w:tcPr>
            <w:tcW w:w="3465" w:type="pct"/>
            <w:vAlign w:val="center"/>
          </w:tcPr>
          <w:p w14:paraId="7871B658">
            <w:pPr>
              <w:spacing w:line="360" w:lineRule="auto"/>
              <w:rPr>
                <w:rFonts w:hint="eastAsia" w:ascii="宋体" w:hAnsi="宋体" w:eastAsia="宋体" w:cs="宋体"/>
                <w:color w:val="auto"/>
                <w:szCs w:val="21"/>
              </w:rPr>
            </w:pPr>
            <w:r>
              <w:rPr>
                <w:rFonts w:hint="eastAsia" w:ascii="宋体" w:hAnsi="宋体" w:eastAsia="宋体" w:cs="宋体"/>
                <w:color w:val="auto"/>
                <w:szCs w:val="21"/>
              </w:rPr>
              <w:t>供应商需承诺提供不少于1年</w:t>
            </w:r>
            <w:r>
              <w:rPr>
                <w:rFonts w:hint="eastAsia" w:cs="宋体"/>
                <w:color w:val="auto"/>
                <w:szCs w:val="21"/>
                <w:lang w:val="en-US" w:eastAsia="zh-CN"/>
              </w:rPr>
              <w:t>1</w:t>
            </w:r>
            <w:r>
              <w:rPr>
                <w:rFonts w:hint="eastAsia" w:ascii="宋体" w:hAnsi="宋体" w:eastAsia="宋体" w:cs="宋体"/>
                <w:color w:val="auto"/>
                <w:szCs w:val="21"/>
              </w:rPr>
              <w:t>次的巡检服务，对本次项目内所含的产品进行全面检查，并且在巡检后3个工作日内提交巡检报告，如发现异常需及时汇报并提供解决方案。</w:t>
            </w:r>
          </w:p>
        </w:tc>
      </w:tr>
    </w:tbl>
    <w:p w14:paraId="159510E2">
      <w:pPr>
        <w:rPr>
          <w:color w:val="auto"/>
        </w:rPr>
      </w:pPr>
    </w:p>
    <w:sectPr>
      <w:footerReference r:id="rId3" w:type="default"/>
      <w:pgSz w:w="11900" w:h="16840"/>
      <w:pgMar w:top="1440" w:right="1797" w:bottom="1440" w:left="1797"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433">
      <wne:acd wne:acdName="acd0"/>
    </wne:keymap>
  </wne:keymaps>
  <wne:acds>
    <wne:acd wne:argValue="AQAAAAMA" wne:acdName="acd0"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6074722"/>
    </w:sdtPr>
    <w:sdtContent>
      <w:p w14:paraId="468E3250">
        <w:pPr>
          <w:pStyle w:val="12"/>
          <w:jc w:val="center"/>
        </w:pPr>
        <w:r>
          <w:fldChar w:fldCharType="begin"/>
        </w:r>
        <w:r>
          <w:instrText xml:space="preserve">PAGE   \* MERGEFORMAT</w:instrText>
        </w:r>
        <w:r>
          <w:fldChar w:fldCharType="separate"/>
        </w:r>
        <w:r>
          <w:rPr>
            <w:lang w:val="zh-CN"/>
          </w:rPr>
          <w:t>1</w:t>
        </w:r>
        <w:r>
          <w:rPr>
            <w:lang w:val="zh-CN"/>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7D2BEA"/>
    <w:multiLevelType w:val="multilevel"/>
    <w:tmpl w:val="F97D2BEA"/>
    <w:lvl w:ilvl="0" w:tentative="0">
      <w:start w:val="1"/>
      <w:numFmt w:val="chineseCounting"/>
      <w:pStyle w:val="2"/>
      <w:suff w:val="nothing"/>
      <w:lvlText w:val="%1、"/>
      <w:lvlJc w:val="left"/>
      <w:pPr>
        <w:tabs>
          <w:tab w:val="left" w:pos="0"/>
        </w:tabs>
        <w:ind w:left="432" w:hanging="432"/>
      </w:pPr>
      <w:rPr>
        <w:rFonts w:hint="eastAsia"/>
      </w:rPr>
    </w:lvl>
    <w:lvl w:ilvl="1" w:tentative="0">
      <w:start w:val="1"/>
      <w:numFmt w:val="decimal"/>
      <w:pStyle w:val="3"/>
      <w:isLgl/>
      <w:lvlText w:val="%1.%2."/>
      <w:lvlJc w:val="left"/>
      <w:pPr>
        <w:ind w:left="575" w:hanging="575"/>
      </w:pPr>
      <w:rPr>
        <w:rFonts w:hint="eastAsia"/>
      </w:rPr>
    </w:lvl>
    <w:lvl w:ilvl="2" w:tentative="0">
      <w:start w:val="1"/>
      <w:numFmt w:val="decimal"/>
      <w:pStyle w:val="4"/>
      <w:isLgl/>
      <w:lvlText w:val="%1.%2.%3."/>
      <w:lvlJc w:val="left"/>
      <w:pPr>
        <w:ind w:left="720" w:hanging="720"/>
      </w:pPr>
      <w:rPr>
        <w:rFonts w:hint="eastAsia"/>
      </w:rPr>
    </w:lvl>
    <w:lvl w:ilvl="3" w:tentative="0">
      <w:start w:val="1"/>
      <w:numFmt w:val="decimal"/>
      <w:pStyle w:val="5"/>
      <w:isLgl/>
      <w:lvlText w:val="%1.%2.%3.%4."/>
      <w:lvlJc w:val="left"/>
      <w:pPr>
        <w:ind w:left="864" w:hanging="864"/>
      </w:pPr>
      <w:rPr>
        <w:rFonts w:hint="eastAsia"/>
      </w:rPr>
    </w:lvl>
    <w:lvl w:ilvl="4" w:tentative="0">
      <w:start w:val="1"/>
      <w:numFmt w:val="decimal"/>
      <w:pStyle w:val="6"/>
      <w:isLgl/>
      <w:lvlText w:val="%1.%2.%3.%4.%5."/>
      <w:lvlJc w:val="left"/>
      <w:pPr>
        <w:ind w:left="1008" w:hanging="1008"/>
      </w:pPr>
      <w:rPr>
        <w:rFonts w:hint="eastAsia"/>
      </w:rPr>
    </w:lvl>
    <w:lvl w:ilvl="5" w:tentative="0">
      <w:start w:val="1"/>
      <w:numFmt w:val="decimal"/>
      <w:pStyle w:val="7"/>
      <w:isLgl/>
      <w:lvlText w:val="%1.%2.%3.%4.%5.%6."/>
      <w:lvlJc w:val="left"/>
      <w:pPr>
        <w:ind w:left="1151" w:hanging="1151"/>
      </w:pPr>
      <w:rPr>
        <w:rFonts w:hint="eastAsia"/>
      </w:rPr>
    </w:lvl>
    <w:lvl w:ilvl="6" w:tentative="0">
      <w:start w:val="1"/>
      <w:numFmt w:val="decimal"/>
      <w:pStyle w:val="8"/>
      <w:isLgl/>
      <w:lvlText w:val="%1.%2.%3.%4.%5.%6.%7."/>
      <w:lvlJc w:val="left"/>
      <w:pPr>
        <w:ind w:left="1296" w:hanging="1296"/>
      </w:pPr>
      <w:rPr>
        <w:rFonts w:hint="eastAsia"/>
      </w:rPr>
    </w:lvl>
    <w:lvl w:ilvl="7" w:tentative="0">
      <w:start w:val="1"/>
      <w:numFmt w:val="decimal"/>
      <w:pStyle w:val="9"/>
      <w:isLgl/>
      <w:lvlText w:val="%1.%2.%3.%4.%5.%6.%7.%8."/>
      <w:lvlJc w:val="left"/>
      <w:pPr>
        <w:ind w:left="1440" w:hanging="1440"/>
      </w:pPr>
      <w:rPr>
        <w:rFonts w:hint="eastAsia"/>
      </w:rPr>
    </w:lvl>
    <w:lvl w:ilvl="8" w:tentative="0">
      <w:start w:val="1"/>
      <w:numFmt w:val="decimal"/>
      <w:pStyle w:val="10"/>
      <w:isLgl/>
      <w:lvlText w:val="%1.%2.%3.%4.%5.%6.%7.%8.%9."/>
      <w:lvlJc w:val="left"/>
      <w:pPr>
        <w:ind w:left="1583" w:hanging="1583"/>
      </w:pPr>
      <w:rPr>
        <w:rFonts w:hint="eastAsia"/>
      </w:rPr>
    </w:lvl>
  </w:abstractNum>
  <w:abstractNum w:abstractNumId="1">
    <w:nsid w:val="FFFE9207"/>
    <w:multiLevelType w:val="singleLevel"/>
    <w:tmpl w:val="FFFE9207"/>
    <w:lvl w:ilvl="0" w:tentative="0">
      <w:start w:val="1"/>
      <w:numFmt w:val="decimal"/>
      <w:suff w:val="nothing"/>
      <w:lvlText w:val="（%1）"/>
      <w:lvlJc w:val="left"/>
    </w:lvl>
  </w:abstractNum>
  <w:abstractNum w:abstractNumId="2">
    <w:nsid w:val="0E8E02D5"/>
    <w:multiLevelType w:val="multilevel"/>
    <w:tmpl w:val="0E8E02D5"/>
    <w:lvl w:ilvl="0" w:tentative="0">
      <w:start w:val="1"/>
      <w:numFmt w:val="decimal"/>
      <w:lvlText w:val="%1"/>
      <w:lvlJc w:val="left"/>
      <w:pPr>
        <w:ind w:left="440" w:hanging="44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68540B2"/>
    <w:multiLevelType w:val="multilevel"/>
    <w:tmpl w:val="368540B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56401E27"/>
    <w:multiLevelType w:val="multilevel"/>
    <w:tmpl w:val="56401E2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2BE540B"/>
    <w:multiLevelType w:val="multilevel"/>
    <w:tmpl w:val="62BE540B"/>
    <w:lvl w:ilvl="0" w:tentative="0">
      <w:start w:val="1"/>
      <w:numFmt w:val="decimal"/>
      <w:lvlText w:val="%1"/>
      <w:lvlJc w:val="left"/>
      <w:pPr>
        <w:ind w:left="440" w:hanging="44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5"/>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113BD"/>
    <w:rsid w:val="007217C2"/>
    <w:rsid w:val="021270F5"/>
    <w:rsid w:val="026B4187"/>
    <w:rsid w:val="031402FA"/>
    <w:rsid w:val="039842CF"/>
    <w:rsid w:val="04533B7A"/>
    <w:rsid w:val="048655CD"/>
    <w:rsid w:val="053C7B73"/>
    <w:rsid w:val="05614B95"/>
    <w:rsid w:val="05BD11EE"/>
    <w:rsid w:val="06555F05"/>
    <w:rsid w:val="068832E8"/>
    <w:rsid w:val="069468A4"/>
    <w:rsid w:val="069B1DE2"/>
    <w:rsid w:val="06B37672"/>
    <w:rsid w:val="082552BC"/>
    <w:rsid w:val="085C4273"/>
    <w:rsid w:val="09CA1445"/>
    <w:rsid w:val="09DF25C2"/>
    <w:rsid w:val="09F55F3B"/>
    <w:rsid w:val="0B4D44B6"/>
    <w:rsid w:val="0B6C4598"/>
    <w:rsid w:val="0C4274CE"/>
    <w:rsid w:val="0CBA44E4"/>
    <w:rsid w:val="0D91253F"/>
    <w:rsid w:val="0D95045A"/>
    <w:rsid w:val="0EF820C6"/>
    <w:rsid w:val="0F64150A"/>
    <w:rsid w:val="106B2322"/>
    <w:rsid w:val="10AE0C87"/>
    <w:rsid w:val="10D34B99"/>
    <w:rsid w:val="1105322F"/>
    <w:rsid w:val="11360D37"/>
    <w:rsid w:val="11FD754E"/>
    <w:rsid w:val="13302CCD"/>
    <w:rsid w:val="135A334F"/>
    <w:rsid w:val="13FB0805"/>
    <w:rsid w:val="14263C1E"/>
    <w:rsid w:val="15233604"/>
    <w:rsid w:val="155A51DE"/>
    <w:rsid w:val="159B7C4F"/>
    <w:rsid w:val="15B825AF"/>
    <w:rsid w:val="16156568"/>
    <w:rsid w:val="16F92E7F"/>
    <w:rsid w:val="181635BD"/>
    <w:rsid w:val="187F5C6A"/>
    <w:rsid w:val="18960E90"/>
    <w:rsid w:val="18A33621"/>
    <w:rsid w:val="18C96881"/>
    <w:rsid w:val="1934019F"/>
    <w:rsid w:val="19EC2108"/>
    <w:rsid w:val="1ADA2151"/>
    <w:rsid w:val="1C46713B"/>
    <w:rsid w:val="1C5624DF"/>
    <w:rsid w:val="1CBB4733"/>
    <w:rsid w:val="1CED18DB"/>
    <w:rsid w:val="1CFB28E2"/>
    <w:rsid w:val="1D0E51AB"/>
    <w:rsid w:val="1E62755C"/>
    <w:rsid w:val="1ED41ADC"/>
    <w:rsid w:val="1EE84387"/>
    <w:rsid w:val="1EF74148"/>
    <w:rsid w:val="1EFA7794"/>
    <w:rsid w:val="20340A84"/>
    <w:rsid w:val="20AF2801"/>
    <w:rsid w:val="20C73DEA"/>
    <w:rsid w:val="211F1734"/>
    <w:rsid w:val="21BF6A73"/>
    <w:rsid w:val="21FA0FA9"/>
    <w:rsid w:val="22C42A45"/>
    <w:rsid w:val="22F1611C"/>
    <w:rsid w:val="239C706C"/>
    <w:rsid w:val="244C0D50"/>
    <w:rsid w:val="248558DA"/>
    <w:rsid w:val="257E33D4"/>
    <w:rsid w:val="27022309"/>
    <w:rsid w:val="273F77F4"/>
    <w:rsid w:val="27441EA6"/>
    <w:rsid w:val="280E13D0"/>
    <w:rsid w:val="296A12DA"/>
    <w:rsid w:val="29C061BA"/>
    <w:rsid w:val="29FB6949"/>
    <w:rsid w:val="29FD58D1"/>
    <w:rsid w:val="2A320DD4"/>
    <w:rsid w:val="2A7A79DB"/>
    <w:rsid w:val="2AC72B7A"/>
    <w:rsid w:val="2AF60E7E"/>
    <w:rsid w:val="2B3A219B"/>
    <w:rsid w:val="2B5E72FD"/>
    <w:rsid w:val="2BC27F72"/>
    <w:rsid w:val="2C29790B"/>
    <w:rsid w:val="2C4737DB"/>
    <w:rsid w:val="2CAE51FC"/>
    <w:rsid w:val="2DA4752A"/>
    <w:rsid w:val="2F320885"/>
    <w:rsid w:val="2F5E6ABF"/>
    <w:rsid w:val="2F837A4C"/>
    <w:rsid w:val="2FB8241F"/>
    <w:rsid w:val="2FE56D7A"/>
    <w:rsid w:val="2FFF5A2C"/>
    <w:rsid w:val="30466CDD"/>
    <w:rsid w:val="321102CB"/>
    <w:rsid w:val="328C29A2"/>
    <w:rsid w:val="33884F17"/>
    <w:rsid w:val="33F80361"/>
    <w:rsid w:val="34580D8D"/>
    <w:rsid w:val="34637732"/>
    <w:rsid w:val="34887F62"/>
    <w:rsid w:val="367E6AA5"/>
    <w:rsid w:val="3710594F"/>
    <w:rsid w:val="37117919"/>
    <w:rsid w:val="37140E4A"/>
    <w:rsid w:val="373801EF"/>
    <w:rsid w:val="37AF33BA"/>
    <w:rsid w:val="37FF1230"/>
    <w:rsid w:val="387D4B73"/>
    <w:rsid w:val="38A329BC"/>
    <w:rsid w:val="3B77232F"/>
    <w:rsid w:val="3BF11DB7"/>
    <w:rsid w:val="3C197B5F"/>
    <w:rsid w:val="3C2F6385"/>
    <w:rsid w:val="3C843020"/>
    <w:rsid w:val="3D2818C0"/>
    <w:rsid w:val="3D5422E7"/>
    <w:rsid w:val="3E021D6A"/>
    <w:rsid w:val="3E826B98"/>
    <w:rsid w:val="3EC22607"/>
    <w:rsid w:val="3ECF5E2C"/>
    <w:rsid w:val="3F9EA63E"/>
    <w:rsid w:val="3FB90595"/>
    <w:rsid w:val="3FBE66A4"/>
    <w:rsid w:val="4036288D"/>
    <w:rsid w:val="418C02C8"/>
    <w:rsid w:val="41AF30B5"/>
    <w:rsid w:val="41B0689C"/>
    <w:rsid w:val="421E512D"/>
    <w:rsid w:val="428044C2"/>
    <w:rsid w:val="43783472"/>
    <w:rsid w:val="440F0077"/>
    <w:rsid w:val="44BA514C"/>
    <w:rsid w:val="47337DDD"/>
    <w:rsid w:val="478D37F2"/>
    <w:rsid w:val="48117779"/>
    <w:rsid w:val="482A03B1"/>
    <w:rsid w:val="483416BA"/>
    <w:rsid w:val="488937B4"/>
    <w:rsid w:val="49325BF9"/>
    <w:rsid w:val="49575660"/>
    <w:rsid w:val="49650C06"/>
    <w:rsid w:val="49774473"/>
    <w:rsid w:val="499F7EE5"/>
    <w:rsid w:val="4A7B7FBE"/>
    <w:rsid w:val="4B08264C"/>
    <w:rsid w:val="4B4E6E91"/>
    <w:rsid w:val="4B9C1A50"/>
    <w:rsid w:val="4BC12CB7"/>
    <w:rsid w:val="4BFB4CAF"/>
    <w:rsid w:val="4C204C4D"/>
    <w:rsid w:val="4C231829"/>
    <w:rsid w:val="4CC53F3C"/>
    <w:rsid w:val="4CE94821"/>
    <w:rsid w:val="4DB972FE"/>
    <w:rsid w:val="4E632B69"/>
    <w:rsid w:val="4E774086"/>
    <w:rsid w:val="4E891122"/>
    <w:rsid w:val="4EA47A73"/>
    <w:rsid w:val="50836D3A"/>
    <w:rsid w:val="51BB72A8"/>
    <w:rsid w:val="51DF2696"/>
    <w:rsid w:val="522B58DB"/>
    <w:rsid w:val="5271493E"/>
    <w:rsid w:val="529E009F"/>
    <w:rsid w:val="52B458D1"/>
    <w:rsid w:val="53334A48"/>
    <w:rsid w:val="53734FEA"/>
    <w:rsid w:val="53AB1EBF"/>
    <w:rsid w:val="54B971CF"/>
    <w:rsid w:val="550F2F8A"/>
    <w:rsid w:val="56293EE0"/>
    <w:rsid w:val="5782683E"/>
    <w:rsid w:val="58F86E9D"/>
    <w:rsid w:val="59A26483"/>
    <w:rsid w:val="5A59138D"/>
    <w:rsid w:val="5BE44F68"/>
    <w:rsid w:val="5BF86671"/>
    <w:rsid w:val="5C9C65FD"/>
    <w:rsid w:val="5CB00EB7"/>
    <w:rsid w:val="5E0713C6"/>
    <w:rsid w:val="5E3D5BA1"/>
    <w:rsid w:val="5F84662B"/>
    <w:rsid w:val="5FF34165"/>
    <w:rsid w:val="6151078F"/>
    <w:rsid w:val="61A57276"/>
    <w:rsid w:val="61E97A82"/>
    <w:rsid w:val="62763D02"/>
    <w:rsid w:val="62AA35C5"/>
    <w:rsid w:val="638F1633"/>
    <w:rsid w:val="649030B3"/>
    <w:rsid w:val="64920299"/>
    <w:rsid w:val="66861C71"/>
    <w:rsid w:val="67691940"/>
    <w:rsid w:val="67B101D9"/>
    <w:rsid w:val="67FF876A"/>
    <w:rsid w:val="69BD3298"/>
    <w:rsid w:val="69F04FE9"/>
    <w:rsid w:val="6A6D0E17"/>
    <w:rsid w:val="6AF65012"/>
    <w:rsid w:val="6B8F25DF"/>
    <w:rsid w:val="6B930322"/>
    <w:rsid w:val="6C4A7094"/>
    <w:rsid w:val="6CB54176"/>
    <w:rsid w:val="6D2F7BD6"/>
    <w:rsid w:val="6D510145"/>
    <w:rsid w:val="6D997745"/>
    <w:rsid w:val="6DC64680"/>
    <w:rsid w:val="6E6B7334"/>
    <w:rsid w:val="6F273616"/>
    <w:rsid w:val="6F6D5A23"/>
    <w:rsid w:val="7053381D"/>
    <w:rsid w:val="70C95346"/>
    <w:rsid w:val="713A123F"/>
    <w:rsid w:val="713F0E77"/>
    <w:rsid w:val="71473A67"/>
    <w:rsid w:val="71A01F3A"/>
    <w:rsid w:val="72BA43E6"/>
    <w:rsid w:val="73B726D3"/>
    <w:rsid w:val="73F0360B"/>
    <w:rsid w:val="752D2A24"/>
    <w:rsid w:val="753907A9"/>
    <w:rsid w:val="762B1EAB"/>
    <w:rsid w:val="76355009"/>
    <w:rsid w:val="767F3F6D"/>
    <w:rsid w:val="76E432BB"/>
    <w:rsid w:val="76E77774"/>
    <w:rsid w:val="7780267B"/>
    <w:rsid w:val="77862AE9"/>
    <w:rsid w:val="79342346"/>
    <w:rsid w:val="79F857F4"/>
    <w:rsid w:val="7A4A42A1"/>
    <w:rsid w:val="7BDD45FF"/>
    <w:rsid w:val="7CDB7433"/>
    <w:rsid w:val="7D0E09B5"/>
    <w:rsid w:val="7D493119"/>
    <w:rsid w:val="7DF03E77"/>
    <w:rsid w:val="7F5331A6"/>
    <w:rsid w:val="7FB41CEA"/>
    <w:rsid w:val="B3EF4845"/>
    <w:rsid w:val="F5E79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2"/>
    <w:qFormat/>
    <w:uiPriority w:val="0"/>
    <w:pPr>
      <w:keepNext/>
      <w:keepLines/>
      <w:numPr>
        <w:ilvl w:val="0"/>
        <w:numId w:val="1"/>
      </w:numPr>
      <w:spacing w:line="360" w:lineRule="auto"/>
      <w:jc w:val="left"/>
      <w:outlineLvl w:val="0"/>
    </w:pPr>
    <w:rPr>
      <w:rFonts w:ascii="宋体" w:hAnsi="宋体" w:eastAsia="宋体"/>
      <w:b/>
      <w:bCs/>
      <w:kern w:val="44"/>
      <w:sz w:val="32"/>
      <w:szCs w:val="32"/>
    </w:rPr>
  </w:style>
  <w:style w:type="paragraph" w:styleId="3">
    <w:name w:val="heading 2"/>
    <w:basedOn w:val="1"/>
    <w:next w:val="1"/>
    <w:link w:val="20"/>
    <w:unhideWhenUsed/>
    <w:qFormat/>
    <w:uiPriority w:val="0"/>
    <w:pPr>
      <w:keepNext/>
      <w:keepLines/>
      <w:numPr>
        <w:ilvl w:val="1"/>
        <w:numId w:val="1"/>
      </w:numPr>
      <w:spacing w:beforeLines="0" w:beforeAutospacing="0" w:afterLines="0" w:afterAutospacing="0" w:line="360" w:lineRule="auto"/>
      <w:ind w:left="575" w:hanging="575"/>
      <w:outlineLvl w:val="1"/>
    </w:pPr>
    <w:rPr>
      <w:rFonts w:ascii="宋体" w:hAnsi="宋体" w:eastAsia="宋体" w:cs="宋体"/>
      <w:b/>
      <w:bCs/>
      <w:sz w:val="30"/>
      <w:szCs w:val="30"/>
    </w:rPr>
  </w:style>
  <w:style w:type="paragraph" w:styleId="4">
    <w:name w:val="heading 3"/>
    <w:basedOn w:val="1"/>
    <w:next w:val="1"/>
    <w:link w:val="21"/>
    <w:semiHidden/>
    <w:unhideWhenUsed/>
    <w:qFormat/>
    <w:uiPriority w:val="0"/>
    <w:pPr>
      <w:numPr>
        <w:ilvl w:val="2"/>
        <w:numId w:val="1"/>
      </w:numPr>
      <w:spacing w:line="360" w:lineRule="auto"/>
      <w:ind w:left="720" w:hanging="720"/>
      <w:jc w:val="left"/>
      <w:outlineLvl w:val="2"/>
    </w:pPr>
    <w:rPr>
      <w:rFonts w:ascii="宋体" w:hAnsi="宋体" w:eastAsia="宋体" w:cs="宋体"/>
      <w:b/>
      <w:bCs/>
      <w:sz w:val="28"/>
      <w:szCs w:val="28"/>
    </w:rPr>
  </w:style>
  <w:style w:type="paragraph" w:styleId="5">
    <w:name w:val="heading 4"/>
    <w:basedOn w:val="1"/>
    <w:next w:val="1"/>
    <w:link w:val="23"/>
    <w:semiHidden/>
    <w:unhideWhenUsed/>
    <w:qFormat/>
    <w:uiPriority w:val="0"/>
    <w:pPr>
      <w:keepLines/>
      <w:numPr>
        <w:ilvl w:val="3"/>
        <w:numId w:val="1"/>
      </w:numPr>
      <w:snapToGrid w:val="0"/>
      <w:ind w:left="864" w:right="0" w:rightChars="0" w:hanging="864"/>
      <w:outlineLvl w:val="3"/>
    </w:pPr>
    <w:rPr>
      <w:rFonts w:ascii="宋体" w:hAnsi="宋体" w:eastAsia="宋体" w:cs="宋体"/>
      <w:b/>
      <w:bCs/>
      <w:color w:val="auto"/>
      <w:sz w:val="24"/>
      <w:szCs w:val="24"/>
    </w:rPr>
  </w:style>
  <w:style w:type="paragraph" w:styleId="6">
    <w:name w:val="heading 5"/>
    <w:basedOn w:val="1"/>
    <w:next w:val="1"/>
    <w:semiHidden/>
    <w:unhideWhenUsed/>
    <w:qFormat/>
    <w:uiPriority w:val="0"/>
    <w:pPr>
      <w:keepNext/>
      <w:keepLines/>
      <w:numPr>
        <w:ilvl w:val="4"/>
        <w:numId w:val="1"/>
      </w:numPr>
      <w:spacing w:beforeLines="0" w:beforeAutospacing="0" w:afterLines="0" w:afterAutospacing="0" w:line="360" w:lineRule="auto"/>
      <w:ind w:left="1008" w:hanging="1008"/>
      <w:outlineLvl w:val="4"/>
    </w:pPr>
    <w:rPr>
      <w:b/>
      <w:sz w:val="24"/>
    </w:rPr>
  </w:style>
  <w:style w:type="paragraph" w:styleId="7">
    <w:name w:val="heading 6"/>
    <w:basedOn w:val="1"/>
    <w:next w:val="1"/>
    <w:semiHidden/>
    <w:unhideWhenUsed/>
    <w:qFormat/>
    <w:uiPriority w:val="0"/>
    <w:pPr>
      <w:keepNext/>
      <w:keepLines/>
      <w:numPr>
        <w:ilvl w:val="5"/>
        <w:numId w:val="1"/>
      </w:numPr>
      <w:spacing w:line="360" w:lineRule="auto"/>
      <w:ind w:left="1151" w:hanging="1151"/>
      <w:outlineLvl w:val="5"/>
    </w:pPr>
    <w:rPr>
      <w:rFonts w:ascii="宋体" w:hAnsi="宋体" w:eastAsia="宋体" w:cs="宋体"/>
      <w:b/>
      <w:sz w:val="24"/>
      <w:szCs w:val="21"/>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7">
    <w:name w:val="Default Paragraph Font"/>
    <w:semiHidden/>
    <w:unhideWhenUsed/>
    <w:qFormat/>
    <w:uiPriority w:val="1"/>
  </w:style>
  <w:style w:type="table" w:default="1" w:styleId="16">
    <w:name w:val="Normal Table"/>
    <w:semiHidden/>
    <w:qFormat/>
    <w:uiPriority w:val="0"/>
    <w:tblPr>
      <w:tblCellMar>
        <w:top w:w="0" w:type="dxa"/>
        <w:left w:w="108" w:type="dxa"/>
        <w:bottom w:w="0" w:type="dxa"/>
        <w:right w:w="108" w:type="dxa"/>
      </w:tblCellMar>
    </w:tblPr>
  </w:style>
  <w:style w:type="paragraph" w:styleId="11">
    <w:name w:val="annotation text"/>
    <w:basedOn w:val="1"/>
    <w:unhideWhenUsed/>
    <w:qFormat/>
    <w:uiPriority w:val="0"/>
  </w:style>
  <w:style w:type="paragraph" w:styleId="12">
    <w:name w:val="footer"/>
    <w:basedOn w:val="1"/>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13">
    <w:name w:val="toc 1"/>
    <w:basedOn w:val="1"/>
    <w:next w:val="1"/>
    <w:qFormat/>
    <w:uiPriority w:val="0"/>
    <w:pPr>
      <w:spacing w:line="240" w:lineRule="auto"/>
      <w:ind w:firstLine="0" w:firstLineChars="0"/>
      <w:jc w:val="left"/>
    </w:pPr>
    <w:rPr>
      <w:rFonts w:ascii="宋体" w:hAnsi="宋体" w:eastAsia="宋体" w:cs="宋体"/>
      <w:b/>
      <w:caps/>
      <w:sz w:val="30"/>
      <w:szCs w:val="30"/>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Title"/>
    <w:basedOn w:val="1"/>
    <w:qFormat/>
    <w:uiPriority w:val="0"/>
    <w:pPr>
      <w:spacing w:before="240" w:beforeLines="0" w:beforeAutospacing="0" w:after="60" w:afterLines="0" w:afterAutospacing="0"/>
      <w:jc w:val="center"/>
      <w:outlineLvl w:val="0"/>
    </w:pPr>
    <w:rPr>
      <w:rFonts w:ascii="Arial" w:hAnsi="Arial"/>
      <w:b/>
      <w:sz w:val="32"/>
    </w:rPr>
  </w:style>
  <w:style w:type="character" w:styleId="18">
    <w:name w:val="Strong"/>
    <w:basedOn w:val="17"/>
    <w:qFormat/>
    <w:uiPriority w:val="22"/>
    <w:rPr>
      <w:b/>
      <w:bCs/>
    </w:rPr>
  </w:style>
  <w:style w:type="character" w:styleId="19">
    <w:name w:val="annotation reference"/>
    <w:basedOn w:val="17"/>
    <w:unhideWhenUsed/>
    <w:qFormat/>
    <w:uiPriority w:val="0"/>
    <w:rPr>
      <w:sz w:val="21"/>
    </w:rPr>
  </w:style>
  <w:style w:type="character" w:customStyle="1" w:styleId="20">
    <w:name w:val="标题 2 字符"/>
    <w:link w:val="3"/>
    <w:autoRedefine/>
    <w:qFormat/>
    <w:uiPriority w:val="0"/>
    <w:rPr>
      <w:rFonts w:ascii="宋体" w:hAnsi="宋体" w:eastAsia="宋体" w:cs="宋体"/>
      <w:b/>
      <w:bCs/>
      <w:kern w:val="2"/>
      <w:sz w:val="30"/>
      <w:szCs w:val="30"/>
    </w:rPr>
  </w:style>
  <w:style w:type="character" w:customStyle="1" w:styleId="21">
    <w:name w:val="标题 3 字符"/>
    <w:basedOn w:val="17"/>
    <w:link w:val="4"/>
    <w:autoRedefine/>
    <w:qFormat/>
    <w:uiPriority w:val="0"/>
    <w:rPr>
      <w:rFonts w:ascii="宋体" w:hAnsi="宋体" w:eastAsia="宋体" w:cs="宋体"/>
      <w:b/>
      <w:sz w:val="24"/>
      <w:szCs w:val="20"/>
    </w:rPr>
  </w:style>
  <w:style w:type="character" w:customStyle="1" w:styleId="22">
    <w:name w:val="标题 1 字符"/>
    <w:link w:val="2"/>
    <w:qFormat/>
    <w:uiPriority w:val="9"/>
    <w:rPr>
      <w:rFonts w:ascii="宋体" w:hAnsi="宋体" w:eastAsia="宋体" w:cs="宋体"/>
      <w:b/>
      <w:bCs/>
      <w:kern w:val="44"/>
      <w:sz w:val="32"/>
      <w:szCs w:val="32"/>
    </w:rPr>
  </w:style>
  <w:style w:type="character" w:customStyle="1" w:styleId="23">
    <w:name w:val="标题 4 字符"/>
    <w:link w:val="5"/>
    <w:semiHidden/>
    <w:qFormat/>
    <w:uiPriority w:val="9"/>
    <w:rPr>
      <w:rFonts w:ascii="宋体" w:hAnsi="宋体" w:eastAsia="宋体" w:cs="宋体"/>
      <w:b/>
      <w:bCs/>
      <w:color w:val="auto"/>
      <w:kern w:val="2"/>
      <w:sz w:val="24"/>
      <w:szCs w:val="24"/>
      <w:lang w:val="en-US" w:eastAsia="zh-CN" w:bidi="ar-SA"/>
    </w:rPr>
  </w:style>
  <w:style w:type="paragraph" w:styleId="24">
    <w:name w:val="List Paragraph"/>
    <w:basedOn w:val="1"/>
    <w:qFormat/>
    <w:uiPriority w:val="99"/>
    <w:pPr>
      <w:widowControl w:val="0"/>
      <w:ind w:firstLine="420" w:firstLineChars="200"/>
      <w:jc w:val="both"/>
    </w:pPr>
    <w:rPr>
      <w:rFonts w:asciiTheme="minorHAnsi" w:hAnsiTheme="minorHAnsi" w:eastAsiaTheme="minorEastAsia" w:cstheme="minorBidi"/>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microsoft.com/office/2006/relationships/keyMapCustomizations" Target="customizations.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1348</Words>
  <Characters>1528</Characters>
  <Lines>0</Lines>
  <Paragraphs>0</Paragraphs>
  <TotalTime>0</TotalTime>
  <ScaleCrop>false</ScaleCrop>
  <LinksUpToDate>false</LinksUpToDate>
  <CharactersWithSpaces>1552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2025-02-28T17:31:00Z</dcterms:created>
  <dc:creator>17478</dc:creator>
  <cp:lastModifiedBy>信管处张芳健</cp:lastModifiedBy>
  <dcterms:modified xsi:type="dcterms:W3CDTF">2026-10-10T00:58:04Z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7EBC2751557647DCA1F740462D86744F_13</vt:lpwstr>
  </property>
  <property fmtid="{D5CDD505-2E9C-101B-9397-08002B2CF9AE}" pid="4" name="KSOTemplateDocerSaveRecord">
    <vt:lpwstr>eyJoZGlkIjoiM2YwY2UxNjVlNGJkMGIzYjJlY2FlN2ZmNGU5ZWU1ZjQiLCJ1c2VySWQiOiI0ODgwNDQwMTAifQ==</vt:lpwstr>
  </property>
</Properties>
</file>