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宋体" w:hAnsi="宋体"/>
          <w:b/>
          <w:bCs/>
        </w:rPr>
        <w:t>医学研究中心纯水超纯水一体机设备参数表</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1"/>
        <w:gridCol w:w="1405"/>
        <w:gridCol w:w="849"/>
        <w:gridCol w:w="4071"/>
        <w:gridCol w:w="3495"/>
        <w:gridCol w:w="1684"/>
        <w:gridCol w:w="983"/>
        <w:gridCol w:w="10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Align w:val="center"/>
          </w:tcPr>
          <w:p>
            <w:pPr>
              <w:jc w:val="center"/>
              <w:rPr>
                <w:rFonts w:hint="eastAsia"/>
                <w:b/>
              </w:rPr>
            </w:pPr>
            <w:r>
              <w:rPr>
                <w:rFonts w:hint="eastAsia"/>
                <w:b/>
              </w:rPr>
              <w:t>序号</w:t>
            </w:r>
          </w:p>
        </w:tc>
        <w:tc>
          <w:tcPr>
            <w:tcW w:w="1405" w:type="dxa"/>
            <w:vAlign w:val="center"/>
          </w:tcPr>
          <w:p>
            <w:pPr>
              <w:jc w:val="center"/>
              <w:rPr>
                <w:b/>
              </w:rPr>
            </w:pPr>
            <w:r>
              <w:rPr>
                <w:rFonts w:hint="eastAsia"/>
                <w:b/>
              </w:rPr>
              <w:t>设备名称</w:t>
            </w:r>
          </w:p>
        </w:tc>
        <w:tc>
          <w:tcPr>
            <w:tcW w:w="849" w:type="dxa"/>
            <w:vAlign w:val="center"/>
          </w:tcPr>
          <w:p>
            <w:pPr>
              <w:jc w:val="center"/>
              <w:rPr>
                <w:rFonts w:hint="eastAsia"/>
                <w:b/>
              </w:rPr>
            </w:pPr>
            <w:r>
              <w:rPr>
                <w:rFonts w:hint="eastAsia"/>
                <w:b/>
              </w:rPr>
              <w:t>数量</w:t>
            </w:r>
          </w:p>
          <w:p>
            <w:pPr>
              <w:jc w:val="center"/>
              <w:rPr>
                <w:b/>
              </w:rPr>
            </w:pPr>
            <w:r>
              <w:rPr>
                <w:rFonts w:hint="eastAsia"/>
                <w:b/>
              </w:rPr>
              <w:t>（台）</w:t>
            </w:r>
          </w:p>
        </w:tc>
        <w:tc>
          <w:tcPr>
            <w:tcW w:w="4071" w:type="dxa"/>
            <w:vAlign w:val="center"/>
          </w:tcPr>
          <w:p>
            <w:pPr>
              <w:jc w:val="center"/>
              <w:rPr>
                <w:b/>
              </w:rPr>
            </w:pPr>
            <w:r>
              <w:rPr>
                <w:rFonts w:hint="eastAsia"/>
                <w:b/>
              </w:rPr>
              <w:t>详细功能要求条款描述</w:t>
            </w:r>
          </w:p>
        </w:tc>
        <w:tc>
          <w:tcPr>
            <w:tcW w:w="3495" w:type="dxa"/>
            <w:vAlign w:val="center"/>
          </w:tcPr>
          <w:p>
            <w:pPr>
              <w:jc w:val="center"/>
              <w:rPr>
                <w:b/>
              </w:rPr>
            </w:pPr>
            <w:r>
              <w:rPr>
                <w:rFonts w:hint="eastAsia"/>
                <w:b/>
              </w:rPr>
              <w:t>报价人响应描述</w:t>
            </w:r>
          </w:p>
        </w:tc>
        <w:tc>
          <w:tcPr>
            <w:tcW w:w="1684" w:type="dxa"/>
            <w:vAlign w:val="center"/>
          </w:tcPr>
          <w:p>
            <w:pPr>
              <w:jc w:val="center"/>
              <w:rPr>
                <w:rFonts w:hint="eastAsia"/>
                <w:b/>
              </w:rPr>
            </w:pPr>
            <w:r>
              <w:rPr>
                <w:rFonts w:hint="eastAsia"/>
                <w:b/>
              </w:rPr>
              <w:t>偏离情况说明</w:t>
            </w:r>
          </w:p>
          <w:p>
            <w:pPr>
              <w:jc w:val="center"/>
              <w:rPr>
                <w:b/>
              </w:rPr>
            </w:pPr>
            <w:r>
              <w:rPr>
                <w:rFonts w:hint="eastAsia"/>
                <w:b/>
              </w:rPr>
              <w:t>（正偏离/完全响应/负偏离）</w:t>
            </w:r>
          </w:p>
        </w:tc>
        <w:tc>
          <w:tcPr>
            <w:tcW w:w="983" w:type="dxa"/>
            <w:vAlign w:val="center"/>
          </w:tcPr>
          <w:p>
            <w:pPr>
              <w:jc w:val="center"/>
              <w:rPr>
                <w:b/>
              </w:rPr>
            </w:pPr>
            <w:r>
              <w:rPr>
                <w:rFonts w:hint="eastAsia"/>
                <w:b/>
              </w:rPr>
              <w:t>品牌</w:t>
            </w:r>
          </w:p>
        </w:tc>
        <w:tc>
          <w:tcPr>
            <w:tcW w:w="1016" w:type="dxa"/>
            <w:vAlign w:val="center"/>
          </w:tcPr>
          <w:p>
            <w:pPr>
              <w:jc w:val="center"/>
              <w:rPr>
                <w:b/>
              </w:rPr>
            </w:pPr>
            <w:r>
              <w:rPr>
                <w:rFonts w:hint="eastAsia"/>
                <w:b/>
              </w:rPr>
              <w:t>价格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restart"/>
            <w:vAlign w:val="center"/>
          </w:tcPr>
          <w:p>
            <w:pPr>
              <w:jc w:val="center"/>
              <w:rPr>
                <w:sz w:val="18"/>
                <w:szCs w:val="18"/>
              </w:rPr>
            </w:pPr>
            <w:r>
              <w:rPr>
                <w:rFonts w:hint="eastAsia"/>
                <w:sz w:val="18"/>
                <w:szCs w:val="18"/>
              </w:rPr>
              <w:t>1</w:t>
            </w:r>
          </w:p>
        </w:tc>
        <w:tc>
          <w:tcPr>
            <w:tcW w:w="1405" w:type="dxa"/>
            <w:vMerge w:val="restart"/>
            <w:vAlign w:val="center"/>
          </w:tcPr>
          <w:p>
            <w:pPr>
              <w:jc w:val="center"/>
              <w:rPr>
                <w:sz w:val="18"/>
                <w:szCs w:val="18"/>
              </w:rPr>
            </w:pPr>
            <w:r>
              <w:rPr>
                <w:rFonts w:hint="eastAsia" w:ascii="宋体" w:hAnsi="宋体"/>
                <w:sz w:val="18"/>
                <w:szCs w:val="18"/>
              </w:rPr>
              <w:t>纯水超纯水一体机（一级水＋二级水）</w:t>
            </w:r>
          </w:p>
          <w:p>
            <w:pPr>
              <w:jc w:val="center"/>
              <w:rPr>
                <w:sz w:val="18"/>
                <w:szCs w:val="18"/>
              </w:rPr>
            </w:pPr>
          </w:p>
        </w:tc>
        <w:tc>
          <w:tcPr>
            <w:tcW w:w="849" w:type="dxa"/>
            <w:vMerge w:val="restart"/>
            <w:vAlign w:val="center"/>
          </w:tcPr>
          <w:p>
            <w:pPr>
              <w:jc w:val="center"/>
              <w:rPr>
                <w:sz w:val="18"/>
                <w:szCs w:val="18"/>
              </w:rPr>
            </w:pPr>
            <w:r>
              <w:rPr>
                <w:rFonts w:hint="eastAsia"/>
                <w:sz w:val="18"/>
                <w:szCs w:val="18"/>
              </w:rPr>
              <w:t>3</w:t>
            </w:r>
          </w:p>
        </w:tc>
        <w:tc>
          <w:tcPr>
            <w:tcW w:w="4071" w:type="dxa"/>
          </w:tcPr>
          <w:p>
            <w:pPr>
              <w:pStyle w:val="2"/>
              <w:ind w:firstLine="360" w:firstLineChars="200"/>
              <w:rPr>
                <w:rFonts w:ascii="宋体" w:hAnsi="宋体"/>
                <w:sz w:val="18"/>
                <w:szCs w:val="18"/>
              </w:rPr>
            </w:pPr>
            <w:r>
              <w:rPr>
                <w:rFonts w:hint="eastAsia" w:ascii="宋体" w:hAnsi="宋体"/>
                <w:sz w:val="18"/>
                <w:szCs w:val="18"/>
              </w:rPr>
              <w:t>1.该设备以自来水为进水，连续生产二级纯水和超纯水。纯化流路必须包括预处理柱、反渗透膜（RO）柱、去离子模块、≥260nm杀菌无汞</w:t>
            </w:r>
            <w:bookmarkStart w:id="0" w:name="_GoBack"/>
            <w:r>
              <w:rPr>
                <w:rFonts w:hint="eastAsia" w:ascii="宋体" w:hAnsi="宋体"/>
                <w:sz w:val="18"/>
                <w:szCs w:val="18"/>
              </w:rPr>
              <w:t>紫外</w:t>
            </w:r>
            <w:bookmarkEnd w:id="0"/>
            <w:r>
              <w:rPr>
                <w:rFonts w:hint="eastAsia" w:ascii="宋体" w:hAnsi="宋体"/>
                <w:sz w:val="18"/>
                <w:szCs w:val="18"/>
              </w:rPr>
              <w:t>灯、水箱（含≥260nm杀菌紫外灯）、≤175nm无汞紫外灯、精纯化柱及终端精制器，以确保产水水质。纯化流路须在产品公开印刷资料和系统运行操作界面上体现，且须提供主机屏幕上纯化流路运行的实物照片。</w:t>
            </w:r>
          </w:p>
        </w:tc>
        <w:tc>
          <w:tcPr>
            <w:tcW w:w="3495" w:type="dxa"/>
          </w:tcPr>
          <w:p/>
        </w:tc>
        <w:tc>
          <w:tcPr>
            <w:tcW w:w="1684" w:type="dxa"/>
          </w:tcPr>
          <w:p/>
        </w:tc>
        <w:tc>
          <w:tcPr>
            <w:tcW w:w="983" w:type="dxa"/>
            <w:vMerge w:val="restart"/>
          </w:tcPr>
          <w:p/>
        </w:tc>
        <w:tc>
          <w:tcPr>
            <w:tcW w:w="1016" w:type="dxa"/>
            <w:vMerge w:val="restart"/>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ascii="宋体" w:hAnsi="宋体"/>
                <w:sz w:val="18"/>
                <w:szCs w:val="18"/>
              </w:rPr>
            </w:pPr>
            <w:r>
              <w:rPr>
                <w:rFonts w:hint="eastAsia" w:ascii="宋体" w:hAnsi="宋体"/>
                <w:sz w:val="18"/>
                <w:szCs w:val="18"/>
              </w:rPr>
              <w:t>2.可满足以下进水要求，且不会影响耗材使用寿命：</w:t>
            </w:r>
          </w:p>
          <w:p>
            <w:pPr>
              <w:pStyle w:val="2"/>
              <w:ind w:firstLine="360" w:firstLineChars="200"/>
              <w:rPr>
                <w:rFonts w:ascii="宋体" w:hAnsi="宋体"/>
                <w:sz w:val="18"/>
                <w:szCs w:val="18"/>
              </w:rPr>
            </w:pPr>
            <w:r>
              <w:rPr>
                <w:rFonts w:hint="eastAsia" w:ascii="宋体" w:hAnsi="宋体"/>
                <w:sz w:val="18"/>
                <w:szCs w:val="18"/>
              </w:rPr>
              <w:t>压力1~6bar、温度5~35℃、电导率＜2000us/cm@25℃、溶解CO2＜30ppm、游离氯＜3ppm、结垢指数＜10、Ph4~10、最大总有机碳＜2ppm、LSI＜0.3、硬度＜300ppm、二氧化硅＜30ppm。</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ascii="宋体" w:hAnsi="宋体"/>
                <w:sz w:val="18"/>
                <w:szCs w:val="18"/>
              </w:rPr>
            </w:pPr>
            <w:r>
              <w:rPr>
                <w:rFonts w:hint="eastAsia" w:ascii="宋体" w:hAnsi="宋体"/>
                <w:sz w:val="18"/>
                <w:szCs w:val="18"/>
              </w:rPr>
              <w:t>▲3.设备产水水质：</w:t>
            </w:r>
          </w:p>
          <w:p>
            <w:pPr>
              <w:pStyle w:val="2"/>
              <w:ind w:firstLine="360" w:firstLineChars="200"/>
              <w:rPr>
                <w:rFonts w:hint="eastAsia" w:ascii="宋体" w:hAnsi="宋体"/>
                <w:sz w:val="18"/>
                <w:szCs w:val="18"/>
              </w:rPr>
            </w:pPr>
            <w:r>
              <w:rPr>
                <w:rFonts w:hint="eastAsia" w:ascii="宋体" w:hAnsi="宋体"/>
                <w:sz w:val="18"/>
                <w:szCs w:val="18"/>
              </w:rPr>
              <w:t>3.1纯水：电阻率＞5 MΩ·cm＠25℃（典型为10-15 MΩ.cm＠25℃）、总有机碳(TOC)＜30ppb、制水速率≥5L/hour，可24小时不间断制水；</w:t>
            </w:r>
          </w:p>
          <w:p>
            <w:pPr>
              <w:pStyle w:val="2"/>
              <w:ind w:firstLine="360" w:firstLineChars="200"/>
              <w:rPr>
                <w:rFonts w:hint="eastAsia" w:ascii="宋体" w:hAnsi="宋体"/>
                <w:sz w:val="18"/>
                <w:szCs w:val="18"/>
              </w:rPr>
            </w:pPr>
            <w:r>
              <w:rPr>
                <w:rFonts w:hint="eastAsia" w:ascii="宋体" w:hAnsi="宋体"/>
                <w:sz w:val="18"/>
                <w:szCs w:val="18"/>
              </w:rPr>
              <w:t>3.2超纯水：电阻率18.2 MΩ.cm@25℃（亚ppb级）、总有机碳(TOC)＜5ppb*、流速：逐滴到最大2L/min（8级流速可调）、直径大于0.22um的颗粒物数量＜1/ml、微生物＜0.01cfu/ml、内毒素＜0.001EU/ml** 、RNases＜1 pg/mL**、DNases＜5 pg/mL**、蛋白酶＜0.15 ug/mL**。</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4.预处理柱含皱褶过滤器、碳块组件和多磷酸盐，高效去除自来水中的胶体、微粒、游离氯和降低硬度。精纯化柱采用活性炭和离子交换树脂混合填充，更小的粒径显著提高比表面积，离子含量可低至痕量水平。安装接口通过90度旋转即可安装固定纯化柱。纯水流路标配≥260nm无汞杀菌紫外灯，杀菌效果更佳；超纯水流路标配≤175nm 无汞紫外灯。所有紫外灯采用无汞紫外灯技术，无需预热，大幅降低对环境的污染，更绿色环保。须提供彩页资料和系统运行操作界面实物照片。</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5.主机内置同品牌长效、去离子模块，该模块需为阴阳离子混床式交换树脂，树脂由电流全自动再生，无需定期更换离子交换树脂；阴极需涂布碳涂层防止结垢产生，无需前置防毒柱或软化柱。产水前去离子模块自动冲洗，去离子模块前后设有电导率仪及程序控制，可将前期水质较低的水通过三通阀排掉确保高质量纯水进入水箱，水质稳定且减少实验室运行成本。投标资料需提供含原理图的彩页资料和自动排掉不合格产水的运行实物照片。</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6.反渗透膜和去离子模块前后设有电导率仪及程序控制，可将前期水质较低的水通过三通阀排掉，保证水质稳定可靠。内置温度和电导率补偿泵，避免季节和进水水质波动的影响，确保产水流速及水质稳定（不然温度降低1℃，反渗透膜产水流速降低3%）。</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7.设备拥有四组电阻率检测器。电阻池灵敏常数：0.01cm-1，温度灵敏度0.1℃，符合ASTM D1125-95(2009)的要求。电导率仪材料为316L不锈钢，采用套筒式同轴、流通式无死角设计，确保电极常数的稳定性及真实性；三种电导率显示模式，检测异常时自动报警。</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8.内置独立集成式有机物含量（TOC）检测仪，包含石英样品池、无汞紫外灯、钛电极、电磁阀及温度补偿单元，检测范围：0.5–999.9 ppb，符合USP(§643)TOC系统适应性测试对500ppb测试标准溶液的要求，可完全氧化水中有机物，并给出精确、可重现的TOC值。投标资料须提供TOC检测仪原厂校验证书，总有机碳检测原理须在产品公开印刷资料上体现，且须提供设备运行屏幕上TOC值显示的实物照片。</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ascii="宋体" w:hAnsi="宋体"/>
                <w:sz w:val="18"/>
                <w:szCs w:val="18"/>
              </w:rPr>
            </w:pPr>
            <w:r>
              <w:rPr>
                <w:rFonts w:hint="eastAsia" w:ascii="宋体" w:hAnsi="宋体"/>
                <w:sz w:val="18"/>
                <w:szCs w:val="18"/>
              </w:rPr>
              <w:t>▲9.配置≥50升液位控制水箱，圆锥形底部无死角可完全排空，配置空气过滤器（内置活性炭、苛性钠和滤膜）、电子溢流器、≥265nm杀菌紫外灯、压力式液位传感器、漏水监测器，避免环境中微生物、颗粒、挥发性有机物和CO2污染；蓄水自动再循环功能，水箱中纯水再循环通过紫外杀菌灯，从而确保水箱中的水质,最大程度保证水质新鲜。须提供设备屏幕上水箱自动循环的实物照片。</w:t>
            </w:r>
          </w:p>
          <w:p>
            <w:pPr>
              <w:pStyle w:val="2"/>
              <w:ind w:firstLine="360" w:firstLineChars="200"/>
              <w:rPr>
                <w:rFonts w:hint="eastAsia" w:ascii="宋体" w:hAnsi="宋体"/>
                <w:sz w:val="18"/>
                <w:szCs w:val="18"/>
              </w:rPr>
            </w:pP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10.智能化操作系统，操作界面简单直观，所有操作步骤有图文引导。具备中文操作系统，纯水、超纯水独立取水臂上可显示水质参数 ：进水电导率、反渗透产水电导率、去离子模块产水电阻值、超纯水产水电阻值和TOC值。另外，系统还可显示其他参数：RO膜截流率、水箱液位、水温、进水流量、消耗品寿命、设备运行流程状态和警告等信息。实验室关闭模式可在实验室长时间关闭时将系统置于休眠状态而保持水质，更环保。以上功能均须提供运行的实物照片。</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11.独立的纯水取水手臂集成≥5寸彩色触摸屏，内置流量计，通过触摸屏设置实现定量取水功能，定量取水范围20mL～100L。双功能取水调节轮具备流速调节和启停功能。可通过扫描二维码的方式快速获取水质报告。</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12.独立的超纯水取水手臂集成≥5寸彩色触摸屏，流速逐滴到2L/min，≥6档流速可调。需内置流量计，实现精确的逐滴分配。通过触摸屏可设置定量取水功能和辅助定容取水功能，实现精准定容而不会引入污染。水质报告功能仅需点击触摸屏即可获取所有水质相关信息，并可通过扫描二维码的方式快速获取水质报告。定量取水范围20mL～100L，辅助定容取水范围50mL～5L。投标资料需提供多档流速可调、辅助定容、扫描二维码获取水质报告等功能操作实物照片。</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13.可选择安装多种专用终端精制器,保证水质满足多种实验室应用要求。包括生产无颗粒无细菌的0.22微米的微孔过滤器；热源和核酸酶污染物过滤器；内置C18反向硅胶的超低有机物型过滤器，产水有机物＜1ppb；超低挥发性有机物型过滤器，产水VOCs＜1ppb；痕量元素级终端精制器，产水离子可达到ppt或亚ppt检测水平。</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14.数据管理：无需日志簿或纸张存档。系统生成的所有数据都被存储在系统内存中。通过设置密码功能保护所有数据。当保护模式激活时，仅对授权用户开放某些关键数据。可为最近30天的事件提供图文预览；通过USB端口可快速将数据导出到闪存驱动器上。所有报告均可导出，并且其打开格式适用于所有LIMS（实验室信息管理系统），存档功能支持质量管理系统。内置支持联网系统软件，通过以太网（TCP/IP协议）联入网络，应用网页浏览器进入监控界面。可以通过其他移动设备（手机或平板电脑等）实现对系统的远程监控和远程诊断，方便操作，极大的缩短解决故障时间。</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15.系统符合以下组织监管要求：CE、UL、FCC等，并可提供证书；所有耗材出厂均提供质量证书，确保能提供符合预期的水质。</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16.符合ISO 9001和ISO 14001生产管理规范。</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17.投标产品须为标准化产品，不接受定制化产品，产品须在市场上正常销售。</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18.服务能力要求：厂家须在国内设有零配件备件库，在中国大陆境内必须有≥3个以上固定的备品备件仓库，保证第一时间维修维护。所有配件必须在7个工作日内调配到位，完成维修，保内所有配件以及维修免费。须提供详细的地址、电话及备件仓库照片。在项目实施地点有固定的维修点和3名以上的专职维修工程师，工程师具有两年以上服务经验。提供详细的地址、联系电话及资质证书。厂家须具备全面的服务能力：安装服务、整体维修服务（包括零备件、耗材）、认证/校准服务、维护保养服务。须提供证明文件。厂家须在国内设有专业培训中心，并提供专业现场培训指导；具备400电话热线技术支持平台、CTS客户管理系统。须提供证明文件。</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19.配套耗材及配件供应时间不少于15年。</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20.提供免费质保期三年</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ascii="宋体" w:hAnsi="宋体"/>
                <w:sz w:val="18"/>
                <w:szCs w:val="18"/>
              </w:rPr>
            </w:pPr>
            <w:r>
              <w:rPr>
                <w:rFonts w:hint="eastAsia" w:ascii="宋体" w:hAnsi="宋体"/>
                <w:sz w:val="18"/>
                <w:szCs w:val="18"/>
              </w:rPr>
              <w:t>21.配置清单：</w:t>
            </w:r>
          </w:p>
          <w:p>
            <w:pPr>
              <w:pStyle w:val="2"/>
              <w:ind w:firstLine="720" w:firstLineChars="400"/>
              <w:rPr>
                <w:rFonts w:hint="eastAsia" w:ascii="宋体" w:hAnsi="宋体"/>
                <w:sz w:val="18"/>
                <w:szCs w:val="18"/>
              </w:rPr>
            </w:pPr>
            <w:r>
              <w:rPr>
                <w:rFonts w:hint="eastAsia" w:ascii="宋体" w:hAnsi="宋体"/>
                <w:sz w:val="18"/>
                <w:szCs w:val="18"/>
              </w:rPr>
              <w:t>纯水/超纯水一体化主机一台、</w:t>
            </w:r>
          </w:p>
          <w:p>
            <w:pPr>
              <w:pStyle w:val="2"/>
              <w:ind w:firstLine="720" w:firstLineChars="400"/>
              <w:rPr>
                <w:rFonts w:hint="eastAsia" w:ascii="宋体" w:hAnsi="宋体"/>
                <w:sz w:val="18"/>
                <w:szCs w:val="18"/>
              </w:rPr>
            </w:pPr>
            <w:r>
              <w:rPr>
                <w:rFonts w:hint="eastAsia" w:ascii="宋体" w:hAnsi="宋体"/>
                <w:sz w:val="18"/>
                <w:szCs w:val="18"/>
              </w:rPr>
              <w:t>≥50L水箱一个、</w:t>
            </w:r>
          </w:p>
          <w:p>
            <w:pPr>
              <w:pStyle w:val="2"/>
              <w:ind w:firstLine="720" w:firstLineChars="400"/>
              <w:rPr>
                <w:rFonts w:hint="eastAsia" w:ascii="宋体" w:hAnsi="宋体"/>
                <w:sz w:val="18"/>
                <w:szCs w:val="18"/>
              </w:rPr>
            </w:pPr>
            <w:r>
              <w:rPr>
                <w:rFonts w:hint="eastAsia" w:ascii="宋体" w:hAnsi="宋体"/>
                <w:sz w:val="18"/>
                <w:szCs w:val="18"/>
              </w:rPr>
              <w:t>水箱顶部套件一套、</w:t>
            </w:r>
          </w:p>
          <w:p>
            <w:pPr>
              <w:pStyle w:val="2"/>
              <w:ind w:firstLine="720" w:firstLineChars="400"/>
              <w:rPr>
                <w:rFonts w:hint="eastAsia" w:ascii="宋体" w:hAnsi="宋体"/>
                <w:sz w:val="18"/>
                <w:szCs w:val="18"/>
              </w:rPr>
            </w:pPr>
            <w:r>
              <w:rPr>
                <w:rFonts w:hint="eastAsia" w:ascii="宋体" w:hAnsi="宋体"/>
                <w:sz w:val="18"/>
                <w:szCs w:val="18"/>
              </w:rPr>
              <w:t>水箱空气过滤器一个、</w:t>
            </w:r>
          </w:p>
          <w:p>
            <w:pPr>
              <w:pStyle w:val="2"/>
              <w:ind w:firstLine="720" w:firstLineChars="400"/>
              <w:rPr>
                <w:rFonts w:hint="eastAsia" w:ascii="宋体" w:hAnsi="宋体"/>
                <w:sz w:val="18"/>
                <w:szCs w:val="18"/>
              </w:rPr>
            </w:pPr>
            <w:r>
              <w:rPr>
                <w:rFonts w:hint="eastAsia" w:ascii="宋体" w:hAnsi="宋体"/>
                <w:sz w:val="18"/>
                <w:szCs w:val="18"/>
              </w:rPr>
              <w:t>超纯水独立取水臂一个、</w:t>
            </w:r>
          </w:p>
          <w:p>
            <w:pPr>
              <w:pStyle w:val="2"/>
              <w:ind w:firstLine="720" w:firstLineChars="400"/>
              <w:rPr>
                <w:rFonts w:hint="eastAsia" w:ascii="宋体" w:hAnsi="宋体"/>
                <w:sz w:val="18"/>
                <w:szCs w:val="18"/>
              </w:rPr>
            </w:pPr>
            <w:r>
              <w:rPr>
                <w:rFonts w:hint="eastAsia" w:ascii="宋体" w:hAnsi="宋体"/>
                <w:sz w:val="18"/>
                <w:szCs w:val="18"/>
              </w:rPr>
              <w:t>纯水独立取水臂一个、</w:t>
            </w:r>
          </w:p>
          <w:p>
            <w:pPr>
              <w:pStyle w:val="2"/>
              <w:ind w:firstLine="720" w:firstLineChars="400"/>
              <w:rPr>
                <w:rFonts w:hint="eastAsia" w:ascii="宋体" w:hAnsi="宋体"/>
                <w:sz w:val="18"/>
                <w:szCs w:val="18"/>
              </w:rPr>
            </w:pPr>
            <w:r>
              <w:rPr>
                <w:rFonts w:hint="eastAsia" w:ascii="宋体" w:hAnsi="宋体"/>
                <w:sz w:val="18"/>
                <w:szCs w:val="18"/>
              </w:rPr>
              <w:t>系统与水箱连接组件一套、</w:t>
            </w:r>
          </w:p>
          <w:p>
            <w:pPr>
              <w:pStyle w:val="2"/>
              <w:ind w:firstLine="720" w:firstLineChars="400"/>
              <w:rPr>
                <w:rFonts w:hint="eastAsia" w:ascii="宋体" w:hAnsi="宋体"/>
                <w:sz w:val="18"/>
                <w:szCs w:val="18"/>
              </w:rPr>
            </w:pPr>
            <w:r>
              <w:rPr>
                <w:rFonts w:hint="eastAsia" w:ascii="宋体" w:hAnsi="宋体"/>
                <w:sz w:val="18"/>
                <w:szCs w:val="18"/>
              </w:rPr>
              <w:t>系统与取水手臂连接组件两套、</w:t>
            </w:r>
          </w:p>
          <w:p>
            <w:pPr>
              <w:pStyle w:val="2"/>
              <w:ind w:firstLine="720" w:firstLineChars="400"/>
              <w:rPr>
                <w:rFonts w:hint="eastAsia" w:ascii="宋体" w:hAnsi="宋体"/>
                <w:sz w:val="18"/>
                <w:szCs w:val="18"/>
              </w:rPr>
            </w:pPr>
            <w:r>
              <w:rPr>
                <w:rFonts w:hint="eastAsia" w:ascii="宋体" w:hAnsi="宋体"/>
                <w:sz w:val="18"/>
                <w:szCs w:val="18"/>
              </w:rPr>
              <w:t>自来水预处理组件一套、</w:t>
            </w:r>
          </w:p>
          <w:p>
            <w:pPr>
              <w:pStyle w:val="2"/>
              <w:ind w:firstLine="720" w:firstLineChars="400"/>
              <w:rPr>
                <w:rFonts w:hint="eastAsia" w:ascii="宋体" w:hAnsi="宋体"/>
                <w:sz w:val="18"/>
                <w:szCs w:val="18"/>
              </w:rPr>
            </w:pPr>
            <w:r>
              <w:rPr>
                <w:rFonts w:hint="eastAsia" w:ascii="宋体" w:hAnsi="宋体"/>
                <w:sz w:val="18"/>
                <w:szCs w:val="18"/>
              </w:rPr>
              <w:t>预处理纯化柱一个、</w:t>
            </w:r>
          </w:p>
          <w:p>
            <w:pPr>
              <w:pStyle w:val="2"/>
              <w:ind w:firstLine="720" w:firstLineChars="400"/>
              <w:rPr>
                <w:rFonts w:hint="eastAsia" w:ascii="宋体" w:hAnsi="宋体"/>
                <w:sz w:val="18"/>
                <w:szCs w:val="18"/>
              </w:rPr>
            </w:pPr>
            <w:r>
              <w:rPr>
                <w:rFonts w:hint="eastAsia" w:ascii="宋体" w:hAnsi="宋体"/>
                <w:sz w:val="18"/>
                <w:szCs w:val="18"/>
              </w:rPr>
              <w:t>清洗药片一盒、</w:t>
            </w:r>
          </w:p>
          <w:p>
            <w:pPr>
              <w:pStyle w:val="2"/>
              <w:ind w:firstLine="720" w:firstLineChars="400"/>
              <w:rPr>
                <w:rFonts w:hint="eastAsia" w:ascii="宋体" w:hAnsi="宋体"/>
                <w:sz w:val="18"/>
                <w:szCs w:val="18"/>
              </w:rPr>
            </w:pPr>
            <w:r>
              <w:rPr>
                <w:rFonts w:hint="eastAsia" w:ascii="宋体" w:hAnsi="宋体"/>
                <w:sz w:val="18"/>
                <w:szCs w:val="18"/>
              </w:rPr>
              <w:t>精纯化柱一个、</w:t>
            </w:r>
          </w:p>
          <w:p>
            <w:pPr>
              <w:pStyle w:val="2"/>
              <w:ind w:firstLine="720" w:firstLineChars="400"/>
              <w:rPr>
                <w:rFonts w:hint="eastAsia" w:ascii="宋体" w:hAnsi="宋体"/>
                <w:sz w:val="18"/>
                <w:szCs w:val="18"/>
              </w:rPr>
            </w:pPr>
            <w:r>
              <w:rPr>
                <w:rFonts w:hint="eastAsia" w:ascii="宋体" w:hAnsi="宋体"/>
                <w:sz w:val="18"/>
                <w:szCs w:val="18"/>
              </w:rPr>
              <w:t>除菌终端精制器两个、</w:t>
            </w:r>
          </w:p>
          <w:p>
            <w:pPr>
              <w:pStyle w:val="2"/>
              <w:ind w:firstLine="720" w:firstLineChars="400"/>
              <w:rPr>
                <w:rFonts w:hint="eastAsia" w:ascii="宋体" w:hAnsi="宋体"/>
                <w:sz w:val="18"/>
                <w:szCs w:val="18"/>
              </w:rPr>
            </w:pPr>
            <w:r>
              <w:rPr>
                <w:rFonts w:hint="eastAsia" w:ascii="宋体" w:hAnsi="宋体"/>
                <w:sz w:val="18"/>
                <w:szCs w:val="18"/>
              </w:rPr>
              <w:t>电源线配件包一个。</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rPr>
                <w:sz w:val="18"/>
                <w:szCs w:val="18"/>
              </w:rPr>
            </w:pPr>
            <w:r>
              <w:rPr>
                <w:rFonts w:hint="eastAsia"/>
                <w:sz w:val="18"/>
                <w:szCs w:val="18"/>
              </w:rPr>
              <w:t>2</w:t>
            </w:r>
          </w:p>
        </w:tc>
        <w:tc>
          <w:tcPr>
            <w:tcW w:w="1405" w:type="dxa"/>
          </w:tcPr>
          <w:p>
            <w:pPr>
              <w:rPr>
                <w:sz w:val="18"/>
                <w:szCs w:val="18"/>
              </w:rPr>
            </w:pPr>
            <w:r>
              <w:rPr>
                <w:rFonts w:hint="eastAsia" w:ascii="宋体" w:hAnsi="宋体"/>
                <w:sz w:val="18"/>
                <w:szCs w:val="18"/>
              </w:rPr>
              <w:t>纯水超纯水一体机（一级水＋二级水）耗材</w:t>
            </w:r>
          </w:p>
        </w:tc>
        <w:tc>
          <w:tcPr>
            <w:tcW w:w="849" w:type="dxa"/>
          </w:tcPr>
          <w:p>
            <w:pPr>
              <w:rPr>
                <w:sz w:val="18"/>
                <w:szCs w:val="18"/>
              </w:rPr>
            </w:pPr>
            <w:r>
              <w:rPr>
                <w:rFonts w:hint="eastAsia"/>
                <w:sz w:val="18"/>
                <w:szCs w:val="18"/>
              </w:rPr>
              <w:t>3</w:t>
            </w:r>
          </w:p>
        </w:tc>
        <w:tc>
          <w:tcPr>
            <w:tcW w:w="4071" w:type="dxa"/>
          </w:tcPr>
          <w:p>
            <w:pPr>
              <w:pStyle w:val="2"/>
              <w:ind w:firstLine="360" w:firstLineChars="200"/>
              <w:rPr>
                <w:rFonts w:hint="eastAsia" w:ascii="宋体" w:hAnsi="宋体"/>
                <w:sz w:val="18"/>
                <w:szCs w:val="18"/>
              </w:rPr>
            </w:pPr>
          </w:p>
        </w:tc>
        <w:tc>
          <w:tcPr>
            <w:tcW w:w="3495" w:type="dxa"/>
          </w:tcPr>
          <w:p/>
        </w:tc>
        <w:tc>
          <w:tcPr>
            <w:tcW w:w="1684" w:type="dxa"/>
          </w:tcPr>
          <w:p/>
        </w:tc>
        <w:tc>
          <w:tcPr>
            <w:tcW w:w="983" w:type="dxa"/>
          </w:tcPr>
          <w:p/>
        </w:tc>
        <w:tc>
          <w:tcPr>
            <w:tcW w:w="1016" w:type="dxa"/>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rPr>
                <w:rFonts w:hint="eastAsia"/>
              </w:rPr>
            </w:pPr>
            <w:r>
              <w:rPr>
                <w:rFonts w:hint="eastAsia"/>
              </w:rPr>
              <w:t>合计</w:t>
            </w:r>
          </w:p>
        </w:tc>
        <w:tc>
          <w:tcPr>
            <w:tcW w:w="1405" w:type="dxa"/>
          </w:tcPr>
          <w:p>
            <w:pPr>
              <w:rPr>
                <w:rFonts w:hint="eastAsia" w:ascii="宋体" w:hAnsi="宋体"/>
              </w:rPr>
            </w:pPr>
          </w:p>
        </w:tc>
        <w:tc>
          <w:tcPr>
            <w:tcW w:w="849" w:type="dxa"/>
          </w:tcPr>
          <w:p>
            <w:pPr>
              <w:rPr>
                <w:rFonts w:hint="eastAsia"/>
              </w:rPr>
            </w:pPr>
          </w:p>
        </w:tc>
        <w:tc>
          <w:tcPr>
            <w:tcW w:w="4071" w:type="dxa"/>
          </w:tcPr>
          <w:p>
            <w:pPr>
              <w:pStyle w:val="2"/>
              <w:ind w:firstLine="360" w:firstLineChars="200"/>
              <w:rPr>
                <w:rFonts w:hint="eastAsia" w:ascii="宋体" w:hAnsi="宋体"/>
                <w:sz w:val="18"/>
                <w:szCs w:val="18"/>
              </w:rPr>
            </w:pPr>
          </w:p>
        </w:tc>
        <w:tc>
          <w:tcPr>
            <w:tcW w:w="3495" w:type="dxa"/>
          </w:tcPr>
          <w:p/>
        </w:tc>
        <w:tc>
          <w:tcPr>
            <w:tcW w:w="1684" w:type="dxa"/>
          </w:tcPr>
          <w:p/>
        </w:tc>
        <w:tc>
          <w:tcPr>
            <w:tcW w:w="983" w:type="dxa"/>
          </w:tcPr>
          <w:p/>
        </w:tc>
        <w:tc>
          <w:tcPr>
            <w:tcW w:w="1016" w:type="dxa"/>
          </w:tcPr>
          <w:p/>
        </w:tc>
      </w:tr>
    </w:tbl>
    <w:p>
      <w:pPr>
        <w:spacing w:line="360" w:lineRule="auto"/>
        <w:ind w:left="-710" w:leftChars="-338"/>
        <w:jc w:val="left"/>
        <w:rPr>
          <w:rFonts w:hint="eastAsia" w:ascii="宋体" w:hAnsi="宋体"/>
          <w:color w:val="000000"/>
          <w:kern w:val="0"/>
        </w:rPr>
      </w:pPr>
    </w:p>
    <w:p>
      <w:pPr>
        <w:spacing w:line="360" w:lineRule="auto"/>
        <w:ind w:left="-710" w:leftChars="-338"/>
        <w:jc w:val="left"/>
        <w:rPr>
          <w:rFonts w:hint="eastAsia" w:ascii="宋体" w:hAnsi="宋体"/>
          <w:color w:val="000000"/>
          <w:kern w:val="0"/>
        </w:rPr>
      </w:pPr>
      <w:r>
        <w:rPr>
          <w:rFonts w:hint="eastAsia" w:ascii="宋体" w:hAnsi="宋体"/>
          <w:color w:val="000000"/>
          <w:kern w:val="0"/>
        </w:rPr>
        <w:t xml:space="preserve">   备注：打“▲”为核心参数</w:t>
      </w:r>
    </w:p>
    <w:p>
      <w:pPr>
        <w:pStyle w:val="2"/>
        <w:ind w:firstLine="0"/>
      </w:pPr>
      <w:r>
        <w:rPr>
          <w:rFonts w:hint="eastAsia" w:ascii="宋体" w:hAnsi="宋体"/>
          <w:color w:val="000000"/>
          <w:kern w:val="0"/>
        </w:rPr>
        <w:t xml:space="preserve">  每台机器设备额外采购一套耗材，耗材报价需详细列明清单及单价</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43B6"/>
    <w:rsid w:val="001C51A7"/>
    <w:rsid w:val="004A4FA0"/>
    <w:rsid w:val="008758E5"/>
    <w:rsid w:val="00C8175A"/>
    <w:rsid w:val="00D957F6"/>
    <w:rsid w:val="00F643B6"/>
    <w:rsid w:val="1B1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uiPriority w:val="99"/>
    <w:pPr>
      <w:ind w:firstLine="420"/>
    </w:pPr>
  </w:style>
  <w:style w:type="table" w:styleId="4">
    <w:name w:val="Table Grid"/>
    <w:basedOn w:val="3"/>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533</Words>
  <Characters>3042</Characters>
  <Lines>25</Lines>
  <Paragraphs>7</Paragraphs>
  <TotalTime>38</TotalTime>
  <ScaleCrop>false</ScaleCrop>
  <LinksUpToDate>false</LinksUpToDate>
  <CharactersWithSpaces>3568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2020-09-21T08:02:00Z</dcterms:created>
  <dc:creator>netuser</dc:creator>
  <cp:lastModifiedBy>小玉</cp:lastModifiedBy>
  <dcterms:modified xsi:type="dcterms:W3CDTF">2020-09-28T02:30:59Z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