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44"/>
          <w:szCs w:val="44"/>
        </w:rPr>
      </w:pPr>
      <w:r>
        <w:rPr>
          <w:rFonts w:hint="eastAsia" w:ascii="微软雅黑" w:hAnsi="微软雅黑" w:eastAsia="微软雅黑"/>
          <w:sz w:val="44"/>
          <w:szCs w:val="44"/>
        </w:rPr>
        <w:t>广东省人民医院防统方系统采购项目市场调研及</w:t>
      </w:r>
      <w:r>
        <w:rPr>
          <w:rFonts w:ascii="微软雅黑" w:hAnsi="微软雅黑" w:eastAsia="微软雅黑"/>
          <w:sz w:val="44"/>
          <w:szCs w:val="44"/>
        </w:rPr>
        <w:t>询价</w:t>
      </w:r>
      <w:r>
        <w:rPr>
          <w:rFonts w:hint="eastAsia" w:ascii="微软雅黑" w:hAnsi="微软雅黑" w:eastAsia="微软雅黑"/>
          <w:sz w:val="44"/>
          <w:szCs w:val="44"/>
        </w:rPr>
        <w:t>公告</w:t>
      </w:r>
    </w:p>
    <w:p>
      <w:pPr>
        <w:pStyle w:val="5"/>
        <w:shd w:val="clear" w:color="auto" w:fill="FFFFFF"/>
        <w:spacing w:before="0" w:beforeAutospacing="0"/>
        <w:ind w:firstLine="560" w:firstLineChars="20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我院拟采购防统方系统</w:t>
      </w:r>
      <w:r>
        <w:rPr>
          <w:rFonts w:ascii="微软雅黑" w:hAnsi="微软雅黑" w:eastAsia="微软雅黑" w:cs="Tahoma"/>
          <w:color w:val="000000"/>
          <w:sz w:val="28"/>
          <w:szCs w:val="28"/>
        </w:rPr>
        <w:t>，</w:t>
      </w:r>
      <w:r>
        <w:rPr>
          <w:rFonts w:hint="eastAsia" w:ascii="微软雅黑" w:hAnsi="微软雅黑" w:eastAsia="微软雅黑" w:cs="Tahoma"/>
          <w:color w:val="000000"/>
          <w:sz w:val="28"/>
          <w:szCs w:val="28"/>
        </w:rPr>
        <w:t>现以公开方式进行市场调研</w:t>
      </w:r>
      <w:r>
        <w:rPr>
          <w:rFonts w:ascii="微软雅黑" w:hAnsi="微软雅黑" w:eastAsia="微软雅黑" w:cs="Tahoma"/>
          <w:color w:val="000000"/>
          <w:sz w:val="28"/>
          <w:szCs w:val="28"/>
        </w:rPr>
        <w:t>及</w:t>
      </w:r>
      <w:r>
        <w:rPr>
          <w:rFonts w:hint="eastAsia" w:ascii="微软雅黑" w:hAnsi="微软雅黑" w:eastAsia="微软雅黑" w:cs="Tahoma"/>
          <w:color w:val="000000"/>
          <w:sz w:val="28"/>
          <w:szCs w:val="28"/>
        </w:rPr>
        <w:t>询价</w:t>
      </w:r>
      <w:r>
        <w:rPr>
          <w:rFonts w:ascii="微软雅黑" w:hAnsi="微软雅黑" w:eastAsia="微软雅黑" w:cs="Tahoma"/>
          <w:color w:val="000000"/>
          <w:sz w:val="28"/>
          <w:szCs w:val="28"/>
        </w:rPr>
        <w:t>，欢迎符合资格条件的供应商参与，项目内容如下：</w:t>
      </w:r>
    </w:p>
    <w:p>
      <w:pPr>
        <w:pStyle w:val="5"/>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项目</w:t>
      </w:r>
      <w:r>
        <w:rPr>
          <w:rFonts w:hint="eastAsia" w:ascii="微软雅黑" w:hAnsi="微软雅黑" w:eastAsia="微软雅黑" w:cs="Tahoma"/>
          <w:color w:val="000000"/>
          <w:sz w:val="28"/>
          <w:szCs w:val="28"/>
        </w:rPr>
        <w:t>名称</w:t>
      </w:r>
      <w:r>
        <w:rPr>
          <w:rFonts w:ascii="微软雅黑" w:hAnsi="微软雅黑" w:eastAsia="微软雅黑" w:cs="Tahoma"/>
          <w:color w:val="000000"/>
          <w:sz w:val="28"/>
          <w:szCs w:val="28"/>
        </w:rPr>
        <w:t xml:space="preserve">： </w:t>
      </w:r>
      <w:r>
        <w:rPr>
          <w:rFonts w:hint="eastAsia" w:ascii="微软雅黑" w:hAnsi="微软雅黑" w:eastAsia="微软雅黑" w:cs="Tahoma"/>
          <w:color w:val="000000"/>
          <w:sz w:val="28"/>
          <w:szCs w:val="28"/>
        </w:rPr>
        <w:t>防统方系统采购项目</w:t>
      </w:r>
    </w:p>
    <w:p>
      <w:pPr>
        <w:pStyle w:val="5"/>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项目</w:t>
      </w:r>
      <w:r>
        <w:rPr>
          <w:rFonts w:ascii="微软雅黑" w:hAnsi="微软雅黑" w:eastAsia="微软雅黑" w:cs="Tahoma"/>
          <w:color w:val="000000"/>
          <w:sz w:val="28"/>
          <w:szCs w:val="28"/>
        </w:rPr>
        <w:t>需求：详见附件</w:t>
      </w:r>
      <w:r>
        <w:rPr>
          <w:rFonts w:hint="eastAsia" w:ascii="微软雅黑" w:hAnsi="微软雅黑" w:eastAsia="微软雅黑" w:cs="Tahoma"/>
          <w:color w:val="000000"/>
          <w:sz w:val="28"/>
          <w:szCs w:val="28"/>
        </w:rPr>
        <w:t>1</w:t>
      </w:r>
    </w:p>
    <w:p>
      <w:pPr>
        <w:pStyle w:val="5"/>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供应商资格</w:t>
      </w:r>
      <w:r>
        <w:rPr>
          <w:rFonts w:hint="eastAsia" w:ascii="微软雅黑" w:hAnsi="微软雅黑" w:eastAsia="微软雅黑" w:cs="Tahoma"/>
          <w:color w:val="000000"/>
          <w:sz w:val="28"/>
          <w:szCs w:val="28"/>
        </w:rPr>
        <w:t>要求</w:t>
      </w:r>
    </w:p>
    <w:p>
      <w:pPr>
        <w:pStyle w:val="5"/>
        <w:numPr>
          <w:ilvl w:val="0"/>
          <w:numId w:val="2"/>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供应商必须是具有独立承担民事责任能力的在中华人民共和国境内注册的法人。</w:t>
      </w:r>
    </w:p>
    <w:p>
      <w:pPr>
        <w:pStyle w:val="5"/>
        <w:numPr>
          <w:ilvl w:val="0"/>
          <w:numId w:val="2"/>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单位负责人为同一人或者存在控股、管理关系的不同单位，不得参加同一采购项目报价。(供应商出具声明函)。</w:t>
      </w:r>
    </w:p>
    <w:p>
      <w:pPr>
        <w:pStyle w:val="5"/>
        <w:numPr>
          <w:ilvl w:val="0"/>
          <w:numId w:val="2"/>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供应商需提供参加本次采购活动前3年内在经营活动中没有重大违法记录的书面声明。</w:t>
      </w:r>
    </w:p>
    <w:p>
      <w:pPr>
        <w:pStyle w:val="5"/>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报名资料要求：资料按以下类型分四个压缩文件上传邮件附件（具体要求详见附件</w:t>
      </w:r>
      <w:r>
        <w:rPr>
          <w:rFonts w:ascii="微软雅黑" w:hAnsi="微软雅黑" w:eastAsia="微软雅黑" w:cs="Tahoma"/>
          <w:color w:val="000000"/>
          <w:sz w:val="28"/>
          <w:szCs w:val="28"/>
        </w:rPr>
        <w:t>2）：</w:t>
      </w:r>
    </w:p>
    <w:p>
      <w:pPr>
        <w:pStyle w:val="5"/>
        <w:numPr>
          <w:ilvl w:val="0"/>
          <w:numId w:val="3"/>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 xml:space="preserve">报价资料、后续维护服务     </w:t>
      </w:r>
    </w:p>
    <w:p>
      <w:pPr>
        <w:pStyle w:val="5"/>
        <w:numPr>
          <w:ilvl w:val="0"/>
          <w:numId w:val="3"/>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公司资质</w:t>
      </w:r>
    </w:p>
    <w:p>
      <w:pPr>
        <w:pStyle w:val="5"/>
        <w:numPr>
          <w:ilvl w:val="0"/>
          <w:numId w:val="3"/>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 xml:space="preserve">实施方案、实施周期         </w:t>
      </w:r>
    </w:p>
    <w:p>
      <w:pPr>
        <w:pStyle w:val="5"/>
        <w:numPr>
          <w:ilvl w:val="0"/>
          <w:numId w:val="3"/>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实施案例</w:t>
      </w:r>
    </w:p>
    <w:p>
      <w:pPr>
        <w:pStyle w:val="5"/>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资料递交方式：</w:t>
      </w:r>
    </w:p>
    <w:p>
      <w:pPr>
        <w:pStyle w:val="5"/>
        <w:shd w:val="clear" w:color="auto" w:fill="FFFFFF"/>
        <w:ind w:left="420" w:firstLine="560" w:firstLineChars="200"/>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将报名</w:t>
      </w:r>
      <w:r>
        <w:rPr>
          <w:rFonts w:ascii="微软雅黑" w:hAnsi="微软雅黑" w:eastAsia="微软雅黑" w:cs="Tahoma"/>
          <w:color w:val="000000"/>
          <w:sz w:val="28"/>
          <w:szCs w:val="28"/>
        </w:rPr>
        <w:t>资料</w:t>
      </w:r>
      <w:r>
        <w:rPr>
          <w:rFonts w:hint="eastAsia" w:ascii="微软雅黑" w:hAnsi="微软雅黑" w:eastAsia="微软雅黑" w:cs="Tahoma"/>
          <w:color w:val="000000"/>
          <w:sz w:val="28"/>
          <w:szCs w:val="28"/>
        </w:rPr>
        <w:t>电子版发至指定邮箱：</w:t>
      </w:r>
      <w:r>
        <w:rPr>
          <w:rFonts w:ascii="微软雅黑" w:hAnsi="微软雅黑" w:eastAsia="微软雅黑" w:cs="Tahoma"/>
          <w:color w:val="000000"/>
          <w:sz w:val="28"/>
          <w:szCs w:val="28"/>
        </w:rPr>
        <w:t>zhaojie0510@gdph.org.cn</w:t>
      </w:r>
      <w:r>
        <w:rPr>
          <w:rFonts w:hint="eastAsia" w:ascii="微软雅黑" w:hAnsi="微软雅黑" w:eastAsia="微软雅黑" w:cs="Tahoma"/>
          <w:color w:val="000000"/>
          <w:sz w:val="28"/>
          <w:szCs w:val="28"/>
        </w:rPr>
        <w:t>，截止日期以邮件发出时间为准。</w:t>
      </w:r>
      <w:r>
        <w:rPr>
          <w:rFonts w:ascii="微软雅黑" w:hAnsi="微软雅黑" w:eastAsia="微软雅黑" w:cs="Tahoma"/>
          <w:color w:val="000000"/>
          <w:sz w:val="28"/>
          <w:szCs w:val="28"/>
        </w:rPr>
        <w:t xml:space="preserve">                     </w:t>
      </w:r>
    </w:p>
    <w:p>
      <w:pPr>
        <w:pStyle w:val="5"/>
        <w:shd w:val="clear" w:color="auto" w:fill="FFFFFF"/>
        <w:spacing w:before="0" w:beforeAutospacing="0"/>
        <w:ind w:left="42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邮件主题命名格式：报价函（项目名称）</w:t>
      </w:r>
      <w:r>
        <w:rPr>
          <w:rFonts w:ascii="微软雅黑" w:hAnsi="微软雅黑" w:eastAsia="微软雅黑" w:cs="Tahoma"/>
          <w:color w:val="000000"/>
          <w:sz w:val="28"/>
          <w:szCs w:val="28"/>
        </w:rPr>
        <w:t>+公司名称</w:t>
      </w:r>
    </w:p>
    <w:p>
      <w:pPr>
        <w:pStyle w:val="5"/>
        <w:shd w:val="clear" w:color="auto" w:fill="FFFFFF"/>
        <w:ind w:left="420"/>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附件命名格式：项目名称</w:t>
      </w:r>
      <w:r>
        <w:rPr>
          <w:rFonts w:ascii="微软雅黑" w:hAnsi="微软雅黑" w:eastAsia="微软雅黑" w:cs="Tahoma"/>
          <w:color w:val="000000"/>
          <w:sz w:val="28"/>
          <w:szCs w:val="28"/>
        </w:rPr>
        <w:t>+公司简称+文件类型</w:t>
      </w:r>
    </w:p>
    <w:p>
      <w:pPr>
        <w:pStyle w:val="5"/>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注意事项</w:t>
      </w:r>
    </w:p>
    <w:p>
      <w:pPr>
        <w:pStyle w:val="5"/>
        <w:numPr>
          <w:ilvl w:val="0"/>
          <w:numId w:val="4"/>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各供应商必须按</w:t>
      </w:r>
      <w:r>
        <w:rPr>
          <w:rFonts w:hint="eastAsia" w:ascii="微软雅黑" w:hAnsi="微软雅黑" w:eastAsia="微软雅黑" w:cs="Tahoma"/>
          <w:color w:val="000000"/>
          <w:sz w:val="28"/>
          <w:szCs w:val="28"/>
        </w:rPr>
        <w:t>项目需求</w:t>
      </w:r>
      <w:r>
        <w:rPr>
          <w:rFonts w:ascii="微软雅黑" w:hAnsi="微软雅黑" w:eastAsia="微软雅黑" w:cs="Tahoma"/>
          <w:color w:val="000000"/>
          <w:sz w:val="28"/>
          <w:szCs w:val="28"/>
        </w:rPr>
        <w:t>如实制作方案并进行报价，杜绝弄虚作假，胡乱报价，各供应商报价一经确认禁止更改。</w:t>
      </w:r>
    </w:p>
    <w:p>
      <w:pPr>
        <w:pStyle w:val="5"/>
        <w:numPr>
          <w:ilvl w:val="0"/>
          <w:numId w:val="4"/>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项目严禁各供应商进行恶意竞争或其它违规行为，一经查实，将进入供应商黑名单。</w:t>
      </w:r>
    </w:p>
    <w:p>
      <w:pPr>
        <w:pStyle w:val="5"/>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lang w:eastAsia="zh-CN"/>
        </w:rPr>
        <w:t>报名事项</w:t>
      </w:r>
    </w:p>
    <w:p>
      <w:pPr>
        <w:pStyle w:val="5"/>
        <w:numPr>
          <w:ilvl w:val="0"/>
          <w:numId w:val="0"/>
        </w:numPr>
        <w:shd w:val="clear" w:color="auto" w:fill="FFFFFF"/>
        <w:spacing w:before="0" w:beforeAutospacing="0"/>
        <w:ind w:leftChars="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lang w:val="en-US" w:eastAsia="zh-CN"/>
        </w:rPr>
        <w:t>1、</w:t>
      </w:r>
      <w:r>
        <w:rPr>
          <w:rFonts w:hint="eastAsia" w:ascii="微软雅黑" w:hAnsi="微软雅黑" w:eastAsia="微软雅黑" w:cs="Tahoma"/>
          <w:color w:val="000000"/>
          <w:sz w:val="28"/>
          <w:szCs w:val="28"/>
        </w:rPr>
        <w:t>报名时间：</w:t>
      </w:r>
      <w:r>
        <w:rPr>
          <w:rFonts w:ascii="微软雅黑" w:hAnsi="微软雅黑" w:eastAsia="微软雅黑" w:cs="Tahoma"/>
          <w:color w:val="000000"/>
          <w:sz w:val="28"/>
          <w:szCs w:val="28"/>
        </w:rPr>
        <w:t>2020年4月</w:t>
      </w:r>
      <w:r>
        <w:rPr>
          <w:rFonts w:hint="eastAsia" w:ascii="微软雅黑" w:hAnsi="微软雅黑" w:eastAsia="微软雅黑" w:cs="Tahoma"/>
          <w:color w:val="000000"/>
          <w:sz w:val="28"/>
          <w:szCs w:val="28"/>
          <w:lang w:val="en-US" w:eastAsia="zh-CN"/>
        </w:rPr>
        <w:t>20</w:t>
      </w:r>
      <w:r>
        <w:rPr>
          <w:rFonts w:ascii="微软雅黑" w:hAnsi="微软雅黑" w:eastAsia="微软雅黑" w:cs="Tahoma"/>
          <w:color w:val="000000"/>
          <w:sz w:val="28"/>
          <w:szCs w:val="28"/>
        </w:rPr>
        <w:t>日至2020年4月30日</w:t>
      </w:r>
    </w:p>
    <w:p>
      <w:pPr>
        <w:pStyle w:val="5"/>
        <w:numPr>
          <w:ilvl w:val="0"/>
          <w:numId w:val="0"/>
        </w:numPr>
        <w:shd w:val="clear" w:color="auto" w:fill="FFFFFF"/>
        <w:spacing w:before="0" w:beforeAutospacing="0"/>
        <w:ind w:leftChars="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lang w:val="en-US" w:eastAsia="zh-CN"/>
        </w:rPr>
        <w:t>2、</w:t>
      </w:r>
      <w:r>
        <w:rPr>
          <w:rFonts w:ascii="微软雅黑" w:hAnsi="微软雅黑" w:eastAsia="微软雅黑" w:cs="Tahoma"/>
          <w:color w:val="000000"/>
          <w:sz w:val="28"/>
          <w:szCs w:val="28"/>
        </w:rPr>
        <w:t>联系人</w:t>
      </w:r>
      <w:r>
        <w:rPr>
          <w:rFonts w:hint="eastAsia" w:ascii="微软雅黑" w:hAnsi="微软雅黑" w:eastAsia="微软雅黑" w:cs="Tahoma"/>
          <w:color w:val="000000"/>
          <w:sz w:val="28"/>
          <w:szCs w:val="28"/>
        </w:rPr>
        <w:t>：赵</w:t>
      </w:r>
      <w:r>
        <w:rPr>
          <w:rFonts w:ascii="微软雅黑" w:hAnsi="微软雅黑" w:eastAsia="微软雅黑" w:cs="Tahoma"/>
          <w:color w:val="000000"/>
          <w:sz w:val="28"/>
          <w:szCs w:val="28"/>
        </w:rPr>
        <w:t>先生</w:t>
      </w:r>
      <w:r>
        <w:rPr>
          <w:rFonts w:hint="eastAsia" w:ascii="微软雅黑" w:hAnsi="微软雅黑" w:eastAsia="微软雅黑" w:cs="Tahoma"/>
          <w:color w:val="000000"/>
          <w:sz w:val="28"/>
          <w:szCs w:val="28"/>
          <w:lang w:val="en-US" w:eastAsia="zh-CN"/>
        </w:rPr>
        <w:t xml:space="preserve">   </w:t>
      </w:r>
      <w:r>
        <w:rPr>
          <w:rFonts w:hint="eastAsia" w:ascii="微软雅黑" w:hAnsi="微软雅黑" w:eastAsia="微软雅黑" w:cs="Tahoma"/>
          <w:color w:val="000000"/>
          <w:sz w:val="28"/>
          <w:szCs w:val="28"/>
        </w:rPr>
        <w:t>联系</w:t>
      </w:r>
      <w:r>
        <w:rPr>
          <w:rFonts w:ascii="微软雅黑" w:hAnsi="微软雅黑" w:eastAsia="微软雅黑" w:cs="Tahoma"/>
          <w:color w:val="000000"/>
          <w:sz w:val="28"/>
          <w:szCs w:val="28"/>
        </w:rPr>
        <w:t>电话： 83827812—20583。</w:t>
      </w:r>
    </w:p>
    <w:p>
      <w:pPr>
        <w:pStyle w:val="5"/>
        <w:widowControl/>
        <w:numPr>
          <w:numId w:val="0"/>
        </w:numPr>
        <w:shd w:val="clear" w:color="auto" w:fill="FFFFFF"/>
        <w:spacing w:before="0" w:beforeAutospacing="0" w:after="100" w:afterAutospacing="1"/>
        <w:jc w:val="both"/>
        <w:rPr>
          <w:rFonts w:ascii="微软雅黑" w:hAnsi="微软雅黑" w:eastAsia="微软雅黑" w:cs="Tahoma"/>
          <w:color w:val="000000"/>
          <w:sz w:val="28"/>
          <w:szCs w:val="28"/>
        </w:rPr>
      </w:pPr>
      <w:bookmarkStart w:id="0" w:name="_GoBack"/>
      <w:bookmarkEnd w:id="0"/>
    </w:p>
    <w:p>
      <w:pPr>
        <w:pStyle w:val="5"/>
        <w:shd w:val="clear" w:color="auto" w:fill="FFFFFF"/>
        <w:spacing w:before="0" w:beforeAutospacing="0"/>
        <w:jc w:val="center"/>
        <w:rPr>
          <w:rFonts w:ascii="微软雅黑" w:hAnsi="微软雅黑" w:eastAsia="微软雅黑" w:cs="Tahoma"/>
          <w:color w:val="000000"/>
          <w:sz w:val="28"/>
          <w:szCs w:val="28"/>
        </w:rPr>
      </w:pPr>
    </w:p>
    <w:p>
      <w:pPr>
        <w:pStyle w:val="5"/>
        <w:shd w:val="clear" w:color="auto" w:fill="FFFFFF"/>
        <w:spacing w:before="0" w:beforeAutospacing="0"/>
        <w:jc w:val="center"/>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 xml:space="preserve">                               </w:t>
      </w:r>
    </w:p>
    <w:p>
      <w:pPr>
        <w:widowControl/>
        <w:jc w:val="left"/>
        <w:rPr>
          <w:rFonts w:ascii="微软雅黑" w:hAnsi="微软雅黑" w:eastAsia="微软雅黑" w:cs="Tahoma"/>
          <w:color w:val="000000"/>
          <w:kern w:val="0"/>
          <w:sz w:val="28"/>
          <w:szCs w:val="28"/>
        </w:rPr>
      </w:pPr>
      <w:r>
        <w:rPr>
          <w:rFonts w:ascii="微软雅黑" w:hAnsi="微软雅黑" w:eastAsia="微软雅黑" w:cs="Tahoma"/>
          <w:color w:val="000000"/>
          <w:sz w:val="28"/>
          <w:szCs w:val="28"/>
        </w:rPr>
        <w:br w:type="page"/>
      </w:r>
    </w:p>
    <w:p>
      <w:pPr>
        <w:spacing w:line="360" w:lineRule="auto"/>
        <w:ind w:left="-1" w:leftChars="-67" w:hanging="140" w:hangingChars="50"/>
        <w:rPr>
          <w:rFonts w:ascii="微软雅黑" w:hAnsi="微软雅黑" w:eastAsia="微软雅黑"/>
          <w:b/>
          <w:sz w:val="28"/>
          <w:szCs w:val="28"/>
        </w:rPr>
      </w:pPr>
      <w:r>
        <w:rPr>
          <w:rFonts w:hint="eastAsia" w:ascii="微软雅黑" w:hAnsi="微软雅黑" w:eastAsia="微软雅黑"/>
          <w:b/>
          <w:sz w:val="28"/>
          <w:szCs w:val="28"/>
        </w:rPr>
        <w:t>附件1</w:t>
      </w:r>
    </w:p>
    <w:p>
      <w:pPr>
        <w:spacing w:line="360" w:lineRule="auto"/>
        <w:jc w:val="center"/>
        <w:rPr>
          <w:rFonts w:ascii="宋体" w:hAnsi="宋体"/>
          <w:sz w:val="18"/>
          <w:szCs w:val="18"/>
        </w:rPr>
      </w:pPr>
      <w:r>
        <w:rPr>
          <w:rFonts w:hint="eastAsia" w:ascii="宋体" w:hAnsi="宋体"/>
          <w:b/>
          <w:sz w:val="30"/>
          <w:szCs w:val="30"/>
        </w:rPr>
        <w:t>用户需求说明书</w:t>
      </w:r>
    </w:p>
    <w:p>
      <w:pPr>
        <w:spacing w:line="360" w:lineRule="auto"/>
        <w:jc w:val="left"/>
        <w:rPr>
          <w:rFonts w:ascii="宋体" w:hAnsi="宋体" w:eastAsia="宋体"/>
          <w:b/>
          <w:sz w:val="28"/>
          <w:szCs w:val="28"/>
        </w:rPr>
      </w:pPr>
      <w:r>
        <w:rPr>
          <w:rFonts w:hint="eastAsia" w:ascii="宋体" w:hAnsi="宋体" w:eastAsia="宋体"/>
          <w:b/>
          <w:sz w:val="28"/>
          <w:szCs w:val="28"/>
        </w:rPr>
        <w:t>项目背景</w:t>
      </w:r>
    </w:p>
    <w:p>
      <w:pPr>
        <w:spacing w:line="360" w:lineRule="auto"/>
        <w:ind w:firstLine="560" w:firstLineChars="200"/>
        <w:jc w:val="left"/>
        <w:rPr>
          <w:rFonts w:ascii="宋体" w:hAnsi="宋体" w:eastAsia="宋体"/>
          <w:sz w:val="28"/>
          <w:szCs w:val="28"/>
        </w:rPr>
      </w:pPr>
      <w:r>
        <w:rPr>
          <w:rFonts w:ascii="宋体" w:hAnsi="宋体" w:eastAsia="宋体"/>
          <w:sz w:val="28"/>
          <w:szCs w:val="28"/>
        </w:rPr>
        <w:t>国家卫生计生委《关于加强医疗卫生机构统方管理的规定》国卫纠发〔2014〕1号文件明确要求医疗卫生机构要建立健全信息系统的管理制度，对信息系统中有关药品、医用耗材用量等统计功能实行专人负责、加密管理。</w:t>
      </w:r>
    </w:p>
    <w:p>
      <w:pPr>
        <w:spacing w:line="360" w:lineRule="auto"/>
        <w:ind w:firstLine="560" w:firstLineChars="200"/>
        <w:jc w:val="left"/>
        <w:rPr>
          <w:rFonts w:ascii="宋体" w:hAnsi="宋体" w:eastAsia="宋体"/>
          <w:sz w:val="32"/>
          <w:szCs w:val="32"/>
        </w:rPr>
      </w:pPr>
      <w:r>
        <w:rPr>
          <w:rFonts w:ascii="宋体" w:hAnsi="宋体" w:eastAsia="宋体"/>
          <w:sz w:val="28"/>
          <w:szCs w:val="28"/>
        </w:rPr>
        <w:t>为进一步深化治理医药购销领域商业贿赂工作，规范医疗服务行为，严禁为不正当商业目的统计医生个人和临床科室有关药品、耗材用量信息，</w:t>
      </w:r>
      <w:r>
        <w:rPr>
          <w:rFonts w:hint="eastAsia" w:ascii="宋体" w:hAnsi="宋体" w:eastAsia="宋体"/>
          <w:sz w:val="28"/>
          <w:szCs w:val="28"/>
        </w:rPr>
        <w:t>医院需</w:t>
      </w:r>
      <w:r>
        <w:rPr>
          <w:rFonts w:ascii="宋体" w:hAnsi="宋体" w:eastAsia="宋体"/>
          <w:sz w:val="28"/>
          <w:szCs w:val="28"/>
        </w:rPr>
        <w:t>配建立防控医药购销领域商业贿赂长效机制，</w:t>
      </w:r>
      <w:r>
        <w:rPr>
          <w:rFonts w:hint="eastAsia" w:ascii="宋体" w:hAnsi="宋体" w:eastAsia="宋体"/>
          <w:sz w:val="28"/>
          <w:szCs w:val="28"/>
        </w:rPr>
        <w:t>并配</w:t>
      </w:r>
      <w:r>
        <w:rPr>
          <w:rFonts w:ascii="宋体" w:hAnsi="宋体" w:eastAsia="宋体"/>
          <w:sz w:val="28"/>
          <w:szCs w:val="28"/>
        </w:rPr>
        <w:t>有针对非法统方事件防止医院核心数据泄密的专业软件。</w:t>
      </w:r>
    </w:p>
    <w:p>
      <w:pPr>
        <w:spacing w:line="360" w:lineRule="auto"/>
        <w:jc w:val="left"/>
        <w:rPr>
          <w:rFonts w:ascii="宋体" w:hAnsi="宋体" w:eastAsia="宋体"/>
          <w:b/>
          <w:sz w:val="32"/>
          <w:szCs w:val="32"/>
        </w:rPr>
      </w:pPr>
      <w:r>
        <w:rPr>
          <w:rFonts w:hint="eastAsia" w:ascii="宋体" w:hAnsi="宋体" w:eastAsia="宋体"/>
          <w:b/>
          <w:sz w:val="32"/>
          <w:szCs w:val="32"/>
        </w:rPr>
        <w:t>功能要求</w:t>
      </w:r>
    </w:p>
    <w:tbl>
      <w:tblPr>
        <w:tblStyle w:val="6"/>
        <w:tblW w:w="892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1"/>
        <w:gridCol w:w="1276"/>
        <w:gridCol w:w="69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701" w:type="dxa"/>
            <w:tcBorders>
              <w:top w:val="single" w:color="000000" w:sz="6" w:space="0"/>
              <w:left w:val="single" w:color="000000" w:sz="6" w:space="0"/>
              <w:bottom w:val="single" w:color="000000" w:sz="6" w:space="0"/>
              <w:right w:val="single" w:color="000000" w:sz="6" w:space="0"/>
            </w:tcBorders>
            <w:shd w:val="clear" w:color="auto" w:fill="C0C0C0"/>
            <w:vAlign w:val="center"/>
          </w:tcPr>
          <w:p>
            <w:pPr>
              <w:spacing w:line="360" w:lineRule="auto"/>
              <w:jc w:val="center"/>
              <w:rPr>
                <w:rStyle w:val="11"/>
                <w:rFonts w:ascii="宋体" w:hAnsi="宋体" w:eastAsia="宋体" w:cs="宋体"/>
                <w:b/>
                <w:bCs/>
                <w:color w:val="000000"/>
                <w:szCs w:val="21"/>
              </w:rPr>
            </w:pPr>
            <w:r>
              <w:rPr>
                <w:rStyle w:val="11"/>
                <w:rFonts w:ascii="宋体" w:hAnsi="宋体" w:eastAsia="宋体"/>
                <w:b/>
                <w:color w:val="000000"/>
                <w:szCs w:val="21"/>
              </w:rPr>
              <w:t>序号</w:t>
            </w:r>
          </w:p>
        </w:tc>
        <w:tc>
          <w:tcPr>
            <w:tcW w:w="1276" w:type="dxa"/>
            <w:tcBorders>
              <w:top w:val="single" w:color="000000" w:sz="6" w:space="0"/>
              <w:left w:val="single" w:color="000000" w:sz="6" w:space="0"/>
              <w:bottom w:val="single" w:color="000000" w:sz="6" w:space="0"/>
              <w:right w:val="single" w:color="000000" w:sz="6" w:space="0"/>
            </w:tcBorders>
            <w:shd w:val="clear" w:color="auto" w:fill="C0C0C0"/>
            <w:vAlign w:val="center"/>
          </w:tcPr>
          <w:p>
            <w:pPr>
              <w:spacing w:line="360" w:lineRule="auto"/>
              <w:jc w:val="center"/>
              <w:rPr>
                <w:rStyle w:val="11"/>
                <w:rFonts w:ascii="宋体" w:hAnsi="宋体" w:eastAsia="宋体" w:cs="宋体"/>
                <w:b/>
                <w:bCs/>
                <w:color w:val="000000"/>
                <w:szCs w:val="21"/>
              </w:rPr>
            </w:pPr>
            <w:r>
              <w:rPr>
                <w:rStyle w:val="11"/>
                <w:rFonts w:ascii="宋体" w:hAnsi="宋体" w:eastAsia="宋体"/>
                <w:b/>
                <w:color w:val="000000"/>
                <w:szCs w:val="21"/>
              </w:rPr>
              <w:t>功能模块</w:t>
            </w:r>
          </w:p>
        </w:tc>
        <w:tc>
          <w:tcPr>
            <w:tcW w:w="6946" w:type="dxa"/>
            <w:tcBorders>
              <w:top w:val="single" w:color="000000" w:sz="6" w:space="0"/>
              <w:left w:val="single" w:color="000000" w:sz="6" w:space="0"/>
              <w:bottom w:val="single" w:color="000000" w:sz="6" w:space="0"/>
              <w:right w:val="single" w:color="000000" w:sz="6" w:space="0"/>
            </w:tcBorders>
            <w:shd w:val="clear" w:color="auto" w:fill="C0C0C0"/>
            <w:vAlign w:val="center"/>
          </w:tcPr>
          <w:p>
            <w:pPr>
              <w:spacing w:line="360" w:lineRule="auto"/>
              <w:jc w:val="center"/>
              <w:rPr>
                <w:rStyle w:val="11"/>
                <w:rFonts w:ascii="宋体" w:hAnsi="宋体" w:eastAsia="宋体"/>
                <w:color w:val="000000"/>
                <w:szCs w:val="21"/>
              </w:rPr>
            </w:pPr>
            <w:r>
              <w:rPr>
                <w:rStyle w:val="11"/>
                <w:rFonts w:ascii="宋体" w:hAnsi="宋体" w:eastAsia="宋体"/>
                <w:b/>
                <w:color w:val="000000"/>
                <w:szCs w:val="21"/>
              </w:rPr>
              <w:t>技术</w:t>
            </w:r>
            <w:r>
              <w:rPr>
                <w:rStyle w:val="11"/>
                <w:rFonts w:hint="eastAsia" w:ascii="宋体" w:hAnsi="宋体" w:eastAsia="宋体"/>
                <w:b/>
                <w:color w:val="000000"/>
                <w:szCs w:val="21"/>
              </w:rPr>
              <w:t>参数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701" w:type="dxa"/>
            <w:vMerge w:val="restart"/>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Style w:val="11"/>
                <w:rFonts w:ascii="宋体" w:hAnsi="宋体" w:eastAsia="宋体"/>
                <w:color w:val="000000"/>
                <w:szCs w:val="21"/>
              </w:rPr>
            </w:pPr>
            <w:r>
              <w:rPr>
                <w:rStyle w:val="11"/>
                <w:rFonts w:ascii="宋体" w:hAnsi="宋体" w:eastAsia="宋体"/>
                <w:color w:val="000000"/>
                <w:szCs w:val="21"/>
              </w:rPr>
              <w:t>1</w:t>
            </w:r>
          </w:p>
        </w:tc>
        <w:tc>
          <w:tcPr>
            <w:tcW w:w="1276" w:type="dxa"/>
            <w:vMerge w:val="restart"/>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Style w:val="11"/>
                <w:rFonts w:ascii="宋体" w:hAnsi="宋体" w:eastAsia="宋体" w:cs="宋体"/>
                <w:b/>
                <w:bCs/>
                <w:color w:val="000000"/>
                <w:szCs w:val="21"/>
              </w:rPr>
            </w:pPr>
            <w:r>
              <w:rPr>
                <w:rStyle w:val="11"/>
                <w:rFonts w:ascii="宋体" w:hAnsi="宋体" w:eastAsia="宋体" w:cs="宋体"/>
                <w:b/>
                <w:bCs/>
                <w:color w:val="000000"/>
                <w:szCs w:val="21"/>
              </w:rPr>
              <w:t>系统架构</w:t>
            </w: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r>
              <w:rPr>
                <w:rStyle w:val="11"/>
                <w:rFonts w:ascii="宋体" w:hAnsi="宋体" w:eastAsia="宋体"/>
                <w:color w:val="000000"/>
                <w:szCs w:val="21"/>
              </w:rPr>
              <w:t>管理、使用用户权限分开，相应权限的用户只能查看、管理相应的系统功能，责任明确。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701"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Style w:val="11"/>
                <w:rFonts w:ascii="宋体" w:hAnsi="宋体" w:eastAsia="宋体"/>
                <w:color w:val="000000"/>
                <w:szCs w:val="21"/>
              </w:rPr>
            </w:pPr>
          </w:p>
        </w:tc>
        <w:tc>
          <w:tcPr>
            <w:tcW w:w="1276"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s="宋体"/>
                <w:b/>
                <w:bCs/>
                <w:color w:val="000000"/>
                <w:szCs w:val="21"/>
              </w:rPr>
            </w:pP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r>
              <w:rPr>
                <w:rStyle w:val="11"/>
                <w:rFonts w:ascii="宋体" w:hAnsi="宋体" w:eastAsia="宋体"/>
                <w:color w:val="000000"/>
                <w:szCs w:val="21"/>
              </w:rPr>
              <w:t>系统支持双密码用户。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701"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Style w:val="11"/>
                <w:rFonts w:ascii="宋体" w:hAnsi="宋体" w:eastAsia="宋体"/>
                <w:color w:val="000000"/>
                <w:szCs w:val="21"/>
              </w:rPr>
            </w:pPr>
          </w:p>
        </w:tc>
        <w:tc>
          <w:tcPr>
            <w:tcW w:w="1276"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s="宋体"/>
                <w:b/>
                <w:bCs/>
                <w:color w:val="000000"/>
                <w:szCs w:val="21"/>
              </w:rPr>
            </w:pP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r>
              <w:rPr>
                <w:rStyle w:val="11"/>
                <w:rFonts w:ascii="宋体" w:hAnsi="宋体" w:eastAsia="宋体"/>
                <w:color w:val="000000"/>
                <w:szCs w:val="21"/>
              </w:rPr>
              <w:t>所有系统数据都支持加密传输，防止信息外泄。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701"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Style w:val="11"/>
                <w:rFonts w:ascii="宋体" w:hAnsi="宋体" w:eastAsia="宋体"/>
                <w:color w:val="000000"/>
                <w:szCs w:val="21"/>
              </w:rPr>
            </w:pPr>
          </w:p>
        </w:tc>
        <w:tc>
          <w:tcPr>
            <w:tcW w:w="1276"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s="宋体"/>
                <w:b/>
                <w:bCs/>
                <w:color w:val="000000"/>
                <w:szCs w:val="21"/>
              </w:rPr>
            </w:pP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r>
              <w:rPr>
                <w:rStyle w:val="11"/>
                <w:rFonts w:ascii="宋体" w:hAnsi="宋体" w:eastAsia="宋体"/>
                <w:color w:val="000000"/>
                <w:szCs w:val="21"/>
              </w:rPr>
              <w:t>系统的时间可以和关键服务器中的数据库的时间进行同步，确保记录时间的一致性。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 w:hRule="atLeast"/>
          <w:jc w:val="center"/>
        </w:trPr>
        <w:tc>
          <w:tcPr>
            <w:tcW w:w="701"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Style w:val="11"/>
                <w:rFonts w:ascii="宋体" w:hAnsi="宋体" w:eastAsia="宋体"/>
                <w:color w:val="000000"/>
                <w:szCs w:val="21"/>
              </w:rPr>
            </w:pPr>
          </w:p>
        </w:tc>
        <w:tc>
          <w:tcPr>
            <w:tcW w:w="1276"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s="宋体"/>
                <w:b/>
                <w:bCs/>
                <w:color w:val="000000"/>
                <w:szCs w:val="21"/>
              </w:rPr>
            </w:pP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r>
              <w:rPr>
                <w:rStyle w:val="11"/>
                <w:rFonts w:ascii="宋体" w:hAnsi="宋体" w:eastAsia="宋体"/>
                <w:color w:val="000000"/>
                <w:szCs w:val="21"/>
              </w:rPr>
              <w:t>具备用户行为记录功能，记录用户所有的操作（业务访问、系统维护、策略配置等）。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 w:hRule="atLeast"/>
          <w:jc w:val="center"/>
        </w:trPr>
        <w:tc>
          <w:tcPr>
            <w:tcW w:w="701"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1276"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r>
              <w:rPr>
                <w:rStyle w:val="11"/>
                <w:rFonts w:ascii="宋体" w:hAnsi="宋体" w:eastAsia="宋体"/>
                <w:color w:val="000000"/>
                <w:szCs w:val="21"/>
              </w:rPr>
              <w:t>系统配置文件支持导入、导出。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 w:hRule="atLeast"/>
          <w:jc w:val="center"/>
        </w:trPr>
        <w:tc>
          <w:tcPr>
            <w:tcW w:w="701"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1276"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r>
              <w:rPr>
                <w:rStyle w:val="11"/>
                <w:rFonts w:ascii="宋体" w:hAnsi="宋体" w:eastAsia="宋体"/>
                <w:color w:val="000000"/>
                <w:szCs w:val="21"/>
              </w:rPr>
              <w:t>采用B/S架构，提供中文WEB管理界面以便于管理。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 w:hRule="atLeast"/>
          <w:jc w:val="center"/>
        </w:trPr>
        <w:tc>
          <w:tcPr>
            <w:tcW w:w="701"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1276"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r>
              <w:rPr>
                <w:rStyle w:val="11"/>
                <w:rFonts w:ascii="宋体" w:hAnsi="宋体" w:eastAsia="宋体"/>
                <w:color w:val="000000"/>
                <w:szCs w:val="21"/>
              </w:rPr>
              <w:t>支持集群,系统支持冗余备份。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 w:hRule="atLeast"/>
          <w:jc w:val="center"/>
        </w:trPr>
        <w:tc>
          <w:tcPr>
            <w:tcW w:w="701"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1276"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r>
              <w:rPr>
                <w:rStyle w:val="11"/>
                <w:rFonts w:ascii="宋体" w:hAnsi="宋体" w:eastAsia="宋体"/>
                <w:szCs w:val="21"/>
              </w:rPr>
              <w:t>预留一定的接口，可支持双向对接</w:t>
            </w:r>
            <w:r>
              <w:rPr>
                <w:rStyle w:val="11"/>
                <w:rFonts w:hint="eastAsia" w:ascii="宋体" w:hAnsi="宋体" w:eastAsia="宋体"/>
                <w:szCs w:val="21"/>
              </w:rPr>
              <w:t>医院</w:t>
            </w:r>
            <w:r>
              <w:rPr>
                <w:rStyle w:val="11"/>
                <w:rFonts w:ascii="宋体" w:hAnsi="宋体" w:eastAsia="宋体"/>
                <w:szCs w:val="21"/>
              </w:rPr>
              <w:t>其他</w:t>
            </w:r>
            <w:r>
              <w:rPr>
                <w:rStyle w:val="11"/>
                <w:rFonts w:hint="eastAsia" w:ascii="宋体" w:hAnsi="宋体" w:eastAsia="宋体"/>
                <w:szCs w:val="21"/>
              </w:rPr>
              <w:t>业务</w:t>
            </w:r>
            <w:r>
              <w:rPr>
                <w:rStyle w:val="11"/>
                <w:rFonts w:ascii="宋体" w:hAnsi="宋体" w:eastAsia="宋体"/>
                <w:szCs w:val="21"/>
              </w:rPr>
              <w:t>系统</w:t>
            </w:r>
            <w:r>
              <w:rPr>
                <w:rStyle w:val="11"/>
                <w:rFonts w:hint="eastAsia" w:ascii="宋体" w:hAnsi="宋体" w:eastAsia="宋体"/>
                <w:szCs w:val="21"/>
              </w:rPr>
              <w:t>（如</w:t>
            </w:r>
            <w:r>
              <w:rPr>
                <w:rStyle w:val="11"/>
                <w:rFonts w:ascii="宋体" w:hAnsi="宋体" w:eastAsia="宋体"/>
                <w:szCs w:val="21"/>
              </w:rPr>
              <w:t>医德医风、抗菌用药</w:t>
            </w:r>
            <w:r>
              <w:rPr>
                <w:rStyle w:val="11"/>
                <w:rFonts w:hint="eastAsia" w:ascii="宋体" w:hAnsi="宋体" w:eastAsia="宋体"/>
                <w:szCs w:val="21"/>
              </w:rPr>
              <w:t>等</w:t>
            </w:r>
            <w:r>
              <w:rPr>
                <w:rStyle w:val="11"/>
                <w:rFonts w:ascii="宋体" w:hAnsi="宋体" w:eastAsia="宋体"/>
                <w:szCs w:val="21"/>
              </w:rPr>
              <w:t>系统</w:t>
            </w:r>
            <w:r>
              <w:rPr>
                <w:rStyle w:val="11"/>
                <w:rFonts w:hint="eastAsia" w:ascii="宋体" w:hAnsi="宋体" w:eastAsia="宋体"/>
                <w:szCs w:val="21"/>
              </w:rPr>
              <w:t>）</w:t>
            </w:r>
            <w:r>
              <w:rPr>
                <w:rStyle w:val="11"/>
                <w:rFonts w:ascii="宋体" w:hAnsi="宋体" w:eastAsia="宋体"/>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 w:hRule="atLeast"/>
          <w:jc w:val="center"/>
        </w:trPr>
        <w:tc>
          <w:tcPr>
            <w:tcW w:w="701"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1276"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szCs w:val="21"/>
              </w:rPr>
            </w:pPr>
            <w:r>
              <w:rPr>
                <w:rStyle w:val="11"/>
                <w:rFonts w:ascii="宋体" w:hAnsi="宋体" w:eastAsia="宋体"/>
                <w:color w:val="000000"/>
                <w:szCs w:val="21"/>
              </w:rPr>
              <w:t>系统内置故障排错系统，判断故障所在，帮助管理人员快速排查问题。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 w:hRule="atLeast"/>
          <w:jc w:val="center"/>
        </w:trPr>
        <w:tc>
          <w:tcPr>
            <w:tcW w:w="701"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1276"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szCs w:val="21"/>
              </w:rPr>
            </w:pPr>
            <w:r>
              <w:rPr>
                <w:rStyle w:val="11"/>
                <w:rFonts w:ascii="宋体" w:hAnsi="宋体" w:eastAsia="宋体"/>
                <w:szCs w:val="21"/>
              </w:rPr>
              <w:t>旁路监控设备支持以下配置：</w:t>
            </w:r>
          </w:p>
          <w:p>
            <w:pPr>
              <w:spacing w:line="360" w:lineRule="auto"/>
              <w:ind w:left="216" w:leftChars="103"/>
              <w:rPr>
                <w:rStyle w:val="11"/>
                <w:rFonts w:ascii="宋体" w:hAnsi="宋体" w:eastAsia="宋体"/>
                <w:szCs w:val="21"/>
              </w:rPr>
            </w:pPr>
            <w:r>
              <w:rPr>
                <w:rStyle w:val="11"/>
                <w:rFonts w:ascii="宋体" w:hAnsi="宋体" w:eastAsia="宋体"/>
                <w:szCs w:val="21"/>
              </w:rPr>
              <w:t>吞吐量：</w:t>
            </w:r>
            <w:r>
              <w:rPr>
                <w:rStyle w:val="11"/>
                <w:rFonts w:hint="eastAsia" w:ascii="宋体" w:hAnsi="宋体" w:eastAsia="宋体"/>
                <w:szCs w:val="21"/>
              </w:rPr>
              <w:t>2</w:t>
            </w:r>
            <w:r>
              <w:rPr>
                <w:rStyle w:val="11"/>
                <w:rFonts w:ascii="宋体" w:hAnsi="宋体" w:eastAsia="宋体"/>
                <w:szCs w:val="21"/>
              </w:rPr>
              <w:t>0Gbps。</w:t>
            </w:r>
          </w:p>
          <w:p>
            <w:pPr>
              <w:spacing w:line="360" w:lineRule="auto"/>
              <w:ind w:left="216" w:leftChars="103"/>
              <w:rPr>
                <w:rStyle w:val="11"/>
                <w:rFonts w:ascii="宋体" w:hAnsi="宋体" w:eastAsia="宋体"/>
                <w:szCs w:val="21"/>
              </w:rPr>
            </w:pPr>
            <w:r>
              <w:rPr>
                <w:rStyle w:val="11"/>
                <w:rFonts w:ascii="宋体" w:hAnsi="宋体" w:eastAsia="宋体"/>
                <w:szCs w:val="21"/>
              </w:rPr>
              <w:t>SQL事务数/秒：</w:t>
            </w:r>
            <w:r>
              <w:rPr>
                <w:rStyle w:val="11"/>
                <w:rFonts w:hint="eastAsia" w:ascii="宋体" w:hAnsi="宋体" w:eastAsia="宋体"/>
                <w:szCs w:val="21"/>
              </w:rPr>
              <w:t>2</w:t>
            </w:r>
            <w:r>
              <w:rPr>
                <w:rStyle w:val="11"/>
                <w:rFonts w:ascii="宋体" w:hAnsi="宋体" w:eastAsia="宋体"/>
                <w:szCs w:val="21"/>
              </w:rPr>
              <w:t>00,000。</w:t>
            </w:r>
          </w:p>
          <w:p>
            <w:pPr>
              <w:spacing w:line="360" w:lineRule="auto"/>
              <w:ind w:left="216" w:leftChars="103"/>
              <w:rPr>
                <w:rStyle w:val="11"/>
                <w:rFonts w:ascii="宋体" w:hAnsi="宋体" w:eastAsia="宋体"/>
                <w:szCs w:val="21"/>
              </w:rPr>
            </w:pPr>
            <w:r>
              <w:rPr>
                <w:rStyle w:val="11"/>
                <w:rFonts w:ascii="宋体" w:hAnsi="宋体" w:eastAsia="宋体"/>
                <w:szCs w:val="21"/>
              </w:rPr>
              <w:t>接口：10/100/1000M自适应电口*6；支持光纤监听接口：SPF多模光纤,可扩展</w:t>
            </w:r>
            <w:r>
              <w:rPr>
                <w:rStyle w:val="11"/>
                <w:rFonts w:hint="eastAsia" w:ascii="宋体" w:hAnsi="宋体" w:eastAsia="宋体"/>
                <w:szCs w:val="21"/>
              </w:rPr>
              <w:t>至4个；运行内存：64G；</w:t>
            </w:r>
          </w:p>
          <w:p>
            <w:pPr>
              <w:spacing w:line="360" w:lineRule="auto"/>
              <w:ind w:firstLine="210" w:firstLineChars="100"/>
              <w:rPr>
                <w:rStyle w:val="11"/>
                <w:rFonts w:ascii="宋体" w:hAnsi="宋体" w:eastAsia="宋体"/>
                <w:color w:val="000000"/>
                <w:szCs w:val="21"/>
              </w:rPr>
            </w:pPr>
            <w:r>
              <w:rPr>
                <w:rStyle w:val="11"/>
                <w:rFonts w:ascii="宋体" w:hAnsi="宋体" w:eastAsia="宋体"/>
                <w:szCs w:val="21"/>
              </w:rPr>
              <w:t>存储容量：</w:t>
            </w:r>
            <w:r>
              <w:rPr>
                <w:rStyle w:val="11"/>
                <w:rFonts w:hint="eastAsia" w:ascii="宋体" w:hAnsi="宋体" w:eastAsia="宋体"/>
                <w:szCs w:val="21"/>
              </w:rPr>
              <w:t>14T</w:t>
            </w:r>
            <w:r>
              <w:rPr>
                <w:rStyle w:val="11"/>
                <w:rFonts w:ascii="宋体" w:hAnsi="宋体" w:eastAsia="宋体"/>
                <w:szCs w:val="21"/>
              </w:rPr>
              <w:t>设备数据</w:t>
            </w:r>
            <w:r>
              <w:rPr>
                <w:rStyle w:val="11"/>
                <w:rFonts w:hint="eastAsia" w:ascii="宋体" w:hAnsi="宋体" w:eastAsia="宋体"/>
                <w:szCs w:val="21"/>
              </w:rPr>
              <w:t>，</w:t>
            </w:r>
            <w:r>
              <w:rPr>
                <w:rStyle w:val="11"/>
                <w:rFonts w:ascii="宋体" w:hAnsi="宋体" w:eastAsia="宋体"/>
                <w:szCs w:val="21"/>
              </w:rPr>
              <w:t>存储周期需满足《中华人民共和国网络安全法》和《信息安全等级保护管理办法》180天的要求。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701" w:type="dxa"/>
            <w:vMerge w:val="restart"/>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Style w:val="11"/>
                <w:rFonts w:ascii="宋体" w:hAnsi="宋体" w:eastAsia="宋体"/>
                <w:color w:val="000000"/>
                <w:szCs w:val="21"/>
              </w:rPr>
            </w:pPr>
            <w:r>
              <w:rPr>
                <w:rStyle w:val="11"/>
                <w:rFonts w:ascii="宋体" w:hAnsi="宋体" w:eastAsia="宋体"/>
                <w:color w:val="000000"/>
                <w:szCs w:val="21"/>
              </w:rPr>
              <w:t>2</w:t>
            </w:r>
          </w:p>
        </w:tc>
        <w:tc>
          <w:tcPr>
            <w:tcW w:w="1276" w:type="dxa"/>
            <w:vMerge w:val="restart"/>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Style w:val="11"/>
                <w:rFonts w:ascii="宋体" w:hAnsi="宋体" w:eastAsia="宋体" w:cs="宋体"/>
                <w:b/>
                <w:bCs/>
                <w:color w:val="000000"/>
                <w:szCs w:val="21"/>
              </w:rPr>
            </w:pPr>
            <w:r>
              <w:rPr>
                <w:rStyle w:val="11"/>
                <w:rFonts w:ascii="宋体" w:hAnsi="宋体" w:eastAsia="宋体" w:cs="宋体"/>
                <w:b/>
                <w:bCs/>
                <w:color w:val="000000"/>
                <w:szCs w:val="21"/>
              </w:rPr>
              <w:t>防统方模块</w:t>
            </w: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r>
              <w:rPr>
                <w:rStyle w:val="11"/>
                <w:rFonts w:ascii="宋体" w:hAnsi="宋体" w:eastAsia="宋体"/>
                <w:szCs w:val="21"/>
              </w:rPr>
              <w:t>应用AI人工智能进行非法统计医嘱\处方分析，内置防统方知识库，</w:t>
            </w:r>
            <w:r>
              <w:rPr>
                <w:rStyle w:val="11"/>
                <w:rFonts w:hint="eastAsia" w:ascii="宋体" w:hAnsi="宋体" w:eastAsia="宋体"/>
                <w:szCs w:val="21"/>
              </w:rPr>
              <w:t>通过机器自动学习建模快速关联分析操作人员的一个时间段内的行为，判定操作是否违规，对可疑人员重点把控，可</w:t>
            </w:r>
            <w:r>
              <w:rPr>
                <w:rStyle w:val="11"/>
                <w:rFonts w:ascii="宋体" w:hAnsi="宋体" w:eastAsia="宋体"/>
                <w:szCs w:val="21"/>
              </w:rPr>
              <w:t>将</w:t>
            </w:r>
            <w:r>
              <w:rPr>
                <w:rStyle w:val="11"/>
                <w:rFonts w:hint="eastAsia" w:ascii="宋体" w:hAnsi="宋体" w:eastAsia="宋体"/>
                <w:szCs w:val="21"/>
              </w:rPr>
              <w:t>危险级别</w:t>
            </w:r>
            <w:r>
              <w:rPr>
                <w:rStyle w:val="11"/>
                <w:rFonts w:ascii="宋体" w:hAnsi="宋体" w:eastAsia="宋体"/>
                <w:szCs w:val="21"/>
              </w:rPr>
              <w:t>风险</w:t>
            </w:r>
            <w:r>
              <w:rPr>
                <w:rStyle w:val="11"/>
                <w:rFonts w:hint="eastAsia" w:ascii="宋体" w:hAnsi="宋体" w:eastAsia="宋体"/>
                <w:szCs w:val="21"/>
              </w:rPr>
              <w:t>细</w:t>
            </w:r>
            <w:r>
              <w:rPr>
                <w:rStyle w:val="11"/>
                <w:rFonts w:ascii="宋体" w:hAnsi="宋体" w:eastAsia="宋体"/>
                <w:szCs w:val="21"/>
              </w:rPr>
              <w:t>分为</w:t>
            </w:r>
            <w:r>
              <w:rPr>
                <w:rStyle w:val="11"/>
                <w:rFonts w:hint="eastAsia" w:ascii="宋体" w:hAnsi="宋体" w:eastAsia="宋体"/>
                <w:szCs w:val="21"/>
              </w:rPr>
              <w:t>危险、非常危险、极度危险，</w:t>
            </w:r>
            <w:r>
              <w:rPr>
                <w:rStyle w:val="11"/>
                <w:rFonts w:ascii="宋体" w:hAnsi="宋体" w:eastAsia="宋体"/>
                <w:szCs w:val="21"/>
              </w:rPr>
              <w:t>并生成报告和相关建议规则。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701"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Style w:val="11"/>
                <w:rFonts w:ascii="宋体" w:hAnsi="宋体" w:eastAsia="宋体"/>
                <w:color w:val="000000"/>
                <w:szCs w:val="21"/>
              </w:rPr>
            </w:pPr>
          </w:p>
        </w:tc>
        <w:tc>
          <w:tcPr>
            <w:tcW w:w="1276"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s="宋体"/>
                <w:b/>
                <w:bCs/>
                <w:color w:val="000000"/>
                <w:szCs w:val="21"/>
              </w:rPr>
            </w:pP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r>
              <w:rPr>
                <w:rStyle w:val="11"/>
                <w:rFonts w:ascii="宋体" w:hAnsi="宋体" w:eastAsia="宋体"/>
                <w:szCs w:val="21"/>
              </w:rPr>
              <w:t>旁路部署，不需要更改现有网络结构、服务器相关配置，系统运行不得影响现有网络和业务的正常运行。系统能独立完成审计数据采集</w:t>
            </w:r>
            <w:r>
              <w:rPr>
                <w:rStyle w:val="11"/>
                <w:rFonts w:hint="eastAsia" w:ascii="宋体" w:hAnsi="宋体" w:eastAsia="宋体"/>
                <w:szCs w:val="21"/>
              </w:rPr>
              <w:t>和防统方告警</w:t>
            </w:r>
            <w:r>
              <w:rPr>
                <w:rStyle w:val="11"/>
                <w:rFonts w:ascii="宋体" w:hAnsi="宋体" w:eastAsia="宋体"/>
                <w:szCs w:val="21"/>
              </w:rPr>
              <w:t>，不依赖于数据库自身审计日志系统，不得在现有服务器上安装可能带来风险的程序。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701"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Style w:val="11"/>
                <w:rFonts w:ascii="宋体" w:hAnsi="宋体" w:eastAsia="宋体"/>
                <w:color w:val="000000"/>
                <w:szCs w:val="21"/>
              </w:rPr>
            </w:pPr>
          </w:p>
        </w:tc>
        <w:tc>
          <w:tcPr>
            <w:tcW w:w="1276"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s="宋体"/>
                <w:b/>
                <w:bCs/>
                <w:color w:val="000000"/>
                <w:szCs w:val="21"/>
              </w:rPr>
            </w:pP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r>
              <w:rPr>
                <w:rStyle w:val="11"/>
                <w:rFonts w:ascii="宋体" w:hAnsi="宋体" w:eastAsia="宋体"/>
                <w:szCs w:val="21"/>
              </w:rPr>
              <w:t>分析可疑对象的信息，包括</w:t>
            </w:r>
            <w:r>
              <w:rPr>
                <w:rStyle w:val="11"/>
                <w:rFonts w:hint="eastAsia" w:ascii="宋体" w:hAnsi="宋体" w:eastAsia="宋体"/>
                <w:szCs w:val="21"/>
              </w:rPr>
              <w:t>使用人姓名，工号、</w:t>
            </w:r>
            <w:r>
              <w:rPr>
                <w:rStyle w:val="11"/>
                <w:rFonts w:ascii="宋体" w:hAnsi="宋体" w:eastAsia="宋体"/>
                <w:szCs w:val="21"/>
              </w:rPr>
              <w:t>IP、端口、MAC、主机名、</w:t>
            </w:r>
            <w:r>
              <w:rPr>
                <w:rStyle w:val="11"/>
                <w:rFonts w:hint="eastAsia" w:ascii="宋体" w:hAnsi="宋体" w:eastAsia="宋体"/>
                <w:szCs w:val="21"/>
              </w:rPr>
              <w:t>主机所在</w:t>
            </w:r>
            <w:r>
              <w:rPr>
                <w:rStyle w:val="11"/>
                <w:rFonts w:ascii="宋体" w:hAnsi="宋体" w:eastAsia="宋体"/>
                <w:szCs w:val="21"/>
              </w:rPr>
              <w:t>地址（</w:t>
            </w:r>
            <w:r>
              <w:rPr>
                <w:rStyle w:val="11"/>
                <w:rFonts w:hint="eastAsia" w:ascii="宋体" w:hAnsi="宋体" w:eastAsia="宋体"/>
                <w:szCs w:val="21"/>
              </w:rPr>
              <w:t>楼层</w:t>
            </w:r>
            <w:r>
              <w:rPr>
                <w:rStyle w:val="11"/>
                <w:rFonts w:ascii="宋体" w:hAnsi="宋体" w:eastAsia="宋体"/>
                <w:szCs w:val="21"/>
              </w:rPr>
              <w:t>或科室）</w:t>
            </w:r>
            <w:r>
              <w:rPr>
                <w:rStyle w:val="11"/>
                <w:rFonts w:hint="eastAsia" w:ascii="宋体" w:hAnsi="宋体" w:eastAsia="宋体"/>
                <w:szCs w:val="21"/>
              </w:rPr>
              <w:t>、</w:t>
            </w:r>
            <w:r>
              <w:rPr>
                <w:rStyle w:val="11"/>
                <w:rFonts w:ascii="宋体" w:hAnsi="宋体" w:eastAsia="宋体"/>
                <w:szCs w:val="21"/>
              </w:rPr>
              <w:t>程序信息、数据库连接信息。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 w:hRule="atLeast"/>
          <w:jc w:val="center"/>
        </w:trPr>
        <w:tc>
          <w:tcPr>
            <w:tcW w:w="701"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1276"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r>
              <w:rPr>
                <w:rStyle w:val="11"/>
                <w:rFonts w:ascii="宋体" w:hAnsi="宋体" w:eastAsia="宋体"/>
                <w:szCs w:val="21"/>
              </w:rPr>
              <w:t>系统从业务流程角度入手，结合核心数据特征，提供高度集成的“事前+事中+事后”数据防护手段。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701"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1276"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s="宋体"/>
                <w:szCs w:val="21"/>
              </w:rPr>
            </w:pPr>
            <w:r>
              <w:rPr>
                <w:rFonts w:hint="eastAsia" w:ascii="宋体" w:hAnsi="宋体" w:eastAsia="宋体" w:cs="宋体"/>
                <w:szCs w:val="21"/>
              </w:rPr>
              <w:t>应用云计算功能提供数据分析平台，可</w:t>
            </w:r>
            <w:r>
              <w:rPr>
                <w:rStyle w:val="11"/>
                <w:rFonts w:ascii="宋体" w:hAnsi="宋体" w:eastAsia="宋体"/>
                <w:szCs w:val="21"/>
              </w:rPr>
              <w:t>每</w:t>
            </w:r>
            <w:r>
              <w:rPr>
                <w:rStyle w:val="11"/>
                <w:rFonts w:hint="eastAsia" w:ascii="宋体" w:hAnsi="宋体" w:eastAsia="宋体"/>
                <w:szCs w:val="21"/>
              </w:rPr>
              <w:t>周</w:t>
            </w:r>
            <w:r>
              <w:rPr>
                <w:rStyle w:val="11"/>
                <w:rFonts w:ascii="宋体" w:hAnsi="宋体" w:eastAsia="宋体"/>
                <w:szCs w:val="21"/>
              </w:rPr>
              <w:t>/</w:t>
            </w:r>
            <w:r>
              <w:rPr>
                <w:rStyle w:val="11"/>
                <w:rFonts w:hint="eastAsia" w:ascii="宋体" w:hAnsi="宋体" w:eastAsia="宋体"/>
                <w:szCs w:val="21"/>
              </w:rPr>
              <w:t>月</w:t>
            </w:r>
            <w:r>
              <w:rPr>
                <w:rFonts w:hint="eastAsia" w:ascii="宋体" w:hAnsi="宋体" w:eastAsia="宋体" w:cs="宋体"/>
                <w:szCs w:val="21"/>
              </w:rPr>
              <w:t>对用户提交的数据进行自主分析，并生成报告和相关建议规则反馈给用户。</w:t>
            </w:r>
            <w:r>
              <w:rPr>
                <w:rStyle w:val="11"/>
                <w:rFonts w:ascii="宋体" w:hAnsi="宋体" w:eastAsia="宋体"/>
                <w:szCs w:val="21"/>
              </w:rPr>
              <w:t>报告需简单明了，且具有主动将所有的计算机语言翻译成通俗易懂的自然语言的系统机制，支持将整条SQL语句翻译成中文，</w:t>
            </w:r>
            <w:r>
              <w:rPr>
                <w:rStyle w:val="11"/>
                <w:rFonts w:hint="eastAsia" w:ascii="宋体" w:hAnsi="宋体" w:eastAsia="宋体"/>
                <w:szCs w:val="21"/>
              </w:rPr>
              <w:t>分析异常统方数据，排查风险。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6" w:hRule="atLeast"/>
          <w:jc w:val="center"/>
        </w:trPr>
        <w:tc>
          <w:tcPr>
            <w:tcW w:w="701"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1276"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szCs w:val="21"/>
              </w:rPr>
            </w:pPr>
            <w:r>
              <w:rPr>
                <w:rStyle w:val="11"/>
                <w:rFonts w:ascii="宋体" w:hAnsi="宋体" w:eastAsia="宋体"/>
                <w:szCs w:val="21"/>
              </w:rPr>
              <w:t>支持医院信息管理系统多层结构，提供全方位的三层（应用层、中间层、数据库层）的访问审计，三层关联必需支持自动关联，以提升关联准确度和审计人员追踪索源难度，同时需要支持手动关联，可以直接追踪到前端业务的操作人员IP地址、MAC地址和用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jc w:val="center"/>
        </w:trPr>
        <w:tc>
          <w:tcPr>
            <w:tcW w:w="701"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1276"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szCs w:val="21"/>
              </w:rPr>
            </w:pPr>
            <w:r>
              <w:rPr>
                <w:rStyle w:val="11"/>
                <w:rFonts w:ascii="宋体" w:hAnsi="宋体" w:eastAsia="宋体"/>
                <w:szCs w:val="21"/>
              </w:rPr>
              <w:t>支持医院各生产系统中财务数据、病人资料、药品信息、医院资产等核心数据的审计监控。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 w:hRule="atLeast"/>
          <w:jc w:val="center"/>
        </w:trPr>
        <w:tc>
          <w:tcPr>
            <w:tcW w:w="701"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1276"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szCs w:val="21"/>
              </w:rPr>
            </w:pPr>
            <w:r>
              <w:rPr>
                <w:rStyle w:val="11"/>
                <w:rFonts w:ascii="宋体" w:hAnsi="宋体" w:eastAsia="宋体"/>
                <w:szCs w:val="21"/>
              </w:rPr>
              <w:t>可疑对象定位功能，可以精确定位可疑对象的物理位置。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 w:hRule="atLeast"/>
          <w:jc w:val="center"/>
        </w:trPr>
        <w:tc>
          <w:tcPr>
            <w:tcW w:w="701"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1276"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szCs w:val="21"/>
              </w:rPr>
            </w:pPr>
            <w:r>
              <w:rPr>
                <w:rFonts w:hint="eastAsia" w:ascii="宋体" w:hAnsi="宋体" w:eastAsia="宋体" w:cs="宋体"/>
                <w:szCs w:val="21"/>
              </w:rPr>
              <w:t>统方白名单权限的设置，可对授权统方行为的操作人员工号、操作类型、IP地址、客户端工具、操作系统用户名、主机名、MAC地址、SQL语句和操作的时间范围等条件进行设置，只有通过了授权和验证才可以获得统方权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 w:hRule="atLeast"/>
          <w:jc w:val="center"/>
        </w:trPr>
        <w:tc>
          <w:tcPr>
            <w:tcW w:w="701"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1276"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Fonts w:ascii="宋体" w:hAnsi="宋体" w:eastAsia="宋体" w:cs="宋体"/>
                <w:szCs w:val="21"/>
              </w:rPr>
            </w:pPr>
            <w:r>
              <w:rPr>
                <w:rFonts w:hint="eastAsia" w:ascii="宋体" w:hAnsi="宋体" w:eastAsia="宋体" w:cs="宋体"/>
                <w:szCs w:val="21"/>
              </w:rPr>
              <w:t>具有操作阻断功能，当敏感操作行为发生时可以实时阻断对数据库的访问操作。要求在不改变网络交换机配置的情况下，阻断功能必须可配置对一天内一个终端的阻断次数、阻断终端个数、阻断持续时间进行界面配置；阻断的记录要能通过消息形式提醒用户，阻断消息必须可以界面查询；阻断必须具备白名单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 w:hRule="atLeast"/>
          <w:jc w:val="center"/>
        </w:trPr>
        <w:tc>
          <w:tcPr>
            <w:tcW w:w="701"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1276"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color w:val="000000"/>
                <w:szCs w:val="21"/>
              </w:rPr>
            </w:pPr>
            <w:r>
              <w:rPr>
                <w:rStyle w:val="11"/>
                <w:rFonts w:ascii="宋体" w:hAnsi="宋体" w:eastAsia="宋体"/>
                <w:szCs w:val="21"/>
              </w:rPr>
              <w:t>支持对双向数据包的解析、识别及还原，不仅对请求进行实时监控，而且还可对返回结果进行完整的还原，根据非法统计医嘱\处方行为的特征实时告警，提供产品截图。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 w:hRule="atLeast"/>
          <w:jc w:val="center"/>
        </w:trPr>
        <w:tc>
          <w:tcPr>
            <w:tcW w:w="701" w:type="dxa"/>
            <w:vMerge w:val="restart"/>
            <w:tcBorders>
              <w:top w:val="single" w:color="000000" w:sz="6" w:space="0"/>
              <w:left w:val="single" w:color="000000" w:sz="6" w:space="0"/>
              <w:right w:val="single" w:color="000000" w:sz="6" w:space="0"/>
            </w:tcBorders>
            <w:vAlign w:val="center"/>
          </w:tcPr>
          <w:p>
            <w:pPr>
              <w:spacing w:line="360" w:lineRule="auto"/>
              <w:jc w:val="center"/>
              <w:rPr>
                <w:rStyle w:val="11"/>
                <w:rFonts w:ascii="宋体" w:hAnsi="宋体" w:eastAsia="宋体"/>
                <w:color w:val="000000"/>
                <w:szCs w:val="21"/>
              </w:rPr>
            </w:pPr>
            <w:r>
              <w:rPr>
                <w:rStyle w:val="11"/>
                <w:rFonts w:hint="eastAsia" w:ascii="宋体" w:hAnsi="宋体" w:eastAsia="宋体"/>
                <w:color w:val="000000"/>
                <w:szCs w:val="21"/>
              </w:rPr>
              <w:t>3</w:t>
            </w:r>
          </w:p>
        </w:tc>
        <w:tc>
          <w:tcPr>
            <w:tcW w:w="1276" w:type="dxa"/>
            <w:vMerge w:val="restart"/>
            <w:tcBorders>
              <w:top w:val="single" w:color="000000" w:sz="6" w:space="0"/>
              <w:left w:val="single" w:color="000000" w:sz="6" w:space="0"/>
              <w:right w:val="single" w:color="000000" w:sz="6" w:space="0"/>
            </w:tcBorders>
            <w:vAlign w:val="center"/>
          </w:tcPr>
          <w:p>
            <w:pPr>
              <w:spacing w:line="360" w:lineRule="auto"/>
              <w:rPr>
                <w:rStyle w:val="11"/>
                <w:rFonts w:ascii="宋体" w:hAnsi="宋体" w:eastAsia="宋体"/>
                <w:color w:val="000000"/>
                <w:szCs w:val="21"/>
              </w:rPr>
            </w:pPr>
            <w:r>
              <w:rPr>
                <w:rStyle w:val="11"/>
                <w:rFonts w:hint="eastAsia" w:ascii="宋体" w:hAnsi="宋体" w:eastAsia="宋体" w:cs="宋体"/>
                <w:b/>
                <w:bCs/>
                <w:color w:val="000000"/>
                <w:szCs w:val="21"/>
              </w:rPr>
              <w:t>数据库审计管理</w:t>
            </w: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szCs w:val="21"/>
              </w:rPr>
            </w:pPr>
            <w:r>
              <w:rPr>
                <w:rStyle w:val="11"/>
                <w:rFonts w:ascii="宋体" w:hAnsi="宋体" w:eastAsia="宋体"/>
                <w:szCs w:val="21"/>
              </w:rPr>
              <w:t>审计主体、审计客体、日志格式、规则分析能力、报表、告警、存储等模块</w:t>
            </w:r>
            <w:r>
              <w:rPr>
                <w:rStyle w:val="11"/>
                <w:rFonts w:hint="eastAsia" w:ascii="宋体" w:hAnsi="宋体" w:eastAsia="宋体"/>
                <w:szCs w:val="21"/>
              </w:rPr>
              <w:t>均满足</w:t>
            </w:r>
            <w:r>
              <w:rPr>
                <w:rStyle w:val="11"/>
                <w:rFonts w:ascii="宋体" w:hAnsi="宋体" w:eastAsia="宋体"/>
                <w:szCs w:val="21"/>
              </w:rPr>
              <w:t>等级保护基本要求和测评要求设计研制。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 w:hRule="atLeast"/>
          <w:jc w:val="center"/>
        </w:trPr>
        <w:tc>
          <w:tcPr>
            <w:tcW w:w="701" w:type="dxa"/>
            <w:vMerge w:val="continue"/>
            <w:tcBorders>
              <w:left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1276" w:type="dxa"/>
            <w:vMerge w:val="continue"/>
            <w:tcBorders>
              <w:left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szCs w:val="21"/>
              </w:rPr>
            </w:pPr>
            <w:r>
              <w:rPr>
                <w:rFonts w:hint="eastAsia" w:ascii="宋体" w:hAnsi="宋体" w:eastAsia="宋体" w:cs="宋体"/>
                <w:szCs w:val="21"/>
              </w:rPr>
              <w:t>支持对Oracle、MS-SQL 、DB2、MYSQL、CACHE DB、POSTGRESQL和Sybase 等数据库提供自动化评估、审计和保护功能,可审计的数据库或集群数量不少于6个，并且可以是一个oracle库另外一个是其它服务器上的SQL数据库。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 w:hRule="atLeast"/>
          <w:jc w:val="center"/>
        </w:trPr>
        <w:tc>
          <w:tcPr>
            <w:tcW w:w="701" w:type="dxa"/>
            <w:vMerge w:val="continue"/>
            <w:tcBorders>
              <w:left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1276" w:type="dxa"/>
            <w:vMerge w:val="continue"/>
            <w:tcBorders>
              <w:left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szCs w:val="21"/>
              </w:rPr>
            </w:pPr>
            <w:r>
              <w:rPr>
                <w:rFonts w:hint="eastAsia" w:ascii="宋体" w:hAnsi="宋体" w:eastAsia="宋体" w:cs="宋体"/>
                <w:szCs w:val="21"/>
              </w:rPr>
              <w:t>主动/被动方式监控关键服务器的开放端口，提供扫描现有应用系统的漏洞。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 w:hRule="atLeast"/>
          <w:jc w:val="center"/>
        </w:trPr>
        <w:tc>
          <w:tcPr>
            <w:tcW w:w="701" w:type="dxa"/>
            <w:vMerge w:val="continue"/>
            <w:tcBorders>
              <w:left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1276" w:type="dxa"/>
            <w:vMerge w:val="continue"/>
            <w:tcBorders>
              <w:left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szCs w:val="21"/>
              </w:rPr>
            </w:pPr>
            <w:r>
              <w:rPr>
                <w:rFonts w:hint="eastAsia" w:ascii="宋体" w:hAnsi="宋体" w:eastAsia="宋体" w:cs="宋体"/>
                <w:szCs w:val="21"/>
              </w:rPr>
              <w:t>用户可以根据需要自定义规则，并能根据设定的条件产生审计报告。能对审计结果进行多条件组合查询，比如按下列条件查询：IP地址、MAC地址、表名、操作方式、计算机名、数据库名、程序名等。并就能支持按关键词进行模糊查询。查询结果应支持多种格式(excel、pdf、txt等)导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 w:hRule="atLeast"/>
          <w:jc w:val="center"/>
        </w:trPr>
        <w:tc>
          <w:tcPr>
            <w:tcW w:w="701" w:type="dxa"/>
            <w:vMerge w:val="continue"/>
            <w:tcBorders>
              <w:left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1276" w:type="dxa"/>
            <w:vMerge w:val="continue"/>
            <w:tcBorders>
              <w:left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szCs w:val="21"/>
              </w:rPr>
            </w:pPr>
            <w:r>
              <w:rPr>
                <w:rFonts w:hint="eastAsia" w:ascii="宋体" w:hAnsi="宋体" w:eastAsia="宋体" w:cs="宋体"/>
                <w:szCs w:val="21"/>
              </w:rPr>
              <w:t>系统可以监控、记录并且还原客户端连接到服务器的TELNET/FTP等远程登录操作信息，记录内容包括客户端IP地址，客户端MAC地址，服务器地址以及产生记录的时间，并提供多种查询，支持多种文件格式导出。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 w:hRule="atLeast"/>
          <w:jc w:val="center"/>
        </w:trPr>
        <w:tc>
          <w:tcPr>
            <w:tcW w:w="701" w:type="dxa"/>
            <w:vMerge w:val="continue"/>
            <w:tcBorders>
              <w:left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1276" w:type="dxa"/>
            <w:vMerge w:val="continue"/>
            <w:tcBorders>
              <w:left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szCs w:val="21"/>
              </w:rPr>
            </w:pPr>
            <w:r>
              <w:rPr>
                <w:rFonts w:hint="eastAsia" w:ascii="宋体" w:hAnsi="宋体" w:eastAsia="宋体" w:cs="宋体"/>
                <w:kern w:val="0"/>
                <w:szCs w:val="21"/>
              </w:rPr>
              <w:t>支持指定非关注策略，系统将非关注的内容进行过滤，不进行记录，降低了存储空间和无用信息的堆砌。策略因子包括：数据库操作来源IP地址、数据库登录用户名称、数据库操作源程序名称、数据库操作源终端名称、数据库操作源终端用户名称、SQL操作语句（DDL、DML、DCL）、数据库表组（表、列）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 w:hRule="atLeast"/>
          <w:jc w:val="center"/>
        </w:trPr>
        <w:tc>
          <w:tcPr>
            <w:tcW w:w="701" w:type="dxa"/>
            <w:vMerge w:val="continue"/>
            <w:tcBorders>
              <w:left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1276" w:type="dxa"/>
            <w:vMerge w:val="continue"/>
            <w:tcBorders>
              <w:left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szCs w:val="21"/>
              </w:rPr>
            </w:pPr>
            <w:r>
              <w:rPr>
                <w:rFonts w:hint="eastAsia" w:ascii="宋体" w:hAnsi="宋体" w:eastAsia="宋体" w:cs="宋体"/>
                <w:kern w:val="0"/>
                <w:szCs w:val="21"/>
              </w:rPr>
              <w:t>提供数据库登录用户名称异常探测、数据库操作源终端异常探测、数据库操作源程序名称异常探测、数据库操作源终端用户名称异常探测，可设定异常黑白名单，对客户端地址、客户端程序、数据库账号、客户端用户名以及执行结果等异常的行为进行异常告警，支持自主学习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 w:hRule="atLeast"/>
          <w:jc w:val="center"/>
        </w:trPr>
        <w:tc>
          <w:tcPr>
            <w:tcW w:w="701" w:type="dxa"/>
            <w:vMerge w:val="continue"/>
            <w:tcBorders>
              <w:left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1276" w:type="dxa"/>
            <w:vMerge w:val="continue"/>
            <w:tcBorders>
              <w:left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szCs w:val="21"/>
              </w:rPr>
            </w:pPr>
            <w:r>
              <w:rPr>
                <w:rFonts w:hint="eastAsia" w:ascii="宋体" w:hAnsi="宋体" w:eastAsia="宋体" w:cs="宋体"/>
                <w:szCs w:val="21"/>
              </w:rPr>
              <w:t>系统能支持多个网段客户端对数据库操作行为的会话审计，能够对各种访问数据的途径（如客户端软件、PL/SQL、SQL*Plus、PB、Toad等各种SQL操作工具）进行监控和设计，可以跟踪审计某某时间、某某IP、某某计算机名、某某用户对数据库服务器进行了该类操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 w:hRule="atLeast"/>
          <w:jc w:val="center"/>
        </w:trPr>
        <w:tc>
          <w:tcPr>
            <w:tcW w:w="701" w:type="dxa"/>
            <w:vMerge w:val="continue"/>
            <w:tcBorders>
              <w:left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1276" w:type="dxa"/>
            <w:vMerge w:val="continue"/>
            <w:tcBorders>
              <w:left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szCs w:val="21"/>
              </w:rPr>
            </w:pPr>
            <w:r>
              <w:rPr>
                <w:rFonts w:hint="eastAsia" w:ascii="宋体" w:hAnsi="宋体" w:eastAsia="宋体" w:cs="宋体"/>
                <w:szCs w:val="21"/>
              </w:rPr>
              <w:t>能够检测网络拷贝等操作,能够检测通过网络KVM发出的指令。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 w:hRule="atLeast"/>
          <w:jc w:val="center"/>
        </w:trPr>
        <w:tc>
          <w:tcPr>
            <w:tcW w:w="701" w:type="dxa"/>
            <w:vMerge w:val="continue"/>
            <w:tcBorders>
              <w:left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1276" w:type="dxa"/>
            <w:vMerge w:val="continue"/>
            <w:tcBorders>
              <w:left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szCs w:val="21"/>
              </w:rPr>
            </w:pPr>
            <w:r>
              <w:rPr>
                <w:rFonts w:hint="eastAsia" w:ascii="宋体" w:hAnsi="宋体" w:eastAsia="宋体" w:cs="宋体"/>
                <w:szCs w:val="21"/>
              </w:rPr>
              <w:t>系统能支持对数据库SQL操作语句的详细审计，可以分析出每条语句的操作方式、表名、存储过程名、详细操作内容，执行时长、操作成功/失败，受影响行数，关联表与关联表数等字段信息，可审计并还原SQL操作语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 w:hRule="atLeast"/>
          <w:jc w:val="center"/>
        </w:trPr>
        <w:tc>
          <w:tcPr>
            <w:tcW w:w="701" w:type="dxa"/>
            <w:vMerge w:val="continue"/>
            <w:tcBorders>
              <w:left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1276" w:type="dxa"/>
            <w:vMerge w:val="continue"/>
            <w:tcBorders>
              <w:left w:val="single" w:color="000000" w:sz="6" w:space="0"/>
              <w:right w:val="single" w:color="000000" w:sz="6" w:space="0"/>
            </w:tcBorders>
            <w:vAlign w:val="center"/>
          </w:tcPr>
          <w:p>
            <w:pPr>
              <w:spacing w:line="360" w:lineRule="auto"/>
              <w:rPr>
                <w:rStyle w:val="11"/>
                <w:rFonts w:ascii="宋体" w:hAnsi="宋体" w:eastAsia="宋体"/>
                <w:color w:val="000000"/>
                <w:szCs w:val="21"/>
              </w:rPr>
            </w:pP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szCs w:val="21"/>
              </w:rPr>
            </w:pPr>
            <w:r>
              <w:rPr>
                <w:rFonts w:hint="eastAsia" w:ascii="宋体" w:hAnsi="宋体" w:eastAsia="宋体" w:cs="宋体"/>
                <w:szCs w:val="21"/>
              </w:rPr>
              <w:t>可根据SQL执行的时间长短设定规则，如命令执行时长超过30秒进行告警；可根据返回记录数多少设定规则，如SQL操作返回的记录数或受影响的行数大于等于10000行时进行告警。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701"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Style w:val="11"/>
                <w:rFonts w:ascii="宋体" w:hAnsi="宋体" w:eastAsia="宋体"/>
                <w:color w:val="000000"/>
                <w:szCs w:val="21"/>
              </w:rPr>
            </w:pPr>
            <w:r>
              <w:rPr>
                <w:rStyle w:val="11"/>
                <w:rFonts w:ascii="宋体" w:hAnsi="宋体" w:eastAsia="宋体"/>
                <w:color w:val="000000"/>
                <w:szCs w:val="21"/>
              </w:rPr>
              <w:t>4</w:t>
            </w:r>
          </w:p>
        </w:tc>
        <w:tc>
          <w:tcPr>
            <w:tcW w:w="127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Style w:val="11"/>
                <w:rFonts w:ascii="宋体" w:hAnsi="宋体" w:eastAsia="宋体" w:cs="宋体"/>
                <w:b/>
                <w:bCs/>
                <w:color w:val="000000"/>
                <w:szCs w:val="21"/>
              </w:rPr>
            </w:pPr>
            <w:r>
              <w:rPr>
                <w:rStyle w:val="11"/>
                <w:rFonts w:ascii="宋体" w:hAnsi="宋体" w:eastAsia="宋体" w:cs="宋体"/>
                <w:b/>
                <w:bCs/>
                <w:color w:val="000000"/>
                <w:kern w:val="0"/>
                <w:szCs w:val="21"/>
              </w:rPr>
              <w:t>告警模块</w:t>
            </w:r>
          </w:p>
        </w:tc>
        <w:tc>
          <w:tcPr>
            <w:tcW w:w="6946"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1"/>
                <w:rFonts w:ascii="宋体" w:hAnsi="宋体" w:eastAsia="宋体"/>
                <w:szCs w:val="21"/>
              </w:rPr>
            </w:pPr>
            <w:r>
              <w:rPr>
                <w:rStyle w:val="11"/>
                <w:rFonts w:ascii="宋体" w:hAnsi="宋体" w:eastAsia="宋体"/>
                <w:szCs w:val="21"/>
              </w:rPr>
              <w:t>可根据用户自定义规则实时发出手机短信通知</w:t>
            </w:r>
            <w:r>
              <w:rPr>
                <w:rStyle w:val="11"/>
                <w:rFonts w:hint="eastAsia" w:ascii="宋体" w:hAnsi="宋体" w:eastAsia="宋体"/>
                <w:szCs w:val="21"/>
              </w:rPr>
              <w:t>\App</w:t>
            </w:r>
            <w:r>
              <w:rPr>
                <w:rStyle w:val="11"/>
                <w:rFonts w:ascii="宋体" w:hAnsi="宋体" w:eastAsia="宋体"/>
                <w:szCs w:val="21"/>
              </w:rPr>
              <w:t>和邮件提醒等多种方式的告警信息，并支持配备相应的告警信息发送设备。</w:t>
            </w:r>
          </w:p>
        </w:tc>
      </w:tr>
    </w:tbl>
    <w:p>
      <w:pPr>
        <w:spacing w:line="360" w:lineRule="auto"/>
        <w:rPr>
          <w:rFonts w:ascii="微软雅黑" w:hAnsi="微软雅黑" w:eastAsia="微软雅黑"/>
          <w:b/>
          <w:sz w:val="28"/>
          <w:szCs w:val="28"/>
        </w:rPr>
      </w:pPr>
    </w:p>
    <w:p>
      <w:pPr>
        <w:spacing w:line="360" w:lineRule="auto"/>
        <w:ind w:left="-1" w:leftChars="-67" w:hanging="140" w:hangingChars="50"/>
        <w:rPr>
          <w:rFonts w:ascii="微软雅黑" w:hAnsi="微软雅黑" w:eastAsia="微软雅黑"/>
          <w:b/>
          <w:sz w:val="28"/>
          <w:szCs w:val="28"/>
        </w:rPr>
      </w:pPr>
    </w:p>
    <w:p>
      <w:pPr>
        <w:spacing w:line="360" w:lineRule="auto"/>
        <w:ind w:left="-1" w:leftChars="-67" w:hanging="140" w:hangingChars="50"/>
        <w:rPr>
          <w:rFonts w:ascii="微软雅黑" w:hAnsi="微软雅黑" w:eastAsia="微软雅黑"/>
          <w:b/>
          <w:sz w:val="28"/>
          <w:szCs w:val="28"/>
        </w:rPr>
      </w:pPr>
    </w:p>
    <w:p>
      <w:pPr>
        <w:spacing w:line="360" w:lineRule="auto"/>
        <w:ind w:left="-1" w:leftChars="-67" w:hanging="140" w:hangingChars="50"/>
        <w:rPr>
          <w:rFonts w:ascii="微软雅黑" w:hAnsi="微软雅黑" w:eastAsia="微软雅黑"/>
          <w:b/>
          <w:sz w:val="28"/>
          <w:szCs w:val="28"/>
        </w:rPr>
      </w:pPr>
    </w:p>
    <w:p>
      <w:pPr>
        <w:spacing w:line="360" w:lineRule="auto"/>
        <w:ind w:left="-1" w:leftChars="-67" w:hanging="140" w:hangingChars="50"/>
        <w:rPr>
          <w:rFonts w:ascii="微软雅黑" w:hAnsi="微软雅黑" w:eastAsia="微软雅黑"/>
          <w:b/>
          <w:sz w:val="28"/>
          <w:szCs w:val="28"/>
        </w:rPr>
      </w:pPr>
    </w:p>
    <w:p>
      <w:pPr>
        <w:spacing w:line="360" w:lineRule="auto"/>
        <w:ind w:left="-1" w:leftChars="-67" w:hanging="140" w:hangingChars="50"/>
        <w:rPr>
          <w:rFonts w:ascii="微软雅黑" w:hAnsi="微软雅黑" w:eastAsia="微软雅黑"/>
          <w:b/>
          <w:sz w:val="28"/>
          <w:szCs w:val="28"/>
        </w:rPr>
      </w:pPr>
    </w:p>
    <w:p>
      <w:pPr>
        <w:spacing w:line="360" w:lineRule="auto"/>
        <w:ind w:left="-1" w:leftChars="-67" w:hanging="140" w:hangingChars="50"/>
        <w:rPr>
          <w:rFonts w:ascii="微软雅黑" w:hAnsi="微软雅黑" w:eastAsia="微软雅黑"/>
          <w:b/>
          <w:sz w:val="28"/>
          <w:szCs w:val="28"/>
        </w:rPr>
      </w:pPr>
    </w:p>
    <w:p>
      <w:pPr>
        <w:spacing w:line="360" w:lineRule="auto"/>
        <w:ind w:left="-1" w:leftChars="-67" w:hanging="140" w:hangingChars="50"/>
        <w:rPr>
          <w:rFonts w:ascii="微软雅黑" w:hAnsi="微软雅黑" w:eastAsia="微软雅黑"/>
          <w:b/>
          <w:sz w:val="28"/>
          <w:szCs w:val="28"/>
        </w:rPr>
      </w:pPr>
    </w:p>
    <w:p>
      <w:pPr>
        <w:spacing w:line="360" w:lineRule="auto"/>
        <w:ind w:left="-1" w:leftChars="-67" w:hanging="140" w:hangingChars="50"/>
        <w:rPr>
          <w:rFonts w:ascii="微软雅黑" w:hAnsi="微软雅黑" w:eastAsia="微软雅黑"/>
          <w:b/>
          <w:sz w:val="28"/>
          <w:szCs w:val="28"/>
        </w:rPr>
      </w:pPr>
    </w:p>
    <w:p>
      <w:pPr>
        <w:spacing w:line="360" w:lineRule="auto"/>
        <w:ind w:left="-1" w:leftChars="-67" w:hanging="140" w:hangingChars="50"/>
        <w:rPr>
          <w:rFonts w:ascii="微软雅黑" w:hAnsi="微软雅黑" w:eastAsia="微软雅黑"/>
          <w:b/>
          <w:sz w:val="28"/>
          <w:szCs w:val="28"/>
        </w:rPr>
      </w:pPr>
    </w:p>
    <w:p>
      <w:pPr>
        <w:spacing w:line="360" w:lineRule="auto"/>
        <w:ind w:left="-1" w:leftChars="-67" w:hanging="140" w:hangingChars="50"/>
        <w:rPr>
          <w:rFonts w:ascii="微软雅黑" w:hAnsi="微软雅黑" w:eastAsia="微软雅黑"/>
          <w:b/>
          <w:sz w:val="28"/>
          <w:szCs w:val="28"/>
        </w:rPr>
      </w:pPr>
    </w:p>
    <w:p>
      <w:pPr>
        <w:spacing w:line="360" w:lineRule="auto"/>
        <w:ind w:left="-1" w:leftChars="-67" w:hanging="140" w:hangingChars="50"/>
        <w:rPr>
          <w:rFonts w:hint="eastAsia" w:ascii="微软雅黑" w:hAnsi="微软雅黑" w:eastAsia="微软雅黑"/>
          <w:b/>
          <w:sz w:val="28"/>
          <w:szCs w:val="28"/>
        </w:rPr>
      </w:pPr>
    </w:p>
    <w:p>
      <w:pPr>
        <w:spacing w:line="360" w:lineRule="auto"/>
        <w:ind w:left="-1" w:leftChars="-67" w:hanging="140" w:hangingChars="50"/>
        <w:rPr>
          <w:rFonts w:ascii="微软雅黑" w:hAnsi="微软雅黑" w:eastAsia="微软雅黑"/>
          <w:b/>
          <w:sz w:val="28"/>
          <w:szCs w:val="28"/>
        </w:rPr>
      </w:pPr>
      <w:r>
        <w:rPr>
          <w:rFonts w:hint="eastAsia" w:ascii="微软雅黑" w:hAnsi="微软雅黑" w:eastAsia="微软雅黑"/>
          <w:b/>
          <w:sz w:val="28"/>
          <w:szCs w:val="28"/>
        </w:rPr>
        <w:t>附件2</w:t>
      </w:r>
    </w:p>
    <w:p>
      <w:pPr>
        <w:spacing w:line="360" w:lineRule="auto"/>
        <w:ind w:left="19" w:leftChars="-67" w:hanging="160" w:hangingChars="50"/>
        <w:jc w:val="center"/>
        <w:rPr>
          <w:rFonts w:ascii="微软雅黑" w:hAnsi="微软雅黑" w:eastAsia="微软雅黑"/>
          <w:b/>
          <w:sz w:val="32"/>
          <w:szCs w:val="32"/>
        </w:rPr>
      </w:pPr>
      <w:r>
        <w:rPr>
          <w:rFonts w:ascii="微软雅黑" w:hAnsi="微软雅黑" w:eastAsia="微软雅黑"/>
          <w:b/>
          <w:sz w:val="32"/>
          <w:szCs w:val="32"/>
        </w:rPr>
        <w:t>报名资料要求</w:t>
      </w:r>
    </w:p>
    <w:tbl>
      <w:tblPr>
        <w:tblStyle w:val="6"/>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9"/>
        <w:gridCol w:w="1285"/>
        <w:gridCol w:w="3992"/>
        <w:gridCol w:w="40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jc w:val="center"/>
        </w:trPr>
        <w:tc>
          <w:tcPr>
            <w:tcW w:w="679" w:type="dxa"/>
          </w:tcPr>
          <w:p>
            <w:pPr>
              <w:spacing w:line="360" w:lineRule="auto"/>
              <w:jc w:val="center"/>
              <w:rPr>
                <w:rFonts w:ascii="微软雅黑" w:hAnsi="微软雅黑" w:eastAsia="微软雅黑"/>
                <w:b/>
                <w:szCs w:val="21"/>
              </w:rPr>
            </w:pPr>
            <w:r>
              <w:rPr>
                <w:rFonts w:hint="eastAsia" w:ascii="微软雅黑" w:hAnsi="微软雅黑" w:eastAsia="微软雅黑"/>
                <w:b/>
                <w:szCs w:val="21"/>
              </w:rPr>
              <w:t>文件</w:t>
            </w:r>
          </w:p>
        </w:tc>
        <w:tc>
          <w:tcPr>
            <w:tcW w:w="1285" w:type="dxa"/>
          </w:tcPr>
          <w:p>
            <w:pPr>
              <w:spacing w:line="360" w:lineRule="auto"/>
              <w:jc w:val="center"/>
              <w:rPr>
                <w:rFonts w:ascii="微软雅黑" w:hAnsi="微软雅黑" w:eastAsia="微软雅黑"/>
                <w:b/>
                <w:szCs w:val="21"/>
              </w:rPr>
            </w:pPr>
            <w:r>
              <w:rPr>
                <w:rFonts w:hint="eastAsia" w:ascii="微软雅黑" w:hAnsi="微软雅黑" w:eastAsia="微软雅黑"/>
                <w:b/>
                <w:szCs w:val="21"/>
              </w:rPr>
              <w:t>类型</w:t>
            </w:r>
          </w:p>
        </w:tc>
        <w:tc>
          <w:tcPr>
            <w:tcW w:w="3992" w:type="dxa"/>
          </w:tcPr>
          <w:p>
            <w:pPr>
              <w:spacing w:line="360" w:lineRule="auto"/>
              <w:jc w:val="center"/>
              <w:rPr>
                <w:rFonts w:ascii="微软雅黑" w:hAnsi="微软雅黑" w:eastAsia="微软雅黑"/>
                <w:b/>
                <w:szCs w:val="21"/>
              </w:rPr>
            </w:pPr>
            <w:r>
              <w:rPr>
                <w:rFonts w:hint="eastAsia" w:ascii="微软雅黑" w:hAnsi="微软雅黑" w:eastAsia="微软雅黑"/>
                <w:b/>
                <w:szCs w:val="21"/>
              </w:rPr>
              <w:t>内容</w:t>
            </w:r>
          </w:p>
        </w:tc>
        <w:tc>
          <w:tcPr>
            <w:tcW w:w="4075" w:type="dxa"/>
          </w:tcPr>
          <w:p>
            <w:pPr>
              <w:spacing w:line="360" w:lineRule="auto"/>
              <w:jc w:val="center"/>
              <w:rPr>
                <w:rFonts w:ascii="微软雅黑" w:hAnsi="微软雅黑" w:eastAsia="微软雅黑"/>
                <w:b/>
                <w:szCs w:val="21"/>
              </w:rPr>
            </w:pPr>
            <w:r>
              <w:rPr>
                <w:rFonts w:hint="eastAsia" w:ascii="微软雅黑" w:hAnsi="微软雅黑" w:eastAsia="微软雅黑"/>
                <w:b/>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8" w:hRule="exact"/>
          <w:jc w:val="center"/>
        </w:trPr>
        <w:tc>
          <w:tcPr>
            <w:tcW w:w="679" w:type="dxa"/>
            <w:vMerge w:val="restart"/>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1</w:t>
            </w:r>
          </w:p>
        </w:tc>
        <w:tc>
          <w:tcPr>
            <w:tcW w:w="1285" w:type="dxa"/>
            <w:vMerge w:val="restart"/>
            <w:vAlign w:val="center"/>
          </w:tcPr>
          <w:p>
            <w:pPr>
              <w:spacing w:line="360" w:lineRule="auto"/>
              <w:jc w:val="center"/>
              <w:rPr>
                <w:rFonts w:ascii="微软雅黑" w:hAnsi="微软雅黑" w:eastAsia="微软雅黑"/>
                <w:b/>
                <w:szCs w:val="21"/>
              </w:rPr>
            </w:pPr>
            <w:r>
              <w:rPr>
                <w:rFonts w:hint="eastAsia" w:ascii="微软雅黑" w:hAnsi="微软雅黑" w:eastAsia="微软雅黑"/>
                <w:szCs w:val="21"/>
              </w:rPr>
              <w:t>报价资料、</w:t>
            </w:r>
            <w:r>
              <w:rPr>
                <w:rFonts w:ascii="微软雅黑" w:hAnsi="微软雅黑" w:eastAsia="微软雅黑" w:cs="宋体"/>
                <w:bCs/>
                <w:kern w:val="0"/>
                <w:szCs w:val="21"/>
              </w:rPr>
              <w:t>后续维护服务</w:t>
            </w:r>
          </w:p>
        </w:tc>
        <w:tc>
          <w:tcPr>
            <w:tcW w:w="3992" w:type="dxa"/>
            <w:vAlign w:val="center"/>
          </w:tcPr>
          <w:p>
            <w:pPr>
              <w:rPr>
                <w:rFonts w:ascii="微软雅黑" w:hAnsi="微软雅黑" w:eastAsia="微软雅黑"/>
                <w:b/>
                <w:szCs w:val="21"/>
              </w:rPr>
            </w:pPr>
            <w:r>
              <w:rPr>
                <w:rFonts w:ascii="微软雅黑" w:hAnsi="微软雅黑" w:eastAsia="微软雅黑" w:cs="宋体"/>
                <w:kern w:val="0"/>
                <w:szCs w:val="21"/>
              </w:rPr>
              <w:t>1</w:t>
            </w:r>
            <w:r>
              <w:rPr>
                <w:rFonts w:hint="eastAsia" w:ascii="微软雅黑" w:hAnsi="微软雅黑" w:eastAsia="微软雅黑" w:cs="宋体"/>
                <w:kern w:val="0"/>
                <w:szCs w:val="21"/>
              </w:rPr>
              <w:t>.</w:t>
            </w:r>
            <w:r>
              <w:rPr>
                <w:rFonts w:ascii="微软雅黑" w:hAnsi="微软雅黑" w:eastAsia="微软雅黑" w:cs="宋体"/>
                <w:kern w:val="0"/>
                <w:szCs w:val="21"/>
              </w:rPr>
              <w:t>项目整体报价</w:t>
            </w:r>
            <w:r>
              <w:rPr>
                <w:rFonts w:hint="eastAsia" w:ascii="微软雅黑" w:hAnsi="微软雅黑" w:eastAsia="微软雅黑"/>
                <w:szCs w:val="21"/>
              </w:rPr>
              <w:t>及各功能模块/硬件清单明细报价；</w:t>
            </w:r>
            <w:r>
              <w:rPr>
                <w:rFonts w:hint="eastAsia" w:ascii="微软雅黑" w:hAnsi="微软雅黑" w:eastAsia="微软雅黑"/>
                <w:b/>
                <w:szCs w:val="21"/>
              </w:rPr>
              <w:t xml:space="preserve"> </w:t>
            </w:r>
          </w:p>
        </w:tc>
        <w:tc>
          <w:tcPr>
            <w:tcW w:w="4075" w:type="dxa"/>
            <w:vMerge w:val="restart"/>
          </w:tcPr>
          <w:p>
            <w:pPr>
              <w:spacing w:line="500" w:lineRule="exact"/>
              <w:rPr>
                <w:rFonts w:ascii="微软雅黑" w:hAnsi="微软雅黑" w:eastAsia="微软雅黑"/>
                <w:szCs w:val="21"/>
              </w:rPr>
            </w:pPr>
            <w:r>
              <w:rPr>
                <w:rFonts w:hint="eastAsia" w:ascii="微软雅黑" w:hAnsi="微软雅黑" w:eastAsia="微软雅黑"/>
                <w:szCs w:val="21"/>
              </w:rPr>
              <w:t>（1）一份盖章扫描版，一份可编辑的WORD版或excel版；</w:t>
            </w:r>
          </w:p>
          <w:p>
            <w:pPr>
              <w:spacing w:line="500" w:lineRule="exact"/>
              <w:rPr>
                <w:rFonts w:ascii="微软雅黑" w:hAnsi="微软雅黑" w:eastAsia="微软雅黑"/>
                <w:szCs w:val="21"/>
              </w:rPr>
            </w:pPr>
            <w:r>
              <w:rPr>
                <w:rFonts w:hint="eastAsia" w:ascii="微软雅黑" w:hAnsi="微软雅黑" w:eastAsia="微软雅黑"/>
                <w:szCs w:val="21"/>
              </w:rPr>
              <w:t>（2）报价函扫描版请加盖贵司公章；</w:t>
            </w:r>
          </w:p>
          <w:p>
            <w:pPr>
              <w:spacing w:line="500" w:lineRule="exact"/>
              <w:rPr>
                <w:rFonts w:ascii="微软雅黑" w:hAnsi="微软雅黑" w:eastAsia="微软雅黑"/>
                <w:szCs w:val="21"/>
              </w:rPr>
            </w:pPr>
            <w:r>
              <w:rPr>
                <w:rFonts w:hint="eastAsia" w:ascii="微软雅黑" w:hAnsi="微软雅黑" w:eastAsia="微软雅黑"/>
                <w:szCs w:val="21"/>
              </w:rPr>
              <w:t>（3）相关售后质量及服务承诺。</w:t>
            </w:r>
          </w:p>
          <w:p>
            <w:pPr>
              <w:spacing w:line="500" w:lineRule="exact"/>
              <w:rPr>
                <w:rFonts w:ascii="微软雅黑" w:hAnsi="微软雅黑" w:eastAsia="微软雅黑"/>
                <w:szCs w:val="21"/>
              </w:rPr>
            </w:pPr>
            <w:r>
              <w:rPr>
                <w:rFonts w:hint="eastAsia" w:ascii="微软雅黑" w:hAnsi="微软雅黑" w:eastAsia="微软雅黑"/>
                <w:szCs w:val="21"/>
              </w:rPr>
              <w:t>（4）硬件清单明细报价需按各推荐品牌分别报价。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hint="eastAsia" w:ascii="微软雅黑" w:hAnsi="微软雅黑" w:eastAsia="微软雅黑" w:cs="宋体"/>
                <w:kern w:val="0"/>
                <w:szCs w:val="21"/>
              </w:rPr>
              <w:t>2.</w:t>
            </w:r>
            <w:r>
              <w:rPr>
                <w:rFonts w:ascii="微软雅黑" w:hAnsi="微软雅黑" w:eastAsia="微软雅黑" w:cs="宋体"/>
                <w:kern w:val="0"/>
                <w:szCs w:val="21"/>
              </w:rPr>
              <w:t>免费维保期</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hint="eastAsia" w:ascii="微软雅黑" w:hAnsi="微软雅黑" w:eastAsia="微软雅黑" w:cs="宋体"/>
                <w:kern w:val="0"/>
                <w:szCs w:val="21"/>
              </w:rPr>
              <w:t>3.</w:t>
            </w:r>
            <w:r>
              <w:rPr>
                <w:rFonts w:ascii="微软雅黑" w:hAnsi="微软雅黑" w:eastAsia="微软雅黑" w:cs="宋体"/>
                <w:kern w:val="0"/>
                <w:szCs w:val="21"/>
              </w:rPr>
              <w:t>免费维保期后维保费率</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hint="eastAsia" w:ascii="微软雅黑" w:hAnsi="微软雅黑" w:eastAsia="微软雅黑" w:cs="宋体"/>
                <w:kern w:val="0"/>
                <w:szCs w:val="21"/>
              </w:rPr>
              <w:t>4.</w:t>
            </w:r>
            <w:r>
              <w:rPr>
                <w:rFonts w:ascii="微软雅黑" w:hAnsi="微软雅黑" w:eastAsia="微软雅黑" w:cs="宋体"/>
                <w:kern w:val="0"/>
                <w:szCs w:val="21"/>
              </w:rPr>
              <w:t>本地维护团队</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hint="eastAsia" w:ascii="微软雅黑" w:hAnsi="微软雅黑" w:eastAsia="微软雅黑" w:cs="宋体"/>
                <w:kern w:val="0"/>
                <w:szCs w:val="21"/>
              </w:rPr>
              <w:t>5.</w:t>
            </w:r>
            <w:r>
              <w:rPr>
                <w:rFonts w:hint="eastAsia" w:ascii="微软雅黑" w:hAnsi="微软雅黑" w:eastAsia="微软雅黑"/>
                <w:szCs w:val="21"/>
              </w:rPr>
              <w:t>公司项目联系人及联系方式。</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exact"/>
          <w:jc w:val="center"/>
        </w:trPr>
        <w:tc>
          <w:tcPr>
            <w:tcW w:w="679" w:type="dxa"/>
            <w:vMerge w:val="restart"/>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2</w:t>
            </w:r>
          </w:p>
        </w:tc>
        <w:tc>
          <w:tcPr>
            <w:tcW w:w="1285" w:type="dxa"/>
            <w:vMerge w:val="restart"/>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公司资质</w:t>
            </w: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1</w:t>
            </w:r>
            <w:r>
              <w:rPr>
                <w:rFonts w:hint="eastAsia" w:ascii="微软雅黑" w:hAnsi="微软雅黑" w:eastAsia="微软雅黑" w:cs="宋体"/>
                <w:kern w:val="0"/>
                <w:szCs w:val="21"/>
              </w:rPr>
              <w:t>.</w:t>
            </w:r>
            <w:r>
              <w:rPr>
                <w:rFonts w:ascii="微软雅黑" w:hAnsi="微软雅黑" w:eastAsia="微软雅黑" w:cs="宋体"/>
                <w:kern w:val="0"/>
                <w:szCs w:val="21"/>
              </w:rPr>
              <w:t>规模实力</w:t>
            </w:r>
            <w:r>
              <w:rPr>
                <w:rFonts w:hint="eastAsia" w:ascii="微软雅黑" w:hAnsi="微软雅黑" w:eastAsia="微软雅黑" w:cs="宋体"/>
                <w:kern w:val="0"/>
                <w:szCs w:val="21"/>
              </w:rPr>
              <w:t>；</w:t>
            </w:r>
          </w:p>
        </w:tc>
        <w:tc>
          <w:tcPr>
            <w:tcW w:w="4075" w:type="dxa"/>
            <w:vMerge w:val="restart"/>
          </w:tcPr>
          <w:p>
            <w:pPr>
              <w:spacing w:line="360" w:lineRule="auto"/>
              <w:rPr>
                <w:rFonts w:ascii="微软雅黑" w:hAnsi="微软雅黑" w:eastAsia="微软雅黑"/>
                <w:szCs w:val="21"/>
              </w:rPr>
            </w:pPr>
            <w:r>
              <w:rPr>
                <w:rFonts w:hint="eastAsia" w:ascii="微软雅黑" w:hAnsi="微软雅黑" w:eastAsia="微软雅黑"/>
                <w:szCs w:val="21"/>
              </w:rPr>
              <w:t>（1）一份可编辑的WORD版或excel版;</w:t>
            </w:r>
          </w:p>
          <w:p>
            <w:pPr>
              <w:spacing w:line="360" w:lineRule="auto"/>
              <w:rPr>
                <w:rFonts w:ascii="微软雅黑" w:hAnsi="微软雅黑" w:eastAsia="微软雅黑"/>
                <w:szCs w:val="21"/>
              </w:rPr>
            </w:pPr>
            <w:r>
              <w:rPr>
                <w:rFonts w:hint="eastAsia" w:ascii="微软雅黑" w:hAnsi="微软雅黑" w:eastAsia="微软雅黑"/>
                <w:szCs w:val="21"/>
              </w:rPr>
              <w:t>（2）代理公司需提供授权代理资质；</w:t>
            </w:r>
          </w:p>
          <w:p>
            <w:pPr>
              <w:spacing w:line="360" w:lineRule="auto"/>
              <w:rPr>
                <w:rFonts w:ascii="微软雅黑" w:hAnsi="微软雅黑" w:eastAsia="微软雅黑"/>
                <w:szCs w:val="21"/>
              </w:rPr>
            </w:pPr>
            <w:r>
              <w:rPr>
                <w:rFonts w:hint="eastAsia" w:ascii="微软雅黑" w:hAnsi="微软雅黑" w:eastAsia="微软雅黑"/>
                <w:szCs w:val="21"/>
              </w:rPr>
              <w:t>（3）贵司的营业执照、税务登记证、组织机构代码证。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2</w:t>
            </w:r>
            <w:r>
              <w:rPr>
                <w:rFonts w:hint="eastAsia" w:ascii="微软雅黑" w:hAnsi="微软雅黑" w:eastAsia="微软雅黑" w:cs="宋体"/>
                <w:kern w:val="0"/>
                <w:szCs w:val="21"/>
              </w:rPr>
              <w:t>.</w:t>
            </w:r>
            <w:r>
              <w:rPr>
                <w:rFonts w:ascii="微软雅黑" w:hAnsi="微软雅黑" w:eastAsia="微软雅黑" w:cs="宋体"/>
                <w:kern w:val="0"/>
                <w:szCs w:val="21"/>
              </w:rPr>
              <w:t>研发团队力量</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3</w:t>
            </w:r>
            <w:r>
              <w:rPr>
                <w:rFonts w:hint="eastAsia" w:ascii="微软雅黑" w:hAnsi="微软雅黑" w:eastAsia="微软雅黑" w:cs="宋体"/>
                <w:kern w:val="0"/>
                <w:szCs w:val="21"/>
              </w:rPr>
              <w:t>.</w:t>
            </w:r>
            <w:r>
              <w:rPr>
                <w:rFonts w:ascii="微软雅黑" w:hAnsi="微软雅黑" w:eastAsia="微软雅黑" w:cs="宋体"/>
                <w:kern w:val="0"/>
                <w:szCs w:val="21"/>
              </w:rPr>
              <w:t>行业专注度（专业背景）</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4</w:t>
            </w:r>
            <w:r>
              <w:rPr>
                <w:rFonts w:hint="eastAsia" w:ascii="微软雅黑" w:hAnsi="微软雅黑" w:eastAsia="微软雅黑" w:cs="宋体"/>
                <w:kern w:val="0"/>
                <w:szCs w:val="21"/>
              </w:rPr>
              <w:t>.</w:t>
            </w:r>
            <w:r>
              <w:rPr>
                <w:rFonts w:ascii="微软雅黑" w:hAnsi="微软雅黑" w:eastAsia="微软雅黑" w:cs="宋体"/>
                <w:kern w:val="0"/>
                <w:szCs w:val="21"/>
              </w:rPr>
              <w:t>从业年限</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exact"/>
          <w:jc w:val="center"/>
        </w:trPr>
        <w:tc>
          <w:tcPr>
            <w:tcW w:w="679" w:type="dxa"/>
            <w:vMerge w:val="restart"/>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3</w:t>
            </w:r>
          </w:p>
        </w:tc>
        <w:tc>
          <w:tcPr>
            <w:tcW w:w="1285" w:type="dxa"/>
            <w:vMerge w:val="restart"/>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实施方案、实施周期</w:t>
            </w: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1</w:t>
            </w:r>
            <w:r>
              <w:rPr>
                <w:rFonts w:hint="eastAsia" w:ascii="微软雅黑" w:hAnsi="微软雅黑" w:eastAsia="微软雅黑" w:cs="宋体"/>
                <w:kern w:val="0"/>
                <w:szCs w:val="21"/>
              </w:rPr>
              <w:t>.</w:t>
            </w:r>
            <w:r>
              <w:rPr>
                <w:rFonts w:ascii="微软雅黑" w:hAnsi="微软雅黑" w:eastAsia="微软雅黑" w:cs="宋体"/>
                <w:kern w:val="0"/>
                <w:szCs w:val="21"/>
              </w:rPr>
              <w:t>产品功能、完整性</w:t>
            </w:r>
            <w:r>
              <w:rPr>
                <w:rFonts w:hint="eastAsia" w:ascii="微软雅黑" w:hAnsi="微软雅黑" w:eastAsia="微软雅黑" w:cs="宋体"/>
                <w:kern w:val="0"/>
                <w:szCs w:val="21"/>
              </w:rPr>
              <w:t>；</w:t>
            </w:r>
          </w:p>
        </w:tc>
        <w:tc>
          <w:tcPr>
            <w:tcW w:w="4075" w:type="dxa"/>
            <w:vMerge w:val="restart"/>
          </w:tcPr>
          <w:p>
            <w:pPr>
              <w:spacing w:line="360" w:lineRule="auto"/>
              <w:rPr>
                <w:rFonts w:ascii="微软雅黑" w:hAnsi="微软雅黑" w:eastAsia="微软雅黑"/>
                <w:szCs w:val="21"/>
              </w:rPr>
            </w:pPr>
            <w:r>
              <w:rPr>
                <w:rFonts w:hint="eastAsia" w:ascii="微软雅黑" w:hAnsi="微软雅黑" w:eastAsia="微软雅黑"/>
                <w:szCs w:val="21"/>
              </w:rPr>
              <w:t>（1）一份可编辑的WORD版或excel版;</w:t>
            </w:r>
          </w:p>
          <w:p>
            <w:pPr>
              <w:spacing w:line="360" w:lineRule="auto"/>
              <w:rPr>
                <w:rFonts w:ascii="微软雅黑" w:hAnsi="微软雅黑" w:eastAsia="微软雅黑"/>
                <w:b/>
                <w:szCs w:val="21"/>
              </w:rPr>
            </w:pPr>
            <w:r>
              <w:rPr>
                <w:rFonts w:hint="eastAsia" w:ascii="微软雅黑" w:hAnsi="微软雅黑" w:eastAsia="微软雅黑"/>
                <w:szCs w:val="21"/>
              </w:rPr>
              <w:t>（2）项目实施具体方案、实施周期。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exact"/>
          <w:jc w:val="center"/>
        </w:trPr>
        <w:tc>
          <w:tcPr>
            <w:tcW w:w="679" w:type="dxa"/>
            <w:vMerge w:val="continue"/>
            <w:vAlign w:val="center"/>
          </w:tcPr>
          <w:p>
            <w:pPr>
              <w:spacing w:line="360" w:lineRule="auto"/>
              <w:jc w:val="center"/>
              <w:rPr>
                <w:rFonts w:ascii="微软雅黑" w:hAnsi="微软雅黑" w:eastAsia="微软雅黑"/>
                <w:szCs w:val="21"/>
              </w:rPr>
            </w:pPr>
          </w:p>
        </w:tc>
        <w:tc>
          <w:tcPr>
            <w:tcW w:w="1285" w:type="dxa"/>
            <w:vMerge w:val="continue"/>
            <w:vAlign w:val="center"/>
          </w:tcPr>
          <w:p>
            <w:pPr>
              <w:spacing w:line="360" w:lineRule="auto"/>
              <w:jc w:val="center"/>
              <w:rPr>
                <w:rFonts w:ascii="微软雅黑" w:hAnsi="微软雅黑" w:eastAsia="微软雅黑"/>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2</w:t>
            </w:r>
            <w:r>
              <w:rPr>
                <w:rFonts w:hint="eastAsia" w:ascii="微软雅黑" w:hAnsi="微软雅黑" w:eastAsia="微软雅黑" w:cs="宋体"/>
                <w:kern w:val="0"/>
                <w:szCs w:val="21"/>
              </w:rPr>
              <w:t>.</w:t>
            </w:r>
            <w:r>
              <w:rPr>
                <w:rFonts w:ascii="微软雅黑" w:hAnsi="微软雅黑" w:eastAsia="微软雅黑" w:cs="宋体"/>
                <w:kern w:val="0"/>
                <w:szCs w:val="21"/>
              </w:rPr>
              <w:t>可用性、易用性</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exact"/>
          <w:jc w:val="center"/>
        </w:trPr>
        <w:tc>
          <w:tcPr>
            <w:tcW w:w="679" w:type="dxa"/>
            <w:vMerge w:val="continue"/>
            <w:vAlign w:val="center"/>
          </w:tcPr>
          <w:p>
            <w:pPr>
              <w:spacing w:line="360" w:lineRule="auto"/>
              <w:jc w:val="center"/>
              <w:rPr>
                <w:rFonts w:ascii="微软雅黑" w:hAnsi="微软雅黑" w:eastAsia="微软雅黑"/>
                <w:szCs w:val="21"/>
              </w:rPr>
            </w:pPr>
          </w:p>
        </w:tc>
        <w:tc>
          <w:tcPr>
            <w:tcW w:w="1285" w:type="dxa"/>
            <w:vMerge w:val="continue"/>
            <w:vAlign w:val="center"/>
          </w:tcPr>
          <w:p>
            <w:pPr>
              <w:spacing w:line="360" w:lineRule="auto"/>
              <w:jc w:val="center"/>
              <w:rPr>
                <w:rFonts w:ascii="微软雅黑" w:hAnsi="微软雅黑" w:eastAsia="微软雅黑"/>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3</w:t>
            </w:r>
            <w:r>
              <w:rPr>
                <w:rFonts w:hint="eastAsia" w:ascii="微软雅黑" w:hAnsi="微软雅黑" w:eastAsia="微软雅黑" w:cs="宋体"/>
                <w:kern w:val="0"/>
                <w:szCs w:val="21"/>
              </w:rPr>
              <w:t>.</w:t>
            </w:r>
            <w:r>
              <w:rPr>
                <w:rFonts w:ascii="微软雅黑" w:hAnsi="微软雅黑" w:eastAsia="微软雅黑" w:cs="宋体"/>
                <w:kern w:val="0"/>
                <w:szCs w:val="21"/>
              </w:rPr>
              <w:t>兼容性、开放性</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exact"/>
          <w:jc w:val="center"/>
        </w:trPr>
        <w:tc>
          <w:tcPr>
            <w:tcW w:w="679" w:type="dxa"/>
            <w:vMerge w:val="continue"/>
            <w:vAlign w:val="center"/>
          </w:tcPr>
          <w:p>
            <w:pPr>
              <w:spacing w:line="360" w:lineRule="auto"/>
              <w:jc w:val="center"/>
              <w:rPr>
                <w:rFonts w:ascii="微软雅黑" w:hAnsi="微软雅黑" w:eastAsia="微软雅黑"/>
                <w:szCs w:val="21"/>
              </w:rPr>
            </w:pPr>
          </w:p>
        </w:tc>
        <w:tc>
          <w:tcPr>
            <w:tcW w:w="1285" w:type="dxa"/>
            <w:vMerge w:val="continue"/>
            <w:vAlign w:val="center"/>
          </w:tcPr>
          <w:p>
            <w:pPr>
              <w:spacing w:line="360" w:lineRule="auto"/>
              <w:jc w:val="center"/>
              <w:rPr>
                <w:rFonts w:ascii="微软雅黑" w:hAnsi="微软雅黑" w:eastAsia="微软雅黑"/>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4</w:t>
            </w:r>
            <w:r>
              <w:rPr>
                <w:rFonts w:hint="eastAsia" w:ascii="微软雅黑" w:hAnsi="微软雅黑" w:eastAsia="微软雅黑" w:cs="宋体"/>
                <w:kern w:val="0"/>
                <w:szCs w:val="21"/>
              </w:rPr>
              <w:t>.</w:t>
            </w:r>
            <w:r>
              <w:rPr>
                <w:rFonts w:ascii="微软雅黑" w:hAnsi="微软雅黑" w:eastAsia="微软雅黑" w:cs="宋体"/>
                <w:kern w:val="0"/>
                <w:szCs w:val="21"/>
              </w:rPr>
              <w:t>对硬件、耗材要求</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exact"/>
          <w:jc w:val="center"/>
        </w:trPr>
        <w:tc>
          <w:tcPr>
            <w:tcW w:w="679" w:type="dxa"/>
            <w:vMerge w:val="continue"/>
            <w:vAlign w:val="center"/>
          </w:tcPr>
          <w:p>
            <w:pPr>
              <w:spacing w:line="360" w:lineRule="auto"/>
              <w:jc w:val="center"/>
              <w:rPr>
                <w:rFonts w:ascii="微软雅黑" w:hAnsi="微软雅黑" w:eastAsia="微软雅黑"/>
                <w:szCs w:val="21"/>
              </w:rPr>
            </w:pPr>
          </w:p>
        </w:tc>
        <w:tc>
          <w:tcPr>
            <w:tcW w:w="1285" w:type="dxa"/>
            <w:vMerge w:val="continue"/>
            <w:vAlign w:val="center"/>
          </w:tcPr>
          <w:p>
            <w:pPr>
              <w:spacing w:line="360" w:lineRule="auto"/>
              <w:jc w:val="center"/>
              <w:rPr>
                <w:rFonts w:ascii="微软雅黑" w:hAnsi="微软雅黑" w:eastAsia="微软雅黑"/>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5</w:t>
            </w:r>
            <w:r>
              <w:rPr>
                <w:rFonts w:hint="eastAsia" w:ascii="微软雅黑" w:hAnsi="微软雅黑" w:eastAsia="微软雅黑" w:cs="宋体"/>
                <w:kern w:val="0"/>
                <w:szCs w:val="21"/>
              </w:rPr>
              <w:t>.</w:t>
            </w:r>
            <w:r>
              <w:rPr>
                <w:rFonts w:ascii="微软雅黑" w:hAnsi="微软雅黑" w:eastAsia="微软雅黑" w:cs="宋体"/>
                <w:kern w:val="0"/>
                <w:szCs w:val="21"/>
              </w:rPr>
              <w:t>实施周期</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9" w:hRule="exact"/>
          <w:jc w:val="center"/>
        </w:trPr>
        <w:tc>
          <w:tcPr>
            <w:tcW w:w="679" w:type="dxa"/>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4</w:t>
            </w:r>
          </w:p>
        </w:tc>
        <w:tc>
          <w:tcPr>
            <w:tcW w:w="1285" w:type="dxa"/>
            <w:vAlign w:val="center"/>
          </w:tcPr>
          <w:p>
            <w:pPr>
              <w:spacing w:line="360" w:lineRule="auto"/>
              <w:jc w:val="center"/>
              <w:rPr>
                <w:rFonts w:ascii="微软雅黑" w:hAnsi="微软雅黑" w:eastAsia="微软雅黑"/>
                <w:szCs w:val="21"/>
              </w:rPr>
            </w:pPr>
            <w:r>
              <w:rPr>
                <w:rFonts w:ascii="微软雅黑" w:hAnsi="微软雅黑" w:eastAsia="微软雅黑" w:cs="宋体"/>
                <w:bCs/>
                <w:kern w:val="0"/>
                <w:szCs w:val="21"/>
              </w:rPr>
              <w:t>实施案例</w:t>
            </w:r>
          </w:p>
        </w:tc>
        <w:tc>
          <w:tcPr>
            <w:tcW w:w="3992" w:type="dxa"/>
            <w:vAlign w:val="center"/>
          </w:tcPr>
          <w:p>
            <w:pPr>
              <w:spacing w:line="360" w:lineRule="auto"/>
              <w:rPr>
                <w:rFonts w:ascii="微软雅黑" w:hAnsi="微软雅黑" w:eastAsia="微软雅黑" w:cs="宋体"/>
                <w:kern w:val="0"/>
                <w:szCs w:val="21"/>
              </w:rPr>
            </w:pPr>
            <w:r>
              <w:rPr>
                <w:rFonts w:hint="eastAsia" w:ascii="微软雅黑" w:hAnsi="微软雅黑" w:eastAsia="微软雅黑" w:cs="宋体"/>
                <w:kern w:val="0"/>
                <w:szCs w:val="21"/>
              </w:rPr>
              <w:t>1.</w:t>
            </w:r>
            <w:r>
              <w:rPr>
                <w:rFonts w:ascii="微软雅黑" w:hAnsi="微软雅黑" w:eastAsia="微软雅黑" w:cs="宋体"/>
                <w:kern w:val="0"/>
                <w:szCs w:val="21"/>
              </w:rPr>
              <w:t>成功实施项目数（医疗行业项目实施数）</w:t>
            </w:r>
            <w:r>
              <w:rPr>
                <w:rFonts w:hint="eastAsia" w:ascii="微软雅黑" w:hAnsi="微软雅黑" w:eastAsia="微软雅黑" w:cs="宋体"/>
                <w:kern w:val="0"/>
                <w:szCs w:val="21"/>
              </w:rPr>
              <w:t>及三家成功案例。</w:t>
            </w:r>
          </w:p>
          <w:p>
            <w:pPr>
              <w:spacing w:line="360" w:lineRule="auto"/>
              <w:rPr>
                <w:rFonts w:ascii="微软雅黑" w:hAnsi="微软雅黑" w:eastAsia="微软雅黑" w:cs="宋体"/>
                <w:kern w:val="0"/>
                <w:szCs w:val="21"/>
              </w:rPr>
            </w:pPr>
          </w:p>
        </w:tc>
        <w:tc>
          <w:tcPr>
            <w:tcW w:w="4075" w:type="dxa"/>
          </w:tcPr>
          <w:p>
            <w:pPr>
              <w:spacing w:line="360" w:lineRule="auto"/>
              <w:rPr>
                <w:rFonts w:ascii="微软雅黑" w:hAnsi="微软雅黑" w:eastAsia="微软雅黑"/>
                <w:szCs w:val="21"/>
              </w:rPr>
            </w:pPr>
            <w:r>
              <w:rPr>
                <w:rFonts w:hint="eastAsia" w:ascii="微软雅黑" w:hAnsi="微软雅黑" w:eastAsia="微软雅黑"/>
                <w:szCs w:val="21"/>
              </w:rPr>
              <w:t>提供三家三甲医院合同（含项目内容清单）复印件。文件以“合作项目+合作单位+合作金额”命名。</w:t>
            </w:r>
          </w:p>
        </w:tc>
      </w:tr>
    </w:tbl>
    <w:p>
      <w:pPr>
        <w:rPr>
          <w:rFonts w:ascii="微软雅黑" w:hAnsi="微软雅黑" w:eastAsia="微软雅黑"/>
          <w:sz w:val="28"/>
          <w:szCs w:val="28"/>
        </w:rPr>
      </w:pPr>
    </w:p>
    <w:sectPr>
      <w:pgSz w:w="11906" w:h="16838"/>
      <w:pgMar w:top="1276" w:right="1418"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508DE"/>
    <w:multiLevelType w:val="multilevel"/>
    <w:tmpl w:val="0D2508D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1DA3324"/>
    <w:multiLevelType w:val="multilevel"/>
    <w:tmpl w:val="31DA332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A803676"/>
    <w:multiLevelType w:val="multilevel"/>
    <w:tmpl w:val="5A803676"/>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942662"/>
    <w:multiLevelType w:val="multilevel"/>
    <w:tmpl w:val="6C94266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D45"/>
    <w:rsid w:val="000F34AF"/>
    <w:rsid w:val="0014192B"/>
    <w:rsid w:val="001A2D9D"/>
    <w:rsid w:val="002029E8"/>
    <w:rsid w:val="002D0E74"/>
    <w:rsid w:val="00301D45"/>
    <w:rsid w:val="00390E28"/>
    <w:rsid w:val="005578A0"/>
    <w:rsid w:val="00582910"/>
    <w:rsid w:val="00623B79"/>
    <w:rsid w:val="006D16BD"/>
    <w:rsid w:val="006D217B"/>
    <w:rsid w:val="00704D49"/>
    <w:rsid w:val="00727395"/>
    <w:rsid w:val="007442C0"/>
    <w:rsid w:val="00744C63"/>
    <w:rsid w:val="008F77A5"/>
    <w:rsid w:val="009A45E9"/>
    <w:rsid w:val="00A779DB"/>
    <w:rsid w:val="00B25BC7"/>
    <w:rsid w:val="00B76D16"/>
    <w:rsid w:val="00BC36B7"/>
    <w:rsid w:val="00EE3650"/>
    <w:rsid w:val="00F37265"/>
    <w:rsid w:val="03494B5D"/>
    <w:rsid w:val="2A301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Body Text Indent 3"/>
    <w:basedOn w:val="1"/>
    <w:link w:val="10"/>
    <w:qFormat/>
    <w:uiPriority w:val="0"/>
    <w:pPr>
      <w:spacing w:line="360" w:lineRule="auto"/>
      <w:ind w:firstLine="420" w:firstLineChars="200"/>
    </w:pPr>
    <w:rPr>
      <w:rFonts w:ascii="Times New Roman" w:hAnsi="Times New Roman" w:eastAsia="宋体" w:cs="Times New Roman"/>
      <w:szCs w:val="20"/>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 w:type="character" w:customStyle="1" w:styleId="10">
    <w:name w:val="正文文本缩进 3 字符"/>
    <w:basedOn w:val="7"/>
    <w:link w:val="4"/>
    <w:qFormat/>
    <w:uiPriority w:val="0"/>
    <w:rPr>
      <w:rFonts w:ascii="Times New Roman" w:hAnsi="Times New Roman" w:eastAsia="宋体" w:cs="Times New Roman"/>
      <w:szCs w:val="20"/>
    </w:rPr>
  </w:style>
  <w:style w:type="character" w:customStyle="1" w:styleId="11">
    <w:name w:val="NormalCharacter"/>
    <w:link w:val="12"/>
    <w:qFormat/>
    <w:uiPriority w:val="0"/>
  </w:style>
  <w:style w:type="paragraph" w:customStyle="1" w:styleId="12">
    <w:name w:val="UserStyle_3"/>
    <w:basedOn w:val="1"/>
    <w:link w:val="1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622</Words>
  <Characters>3550</Characters>
  <Lines>29</Lines>
  <Paragraphs>8</Paragraphs>
  <TotalTime>0</TotalTime>
  <ScaleCrop>false</ScaleCrop>
  <LinksUpToDate>false</LinksUpToDate>
  <CharactersWithSpaces>4164</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2020-04-17T01:08:00Z</dcterms:created>
  <dc:creator>netuser</dc:creator>
  <cp:lastModifiedBy>Administrator</cp:lastModifiedBy>
  <dcterms:modified xsi:type="dcterms:W3CDTF">2020-04-17T09:54:59Z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