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广东省人民医院病理诊断工作站软件采购项目市场调研及</w:t>
      </w:r>
      <w:r>
        <w:rPr>
          <w:rFonts w:ascii="微软雅黑" w:hAnsi="微软雅黑" w:eastAsia="微软雅黑"/>
          <w:sz w:val="44"/>
          <w:szCs w:val="44"/>
        </w:rPr>
        <w:t>询价</w:t>
      </w:r>
      <w:r>
        <w:rPr>
          <w:rFonts w:hint="eastAsia" w:ascii="微软雅黑" w:hAnsi="微软雅黑" w:eastAsia="微软雅黑"/>
          <w:sz w:val="44"/>
          <w:szCs w:val="44"/>
        </w:rPr>
        <w:t>公告</w:t>
      </w:r>
    </w:p>
    <w:p>
      <w:pPr>
        <w:pStyle w:val="5"/>
        <w:shd w:val="clear" w:color="auto" w:fill="FFFFFF"/>
        <w:spacing w:before="0" w:beforeAutospacing="0"/>
        <w:ind w:firstLine="560" w:firstLineChars="20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我院拟采购病理诊断工作站软件</w:t>
      </w:r>
      <w:r>
        <w:rPr>
          <w:rFonts w:ascii="微软雅黑" w:hAnsi="微软雅黑" w:eastAsia="微软雅黑" w:cs="Tahoma"/>
          <w:color w:val="000000"/>
          <w:sz w:val="28"/>
          <w:szCs w:val="28"/>
        </w:rPr>
        <w:t>，</w:t>
      </w:r>
      <w:r>
        <w:rPr>
          <w:rFonts w:hint="eastAsia" w:ascii="微软雅黑" w:hAnsi="微软雅黑" w:eastAsia="微软雅黑" w:cs="Tahoma"/>
          <w:color w:val="000000"/>
          <w:sz w:val="28"/>
          <w:szCs w:val="28"/>
        </w:rPr>
        <w:t>现以公开方式进行市场调研</w:t>
      </w:r>
      <w:r>
        <w:rPr>
          <w:rFonts w:ascii="微软雅黑" w:hAnsi="微软雅黑" w:eastAsia="微软雅黑" w:cs="Tahoma"/>
          <w:color w:val="000000"/>
          <w:sz w:val="28"/>
          <w:szCs w:val="28"/>
        </w:rPr>
        <w:t>及</w:t>
      </w:r>
      <w:r>
        <w:rPr>
          <w:rFonts w:hint="eastAsia" w:ascii="微软雅黑" w:hAnsi="微软雅黑" w:eastAsia="微软雅黑" w:cs="Tahoma"/>
          <w:color w:val="000000"/>
          <w:sz w:val="28"/>
          <w:szCs w:val="28"/>
        </w:rPr>
        <w:t>询价</w:t>
      </w:r>
      <w:r>
        <w:rPr>
          <w:rFonts w:ascii="微软雅黑" w:hAnsi="微软雅黑" w:eastAsia="微软雅黑" w:cs="Tahoma"/>
          <w:color w:val="000000"/>
          <w:sz w:val="28"/>
          <w:szCs w:val="28"/>
        </w:rPr>
        <w:t>，欢迎符合资格条件的供应商参与，项目内容如下：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w:t>
      </w:r>
      <w:r>
        <w:rPr>
          <w:rFonts w:hint="eastAsia" w:ascii="微软雅黑" w:hAnsi="微软雅黑" w:eastAsia="微软雅黑" w:cs="Tahoma"/>
          <w:color w:val="000000"/>
          <w:sz w:val="28"/>
          <w:szCs w:val="28"/>
        </w:rPr>
        <w:t>名称</w:t>
      </w:r>
      <w:r>
        <w:rPr>
          <w:rFonts w:ascii="微软雅黑" w:hAnsi="微软雅黑" w:eastAsia="微软雅黑" w:cs="Tahoma"/>
          <w:color w:val="000000"/>
          <w:sz w:val="28"/>
          <w:szCs w:val="28"/>
        </w:rPr>
        <w:t xml:space="preserve">： </w:t>
      </w:r>
      <w:r>
        <w:rPr>
          <w:rFonts w:hint="eastAsia" w:ascii="微软雅黑" w:hAnsi="微软雅黑" w:eastAsia="微软雅黑" w:cs="Tahoma"/>
          <w:color w:val="000000"/>
          <w:sz w:val="28"/>
          <w:szCs w:val="28"/>
        </w:rPr>
        <w:t>病理诊断工作站软件采购</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项目</w:t>
      </w:r>
      <w:r>
        <w:rPr>
          <w:rFonts w:ascii="微软雅黑" w:hAnsi="微软雅黑" w:eastAsia="微软雅黑" w:cs="Tahoma"/>
          <w:color w:val="000000"/>
          <w:sz w:val="28"/>
          <w:szCs w:val="28"/>
        </w:rPr>
        <w:t>需求：详见附件</w:t>
      </w:r>
      <w:r>
        <w:rPr>
          <w:rFonts w:hint="eastAsia" w:ascii="微软雅黑" w:hAnsi="微软雅黑" w:eastAsia="微软雅黑" w:cs="Tahoma"/>
          <w:color w:val="000000"/>
          <w:sz w:val="28"/>
          <w:szCs w:val="28"/>
        </w:rPr>
        <w:t>1</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供应商资格</w:t>
      </w:r>
      <w:r>
        <w:rPr>
          <w:rFonts w:hint="eastAsia" w:ascii="微软雅黑" w:hAnsi="微软雅黑" w:eastAsia="微软雅黑" w:cs="Tahoma"/>
          <w:color w:val="000000"/>
          <w:sz w:val="28"/>
          <w:szCs w:val="28"/>
        </w:rPr>
        <w:t>要求</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供应商必须是具有独立承担民事责任能力的在中华人民共和国境内注册的法人。</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单位负责人为同一人或者存在控股、管理关系的不同单位，不得参加同一采购项目报价。(供应商出具声明函)。</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供应商需提供参加本次采购活动前3年内在经营活动中没有重大违法记录的书面声明。</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报名资料要求：资料按以下类型分四个压缩文件上传邮件附件（具体要求详见附件</w:t>
      </w:r>
      <w:r>
        <w:rPr>
          <w:rFonts w:ascii="微软雅黑" w:hAnsi="微软雅黑" w:eastAsia="微软雅黑" w:cs="Tahoma"/>
          <w:color w:val="000000"/>
          <w:sz w:val="28"/>
          <w:szCs w:val="28"/>
        </w:rPr>
        <w:t>2）：</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报价资料、后续维护服务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公司资质</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实施方案、实施周期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实施案例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资料递交方式：</w:t>
      </w:r>
    </w:p>
    <w:p>
      <w:pPr>
        <w:pStyle w:val="5"/>
        <w:shd w:val="clear" w:color="auto" w:fill="FFFFFF"/>
        <w:ind w:left="420" w:firstLine="560" w:firstLineChars="20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将报名</w:t>
      </w:r>
      <w:r>
        <w:rPr>
          <w:rFonts w:ascii="微软雅黑" w:hAnsi="微软雅黑" w:eastAsia="微软雅黑" w:cs="Tahoma"/>
          <w:color w:val="000000"/>
          <w:sz w:val="28"/>
          <w:szCs w:val="28"/>
        </w:rPr>
        <w:t>资料</w:t>
      </w:r>
      <w:r>
        <w:rPr>
          <w:rFonts w:hint="eastAsia" w:ascii="微软雅黑" w:hAnsi="微软雅黑" w:eastAsia="微软雅黑" w:cs="Tahoma"/>
          <w:color w:val="000000"/>
          <w:sz w:val="28"/>
          <w:szCs w:val="28"/>
        </w:rPr>
        <w:t>电子版发至指定邮箱：</w:t>
      </w:r>
      <w:r>
        <w:rPr>
          <w:rFonts w:ascii="微软雅黑" w:hAnsi="微软雅黑" w:eastAsia="微软雅黑" w:cs="Tahoma"/>
          <w:color w:val="000000"/>
          <w:sz w:val="28"/>
          <w:szCs w:val="28"/>
        </w:rPr>
        <w:t>zhaojie0510@gdph.org.cn</w:t>
      </w:r>
      <w:r>
        <w:rPr>
          <w:rFonts w:hint="eastAsia" w:ascii="微软雅黑" w:hAnsi="微软雅黑" w:eastAsia="微软雅黑" w:cs="Tahoma"/>
          <w:color w:val="000000"/>
          <w:sz w:val="28"/>
          <w:szCs w:val="28"/>
        </w:rPr>
        <w:t>，截止日期以邮件发出时间为准。</w:t>
      </w:r>
      <w:r>
        <w:rPr>
          <w:rFonts w:ascii="微软雅黑" w:hAnsi="微软雅黑" w:eastAsia="微软雅黑" w:cs="Tahoma"/>
          <w:color w:val="000000"/>
          <w:sz w:val="28"/>
          <w:szCs w:val="28"/>
        </w:rPr>
        <w:t xml:space="preserve">                     </w:t>
      </w:r>
    </w:p>
    <w:p>
      <w:pPr>
        <w:pStyle w:val="5"/>
        <w:shd w:val="clear" w:color="auto" w:fill="FFFFFF"/>
        <w:spacing w:before="0" w:beforeAutospacing="0"/>
        <w:ind w:left="42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邮件主题命名格式：报价函（项目名称）</w:t>
      </w:r>
      <w:r>
        <w:rPr>
          <w:rFonts w:ascii="微软雅黑" w:hAnsi="微软雅黑" w:eastAsia="微软雅黑" w:cs="Tahoma"/>
          <w:color w:val="000000"/>
          <w:sz w:val="28"/>
          <w:szCs w:val="28"/>
        </w:rPr>
        <w:t>+公司名称</w:t>
      </w:r>
    </w:p>
    <w:p>
      <w:pPr>
        <w:pStyle w:val="5"/>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附件命名格式：项目名称</w:t>
      </w:r>
      <w:r>
        <w:rPr>
          <w:rFonts w:ascii="微软雅黑" w:hAnsi="微软雅黑" w:eastAsia="微软雅黑" w:cs="Tahoma"/>
          <w:color w:val="000000"/>
          <w:sz w:val="28"/>
          <w:szCs w:val="28"/>
        </w:rPr>
        <w:t>+公司简称+文件类型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注意事项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各供应商必须按</w:t>
      </w:r>
      <w:r>
        <w:rPr>
          <w:rFonts w:hint="eastAsia" w:ascii="微软雅黑" w:hAnsi="微软雅黑" w:eastAsia="微软雅黑" w:cs="Tahoma"/>
          <w:color w:val="000000"/>
          <w:sz w:val="28"/>
          <w:szCs w:val="28"/>
        </w:rPr>
        <w:t>项目需求</w:t>
      </w:r>
      <w:r>
        <w:rPr>
          <w:rFonts w:ascii="微软雅黑" w:hAnsi="微软雅黑" w:eastAsia="微软雅黑" w:cs="Tahoma"/>
          <w:color w:val="000000"/>
          <w:sz w:val="28"/>
          <w:szCs w:val="28"/>
        </w:rPr>
        <w:t>如实制作方案并进行报价，杜绝弄虚作假，胡乱报价，各供应商报价一经确认禁止更改。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项目严禁各供应商进行恶意竞争或其它违规行为，一经查实，将进入供应商黑名单。</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eastAsia="zh-CN"/>
        </w:rPr>
        <w:t>报名事项</w:t>
      </w:r>
    </w:p>
    <w:p>
      <w:pPr>
        <w:pStyle w:val="5"/>
        <w:numPr>
          <w:ilvl w:val="0"/>
          <w:numId w:val="5"/>
        </w:numPr>
        <w:shd w:val="clear" w:color="auto" w:fill="FFFFFF"/>
        <w:spacing w:before="0" w:beforeAutospacing="0"/>
        <w:ind w:firstLine="280" w:firstLineChars="100"/>
        <w:jc w:val="both"/>
        <w:rPr>
          <w:rFonts w:hint="eastAsia" w:ascii="微软雅黑" w:hAnsi="微软雅黑" w:eastAsia="微软雅黑" w:cs="Tahoma"/>
          <w:color w:val="000000"/>
          <w:sz w:val="28"/>
          <w:szCs w:val="28"/>
        </w:rPr>
      </w:pPr>
      <w:r>
        <w:rPr>
          <w:rFonts w:hint="eastAsia" w:ascii="微软雅黑" w:hAnsi="微软雅黑" w:eastAsia="微软雅黑" w:cs="Tahoma"/>
          <w:color w:val="000000"/>
          <w:sz w:val="28"/>
          <w:szCs w:val="28"/>
        </w:rPr>
        <w:t>报名时间：2020年4月</w:t>
      </w:r>
      <w:r>
        <w:rPr>
          <w:rFonts w:hint="eastAsia" w:ascii="微软雅黑" w:hAnsi="微软雅黑" w:eastAsia="微软雅黑" w:cs="Tahoma"/>
          <w:color w:val="000000"/>
          <w:sz w:val="28"/>
          <w:szCs w:val="28"/>
          <w:lang w:val="en-US" w:eastAsia="zh-CN"/>
        </w:rPr>
        <w:t>20</w:t>
      </w:r>
      <w:bookmarkStart w:id="0" w:name="_GoBack"/>
      <w:bookmarkEnd w:id="0"/>
      <w:r>
        <w:rPr>
          <w:rFonts w:hint="eastAsia" w:ascii="微软雅黑" w:hAnsi="微软雅黑" w:eastAsia="微软雅黑" w:cs="Tahoma"/>
          <w:color w:val="000000"/>
          <w:sz w:val="28"/>
          <w:szCs w:val="28"/>
        </w:rPr>
        <w:t>日至2020年4月30日</w:t>
      </w:r>
    </w:p>
    <w:p>
      <w:pPr>
        <w:pStyle w:val="5"/>
        <w:numPr>
          <w:ilvl w:val="0"/>
          <w:numId w:val="5"/>
        </w:numPr>
        <w:shd w:val="clear" w:color="auto" w:fill="FFFFFF"/>
        <w:spacing w:before="0" w:beforeAutospacing="0"/>
        <w:ind w:firstLine="280" w:firstLineChars="10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联系人</w:t>
      </w:r>
      <w:r>
        <w:rPr>
          <w:rFonts w:hint="eastAsia" w:ascii="微软雅黑" w:hAnsi="微软雅黑" w:eastAsia="微软雅黑" w:cs="Tahoma"/>
          <w:color w:val="000000"/>
          <w:sz w:val="28"/>
          <w:szCs w:val="28"/>
        </w:rPr>
        <w:t>：赵</w:t>
      </w:r>
      <w:r>
        <w:rPr>
          <w:rFonts w:ascii="微软雅黑" w:hAnsi="微软雅黑" w:eastAsia="微软雅黑" w:cs="Tahoma"/>
          <w:color w:val="000000"/>
          <w:sz w:val="28"/>
          <w:szCs w:val="28"/>
        </w:rPr>
        <w:t>先生</w:t>
      </w: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rPr>
        <w:t>联系</w:t>
      </w:r>
      <w:r>
        <w:rPr>
          <w:rFonts w:ascii="微软雅黑" w:hAnsi="微软雅黑" w:eastAsia="微软雅黑" w:cs="Tahoma"/>
          <w:color w:val="000000"/>
          <w:sz w:val="28"/>
          <w:szCs w:val="28"/>
        </w:rPr>
        <w:t>电话： 83827812—20583。</w:t>
      </w:r>
    </w:p>
    <w:p>
      <w:pPr>
        <w:pStyle w:val="5"/>
        <w:numPr>
          <w:ilvl w:val="0"/>
          <w:numId w:val="0"/>
        </w:numPr>
        <w:shd w:val="clear" w:color="auto" w:fill="FFFFFF"/>
        <w:spacing w:before="0" w:beforeAutospacing="0"/>
        <w:ind w:left="420" w:leftChars="0"/>
        <w:jc w:val="both"/>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 xml:space="preserve">                            </w:t>
      </w:r>
    </w:p>
    <w:p>
      <w:pPr>
        <w:widowControl/>
        <w:jc w:val="left"/>
        <w:rPr>
          <w:rFonts w:ascii="微软雅黑" w:hAnsi="微软雅黑" w:eastAsia="微软雅黑" w:cs="Tahoma"/>
          <w:color w:val="000000"/>
          <w:kern w:val="0"/>
          <w:sz w:val="28"/>
          <w:szCs w:val="28"/>
        </w:rPr>
      </w:pPr>
      <w:r>
        <w:rPr>
          <w:rFonts w:ascii="微软雅黑" w:hAnsi="微软雅黑" w:eastAsia="微软雅黑" w:cs="Tahoma"/>
          <w:color w:val="000000"/>
          <w:sz w:val="28"/>
          <w:szCs w:val="28"/>
        </w:rPr>
        <w:br w:type="page"/>
      </w: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附件1</w:t>
      </w:r>
    </w:p>
    <w:p>
      <w:pPr>
        <w:spacing w:line="360" w:lineRule="auto"/>
        <w:jc w:val="center"/>
        <w:rPr>
          <w:rFonts w:ascii="宋体" w:hAnsi="宋体"/>
          <w:sz w:val="18"/>
          <w:szCs w:val="18"/>
        </w:rPr>
      </w:pPr>
      <w:r>
        <w:rPr>
          <w:rFonts w:hint="eastAsia" w:ascii="宋体" w:hAnsi="宋体"/>
          <w:b/>
          <w:sz w:val="30"/>
          <w:szCs w:val="30"/>
        </w:rPr>
        <w:t>用户需求说明书</w:t>
      </w:r>
    </w:p>
    <w:p>
      <w:pPr>
        <w:spacing w:line="360" w:lineRule="auto"/>
        <w:rPr>
          <w:rFonts w:ascii="宋体" w:hAnsi="宋体"/>
          <w:b/>
          <w:sz w:val="24"/>
          <w:szCs w:val="24"/>
        </w:rPr>
      </w:pPr>
      <w:r>
        <w:rPr>
          <w:rFonts w:hint="eastAsia" w:ascii="宋体" w:hAnsi="宋体"/>
          <w:b/>
          <w:sz w:val="24"/>
          <w:szCs w:val="24"/>
        </w:rPr>
        <w:t>一、需求概述</w:t>
      </w:r>
    </w:p>
    <w:p>
      <w:pPr>
        <w:spacing w:line="276" w:lineRule="auto"/>
        <w:rPr>
          <w:szCs w:val="21"/>
          <w:lang w:val="en-GB"/>
        </w:rPr>
      </w:pPr>
      <w:r>
        <w:rPr>
          <w:rFonts w:hint="eastAsia" w:ascii="宋体" w:hAnsi="宋体"/>
          <w:szCs w:val="21"/>
        </w:rPr>
        <w:t xml:space="preserve">    随着科室业务量的递增，科室规模的逐步扩大，新入职诊断医生的到岗，科室已有的朗珈病理系统报告工作站已无法满足正常工作需要。现需要新增加3套</w:t>
      </w:r>
      <w:r>
        <w:rPr>
          <w:rFonts w:hint="eastAsia"/>
          <w:szCs w:val="21"/>
          <w:lang w:val="en-GB"/>
        </w:rPr>
        <w:t>病理系统诊断工作站软件供诊断医生使用。</w:t>
      </w:r>
    </w:p>
    <w:p>
      <w:pPr>
        <w:spacing w:line="276" w:lineRule="auto"/>
        <w:ind w:firstLine="4" w:firstLineChars="2"/>
        <w:rPr>
          <w:rFonts w:ascii="宋体" w:hAnsi="宋体"/>
          <w:szCs w:val="21"/>
          <w:lang w:val="en-GB"/>
        </w:rPr>
      </w:pPr>
      <w:r>
        <w:rPr>
          <w:rFonts w:hint="eastAsia"/>
          <w:szCs w:val="21"/>
          <w:lang w:val="en-GB"/>
        </w:rPr>
        <w:t xml:space="preserve">    病理诊断工作站软件</w:t>
      </w:r>
      <w:r>
        <w:rPr>
          <w:rFonts w:ascii="宋体" w:hAnsi="宋体"/>
          <w:szCs w:val="21"/>
          <w:lang w:val="en-GB"/>
        </w:rPr>
        <w:t>涵盖了病理科完整的诊断流程，将病例有关的全部病理资料进行统一管理，</w:t>
      </w:r>
      <w:r>
        <w:rPr>
          <w:rFonts w:hint="eastAsia" w:ascii="宋体" w:hAnsi="宋体"/>
          <w:szCs w:val="21"/>
          <w:lang w:val="en-GB"/>
        </w:rPr>
        <w:t>与</w:t>
      </w:r>
      <w:r>
        <w:rPr>
          <w:rFonts w:ascii="宋体" w:hAnsi="宋体"/>
          <w:szCs w:val="21"/>
          <w:lang w:val="en-GB"/>
        </w:rPr>
        <w:t>技术流程</w:t>
      </w:r>
      <w:r>
        <w:rPr>
          <w:rFonts w:hint="eastAsia" w:ascii="宋体" w:hAnsi="宋体"/>
          <w:szCs w:val="21"/>
          <w:lang w:val="en-GB"/>
        </w:rPr>
        <w:t>中</w:t>
      </w:r>
      <w:r>
        <w:rPr>
          <w:rFonts w:ascii="宋体" w:hAnsi="宋体"/>
          <w:szCs w:val="21"/>
          <w:lang w:val="en-GB"/>
        </w:rPr>
        <w:t>各工作站点分工合作、资源共享，共同构建成一个完整的病理科室管理网络。</w:t>
      </w:r>
    </w:p>
    <w:p>
      <w:pPr>
        <w:spacing w:line="276" w:lineRule="auto"/>
        <w:ind w:firstLine="4" w:firstLineChars="2"/>
        <w:rPr>
          <w:rFonts w:ascii="宋体" w:hAnsi="宋体"/>
          <w:szCs w:val="21"/>
          <w:lang w:val="en-GB"/>
        </w:rPr>
      </w:pPr>
    </w:p>
    <w:p>
      <w:pPr>
        <w:spacing w:line="360" w:lineRule="auto"/>
        <w:rPr>
          <w:rFonts w:ascii="宋体" w:hAnsi="宋体"/>
          <w:b/>
          <w:sz w:val="24"/>
          <w:szCs w:val="24"/>
        </w:rPr>
      </w:pPr>
      <w:r>
        <w:rPr>
          <w:rFonts w:hint="eastAsia" w:ascii="宋体" w:hAnsi="宋体"/>
          <w:b/>
          <w:sz w:val="24"/>
          <w:szCs w:val="24"/>
        </w:rPr>
        <w:t>二、需求涉及的主要业务流程</w:t>
      </w:r>
    </w:p>
    <w:p>
      <w:pPr>
        <w:pStyle w:val="4"/>
        <w:ind w:firstLine="0" w:firstLineChars="0"/>
        <w:jc w:val="center"/>
        <w:rPr>
          <w:rFonts w:ascii="宋体" w:hAnsi="宋体"/>
          <w:szCs w:val="21"/>
        </w:rPr>
      </w:pPr>
      <w:r>
        <w:rPr>
          <w:rFonts w:ascii="宋体" w:hAnsi="宋体"/>
          <w:szCs w:val="21"/>
        </w:rPr>
        <w:drawing>
          <wp:inline distT="0" distB="0" distL="0" distR="0">
            <wp:extent cx="4730750" cy="4602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30750" cy="4602480"/>
                    </a:xfrm>
                    <a:prstGeom prst="rect">
                      <a:avLst/>
                    </a:prstGeom>
                    <a:noFill/>
                    <a:ln>
                      <a:noFill/>
                    </a:ln>
                  </pic:spPr>
                </pic:pic>
              </a:graphicData>
            </a:graphic>
          </wp:inline>
        </w:drawing>
      </w:r>
    </w:p>
    <w:p>
      <w:pPr>
        <w:spacing w:line="360" w:lineRule="auto"/>
        <w:rPr>
          <w:rFonts w:ascii="宋体" w:hAnsi="宋体"/>
          <w:b/>
          <w:sz w:val="24"/>
          <w:szCs w:val="24"/>
        </w:rPr>
      </w:pPr>
      <w:r>
        <w:rPr>
          <w:rFonts w:hint="eastAsia" w:ascii="宋体" w:hAnsi="宋体"/>
          <w:b/>
          <w:sz w:val="24"/>
          <w:szCs w:val="24"/>
        </w:rPr>
        <w:t>三、需求描述</w:t>
      </w:r>
    </w:p>
    <w:tbl>
      <w:tblPr>
        <w:tblStyle w:val="6"/>
        <w:tblW w:w="7900" w:type="dxa"/>
        <w:jc w:val="center"/>
        <w:tblLayout w:type="autofit"/>
        <w:tblCellMar>
          <w:top w:w="0" w:type="dxa"/>
          <w:left w:w="108" w:type="dxa"/>
          <w:bottom w:w="0" w:type="dxa"/>
          <w:right w:w="108" w:type="dxa"/>
        </w:tblCellMar>
      </w:tblPr>
      <w:tblGrid>
        <w:gridCol w:w="670"/>
        <w:gridCol w:w="1271"/>
        <w:gridCol w:w="993"/>
        <w:gridCol w:w="4966"/>
      </w:tblGrid>
      <w:tr>
        <w:tblPrEx>
          <w:tblCellMar>
            <w:top w:w="0" w:type="dxa"/>
            <w:left w:w="108" w:type="dxa"/>
            <w:bottom w:w="0" w:type="dxa"/>
            <w:right w:w="108" w:type="dxa"/>
          </w:tblCellMar>
        </w:tblPrEx>
        <w:trPr>
          <w:trHeight w:val="27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lang w:val="en-GB"/>
              </w:rPr>
            </w:pPr>
            <w:r>
              <w:rPr>
                <w:rFonts w:hint="eastAsia"/>
                <w:b/>
                <w:szCs w:val="21"/>
                <w:lang w:val="en-GB"/>
              </w:rPr>
              <w:t>序号</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lang w:val="en-GB"/>
              </w:rPr>
            </w:pPr>
            <w:r>
              <w:rPr>
                <w:b/>
                <w:szCs w:val="21"/>
                <w:lang w:val="en-GB"/>
              </w:rPr>
              <w:t>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lang w:val="en-GB"/>
              </w:rPr>
            </w:pPr>
            <w:r>
              <w:rPr>
                <w:b/>
                <w:szCs w:val="21"/>
                <w:lang w:val="en-GB"/>
              </w:rPr>
              <w:t>数量</w:t>
            </w:r>
          </w:p>
        </w:tc>
        <w:tc>
          <w:tcPr>
            <w:tcW w:w="49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lang w:val="en-GB"/>
              </w:rPr>
            </w:pPr>
            <w:r>
              <w:rPr>
                <w:rFonts w:hint="eastAsia"/>
                <w:b/>
                <w:szCs w:val="21"/>
                <w:lang w:val="en-GB"/>
              </w:rPr>
              <w:t>功能需求</w:t>
            </w:r>
          </w:p>
        </w:tc>
      </w:tr>
      <w:tr>
        <w:tblPrEx>
          <w:tblCellMar>
            <w:top w:w="0" w:type="dxa"/>
            <w:left w:w="108" w:type="dxa"/>
            <w:bottom w:w="0" w:type="dxa"/>
            <w:right w:w="108" w:type="dxa"/>
          </w:tblCellMar>
        </w:tblPrEx>
        <w:trPr>
          <w:trHeight w:val="41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Cs w:val="21"/>
                <w:lang w:val="en-GB"/>
              </w:rPr>
            </w:pPr>
            <w:r>
              <w:rPr>
                <w:rFonts w:hint="eastAsia"/>
                <w:szCs w:val="21"/>
                <w:lang w:val="en-GB"/>
              </w:rPr>
              <w:t>1</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lang w:val="en-GB"/>
              </w:rPr>
            </w:pPr>
            <w:r>
              <w:rPr>
                <w:szCs w:val="21"/>
                <w:lang w:val="en-GB"/>
              </w:rPr>
              <w:t>综合报告工作站软件</w:t>
            </w:r>
            <w:r>
              <w:rPr>
                <w:rFonts w:hint="eastAsia"/>
                <w:szCs w:val="21"/>
                <w:lang w:val="en-GB"/>
              </w:rPr>
              <w:t>（病理诊断工作站软件）</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lang w:val="en-GB"/>
              </w:rPr>
            </w:pPr>
            <w:r>
              <w:rPr>
                <w:rFonts w:hint="eastAsia"/>
                <w:szCs w:val="21"/>
                <w:lang w:val="en-GB"/>
              </w:rPr>
              <w:t>3</w:t>
            </w:r>
            <w:r>
              <w:rPr>
                <w:szCs w:val="21"/>
                <w:lang w:val="en-GB"/>
              </w:rPr>
              <w:t>个</w:t>
            </w:r>
          </w:p>
        </w:tc>
        <w:tc>
          <w:tcPr>
            <w:tcW w:w="4966" w:type="dxa"/>
            <w:tcBorders>
              <w:top w:val="single" w:color="auto" w:sz="4" w:space="0"/>
              <w:left w:val="nil"/>
              <w:bottom w:val="single" w:color="auto" w:sz="4" w:space="0"/>
              <w:right w:val="single" w:color="auto" w:sz="4" w:space="0"/>
            </w:tcBorders>
            <w:shd w:val="clear" w:color="auto" w:fill="auto"/>
            <w:vAlign w:val="center"/>
          </w:tcPr>
          <w:p>
            <w:pPr>
              <w:rPr>
                <w:szCs w:val="21"/>
              </w:rPr>
            </w:pPr>
            <w:r>
              <w:rPr>
                <w:szCs w:val="21"/>
              </w:rPr>
              <w:t>可查看病例的基本信息、临床诊断信息、大体标本的照片和描述、取材的明细记录等内容。录入镜下所见、病理诊断、免疫组化结果、液基细胞学等诊断报告项目。报告常用词、报告格式自定义功能。</w:t>
            </w:r>
          </w:p>
          <w:p>
            <w:pPr>
              <w:rPr>
                <w:szCs w:val="21"/>
              </w:rPr>
            </w:pPr>
            <w:r>
              <w:rPr>
                <w:szCs w:val="21"/>
              </w:rPr>
              <w:t>使用光学摄像头或带标准TWAIN32接口的数码摄像头，可实时浏览、采集和保存镜下图像，可对图像进行多种处理、测量、标注功能。</w:t>
            </w:r>
          </w:p>
          <w:p>
            <w:pPr>
              <w:rPr>
                <w:szCs w:val="21"/>
              </w:rPr>
            </w:pPr>
            <w:r>
              <w:rPr>
                <w:bCs/>
                <w:szCs w:val="21"/>
              </w:rPr>
              <w:t>根据登录用户身份，自动提示“我的未审核报告”、“我的未打印报告”、“我的未写报告”、“我的延期报告”、“我的申请复片”、“我的待复片”、“我的收藏夹”、“科内会诊”、“需随访病例”等列表。</w:t>
            </w:r>
          </w:p>
          <w:p>
            <w:pPr>
              <w:rPr>
                <w:szCs w:val="21"/>
              </w:rPr>
            </w:pPr>
            <w:r>
              <w:rPr>
                <w:bCs/>
                <w:szCs w:val="21"/>
              </w:rPr>
              <w:t>自动提示该病例的历史病理结果和同次送检的其他标本检查情况。除“同名检索”功能外，还能进一步进行住院号、病人编号或身份证号的匹配，以准确锁定该病人的检查记录。</w:t>
            </w:r>
          </w:p>
          <w:p>
            <w:pPr>
              <w:rPr>
                <w:bCs/>
                <w:szCs w:val="21"/>
              </w:rPr>
            </w:pPr>
            <w:r>
              <w:rPr>
                <w:bCs/>
                <w:szCs w:val="21"/>
              </w:rPr>
              <w:t>提供同一病理号（或冰冻号）不限次数的独立冰冻报告，每一份冰冻报告单独记录收到时间、取材医生、取材块数、制片人、报告医生、审核医生、报告时间等项目，每一份冰冻报告可单独进行审核并提供给临床进行查看。</w:t>
            </w:r>
          </w:p>
          <w:p>
            <w:pPr>
              <w:rPr>
                <w:bCs/>
                <w:szCs w:val="21"/>
              </w:rPr>
            </w:pPr>
            <w:r>
              <w:rPr>
                <w:bCs/>
                <w:szCs w:val="21"/>
              </w:rPr>
              <w:t>冰冻超时报告可提示医生进行“迟发原因”的输入，可自定义迟发原因并进行下拉框选择。</w:t>
            </w:r>
          </w:p>
          <w:p>
            <w:pPr>
              <w:rPr>
                <w:bCs/>
                <w:szCs w:val="21"/>
              </w:rPr>
            </w:pPr>
            <w:r>
              <w:rPr>
                <w:bCs/>
                <w:szCs w:val="21"/>
              </w:rPr>
              <w:t>可按时间段统计术中冰冻的送检例数、送检次数及取材块数。</w:t>
            </w:r>
          </w:p>
          <w:p>
            <w:pPr>
              <w:rPr>
                <w:bCs/>
                <w:szCs w:val="21"/>
              </w:rPr>
            </w:pPr>
            <w:r>
              <w:rPr>
                <w:bCs/>
                <w:szCs w:val="21"/>
              </w:rPr>
              <w:t>提供“冰冻-石蜡”诊断对照功能。可进行冰冻诊断符合率的统计。</w:t>
            </w:r>
          </w:p>
          <w:p>
            <w:pPr>
              <w:rPr>
                <w:bCs/>
                <w:szCs w:val="21"/>
              </w:rPr>
            </w:pPr>
            <w:r>
              <w:rPr>
                <w:bCs/>
                <w:szCs w:val="21"/>
              </w:rPr>
              <w:t>可进行冰冻制片时间的统计。</w:t>
            </w:r>
          </w:p>
          <w:p>
            <w:pPr>
              <w:rPr>
                <w:bCs/>
                <w:szCs w:val="21"/>
              </w:rPr>
            </w:pPr>
            <w:r>
              <w:rPr>
                <w:bCs/>
                <w:szCs w:val="21"/>
              </w:rPr>
              <w:t>可进行冰冻报告发放时间的统计，并显示冰冻超时报告的迟发原因。</w:t>
            </w:r>
          </w:p>
          <w:p>
            <w:pPr>
              <w:rPr>
                <w:bCs/>
                <w:szCs w:val="21"/>
              </w:rPr>
            </w:pPr>
            <w:r>
              <w:rPr>
                <w:bCs/>
                <w:szCs w:val="21"/>
              </w:rPr>
              <w:t>可查看取材明细列表，在列表中可进行淋巴结转移情况标记，并将标记说明一键快速导入到病理诊断中。</w:t>
            </w:r>
          </w:p>
          <w:p>
            <w:pPr>
              <w:rPr>
                <w:bCs/>
                <w:szCs w:val="21"/>
              </w:rPr>
            </w:pPr>
            <w:r>
              <w:rPr>
                <w:szCs w:val="21"/>
              </w:rPr>
              <w:t>适应病理报告三级医生负责制，提供定向复片、多级复片功能，初诊意见和复片意见单独保存备查。上级医生可对初诊意见进行结果评价，可以统计复片数和复片准确率。</w:t>
            </w:r>
          </w:p>
          <w:p>
            <w:pPr>
              <w:rPr>
                <w:szCs w:val="21"/>
              </w:rPr>
            </w:pPr>
            <w:r>
              <w:rPr>
                <w:szCs w:val="21"/>
              </w:rPr>
              <w:t>针对七类小标本和十三类大标本肿瘤疾病，提供国际先进的“结构化报告”标准报告模版。</w:t>
            </w:r>
          </w:p>
          <w:p>
            <w:pPr>
              <w:rPr>
                <w:szCs w:val="21"/>
              </w:rPr>
            </w:pPr>
            <w:r>
              <w:rPr>
                <w:szCs w:val="21"/>
              </w:rPr>
              <w:t xml:space="preserve">采用包括TBS2004在内的多种分级报告系统，用户点选选项即可快速输出液基细胞学报告。 </w:t>
            </w:r>
            <w:r>
              <w:rPr>
                <w:bCs/>
                <w:szCs w:val="21"/>
              </w:rPr>
              <w:t>病理诊断结果冲突监控提示功能：如男性病例出现“宫颈、卵巢等”描述、女性病例出现“阴茎、睾丸等”描述时，系统自动进行弹框提醒。</w:t>
            </w:r>
          </w:p>
          <w:p>
            <w:pPr>
              <w:rPr>
                <w:szCs w:val="21"/>
              </w:rPr>
            </w:pPr>
            <w:r>
              <w:rPr>
                <w:bCs/>
                <w:szCs w:val="21"/>
              </w:rPr>
              <w:t>病理诊断结果智能匹配提示功能：用户可自定义特殊词汇和相应提示内容，在病理诊断中出现这些词汇时，系统自动进行弹框提示。</w:t>
            </w:r>
          </w:p>
          <w:p>
            <w:pPr>
              <w:rPr>
                <w:szCs w:val="21"/>
              </w:rPr>
            </w:pPr>
            <w:r>
              <w:rPr>
                <w:bCs/>
                <w:szCs w:val="21"/>
              </w:rPr>
              <w:t>可发出内部医嘱要求，包括重切、深切、补取、免疫组化等，发出的内部医嘱在相应的工作站点上有相应提示，可查看内部医嘱相应的执行情况（医嘱状态）和结果。</w:t>
            </w:r>
          </w:p>
          <w:p>
            <w:pPr>
              <w:rPr>
                <w:bCs/>
                <w:szCs w:val="21"/>
              </w:rPr>
            </w:pPr>
            <w:r>
              <w:rPr>
                <w:szCs w:val="21"/>
              </w:rPr>
              <w:t>医生开技术医嘱时，可批量选择蜡块号，来进行批量重切或深切。</w:t>
            </w:r>
          </w:p>
          <w:p>
            <w:pPr>
              <w:rPr>
                <w:bCs/>
                <w:szCs w:val="21"/>
              </w:rPr>
            </w:pPr>
            <w:r>
              <w:rPr>
                <w:bCs/>
                <w:szCs w:val="21"/>
              </w:rPr>
              <w:t>提供免疫组化预开单及开单审核管理功能。</w:t>
            </w:r>
          </w:p>
          <w:p>
            <w:pPr>
              <w:rPr>
                <w:bCs/>
                <w:szCs w:val="21"/>
              </w:rPr>
            </w:pPr>
            <w:r>
              <w:rPr>
                <w:bCs/>
                <w:szCs w:val="21"/>
              </w:rPr>
              <w:t>医生开免疫组化医嘱时，系统会自动匹配本科室已开展的标记物项目，</w:t>
            </w:r>
            <w:r>
              <w:rPr>
                <w:szCs w:val="21"/>
              </w:rPr>
              <w:t>如果无此标记物项目，则系统弹出相关提示并阻止开单。</w:t>
            </w:r>
          </w:p>
          <w:p>
            <w:pPr>
              <w:rPr>
                <w:bCs/>
                <w:szCs w:val="21"/>
              </w:rPr>
            </w:pPr>
            <w:r>
              <w:rPr>
                <w:bCs/>
                <w:szCs w:val="21"/>
              </w:rPr>
              <w:t>可将免疫组化结果快速导入到“特殊检查”、“病理诊断”或“补充报告结果”中，导入时可自定义标记物排序。</w:t>
            </w:r>
          </w:p>
          <w:p>
            <w:pPr>
              <w:rPr>
                <w:bCs/>
                <w:szCs w:val="21"/>
              </w:rPr>
            </w:pPr>
            <w:r>
              <w:rPr>
                <w:bCs/>
                <w:szCs w:val="21"/>
              </w:rPr>
              <w:t>提供同一病理号（或免疫号）不限次数的独立免疫组化补充报告，每一份免疫组化补充报告单独记录报告医生、审核医生、报告时间等项目，每一份免疫组化补充报告可单独进行审核并提供给临床进行查看。</w:t>
            </w:r>
          </w:p>
          <w:p>
            <w:pPr>
              <w:rPr>
                <w:bCs/>
                <w:szCs w:val="21"/>
              </w:rPr>
            </w:pPr>
            <w:r>
              <w:rPr>
                <w:bCs/>
                <w:szCs w:val="21"/>
              </w:rPr>
              <w:t>通过病例状态颜色来标记当前病例在病理科所处的流程状态，如“已登记”、“已取材”、“已包埋”、“已制片”、“已写报告”、“已审核”等。</w:t>
            </w:r>
          </w:p>
          <w:p>
            <w:pPr>
              <w:rPr>
                <w:bCs/>
                <w:szCs w:val="21"/>
              </w:rPr>
            </w:pPr>
            <w:r>
              <w:rPr>
                <w:bCs/>
                <w:szCs w:val="21"/>
              </w:rPr>
              <w:t>提供报告应发时间管理，用户可自定义不同标本类型对应的报告应发时间，并能自定义接收标本时间分隔点。系统采用特殊颜色来标记“最后一天”、“报告超期”、“报告延期”等报告发放时间状态。</w:t>
            </w:r>
          </w:p>
          <w:p>
            <w:pPr>
              <w:rPr>
                <w:bCs/>
                <w:szCs w:val="21"/>
              </w:rPr>
            </w:pPr>
            <w:r>
              <w:rPr>
                <w:bCs/>
                <w:szCs w:val="21"/>
              </w:rPr>
              <w:t>开免疫组化等内部医嘱时可指定系统进行报告发放时间到期提醒，同时可打印“缓发报告通知单”。</w:t>
            </w:r>
          </w:p>
          <w:p>
            <w:pPr>
              <w:rPr>
                <w:bCs/>
                <w:szCs w:val="21"/>
              </w:rPr>
            </w:pPr>
            <w:r>
              <w:rPr>
                <w:bCs/>
                <w:szCs w:val="21"/>
              </w:rPr>
              <w:t>内部医嘱状态可自动关联到“缓发报告原因”，并提供给临床进行查看。</w:t>
            </w:r>
          </w:p>
          <w:p>
            <w:pPr>
              <w:rPr>
                <w:bCs/>
                <w:szCs w:val="21"/>
              </w:rPr>
            </w:pPr>
            <w:r>
              <w:rPr>
                <w:bCs/>
                <w:szCs w:val="21"/>
              </w:rPr>
              <w:t>提供常规免疫组化和鉴别诊断类免疫组化自动关联“缓发报告原因”的差异化处理。</w:t>
            </w:r>
          </w:p>
          <w:p>
            <w:pPr>
              <w:rPr>
                <w:bCs/>
                <w:szCs w:val="21"/>
              </w:rPr>
            </w:pPr>
            <w:r>
              <w:rPr>
                <w:bCs/>
                <w:szCs w:val="21"/>
              </w:rPr>
              <w:t>提供病理报告审核后的“犹豫期”自定义设定，并可自定义设定临床查看审核后的病理报告的“缓冲期”。</w:t>
            </w:r>
          </w:p>
          <w:p>
            <w:pPr>
              <w:rPr>
                <w:szCs w:val="21"/>
              </w:rPr>
            </w:pPr>
            <w:r>
              <w:rPr>
                <w:bCs/>
                <w:szCs w:val="21"/>
              </w:rPr>
              <w:t>可发出科内会诊申请，系统会自动加入“科内会诊”列表并进行提示，其他医生登录系统后可以快速定位这些会诊病例，可增加、修改、删除自己的科内会诊意见。</w:t>
            </w:r>
          </w:p>
          <w:p>
            <w:pPr>
              <w:rPr>
                <w:szCs w:val="21"/>
              </w:rPr>
            </w:pPr>
            <w:r>
              <w:rPr>
                <w:bCs/>
                <w:szCs w:val="21"/>
              </w:rPr>
              <w:t>可对病例进行随访标记，系统会自动加入“需随访病例”列表并进行提示，可录入并保存随访结果，并可继续随访或结束随访。</w:t>
            </w:r>
          </w:p>
          <w:p>
            <w:pPr>
              <w:rPr>
                <w:szCs w:val="21"/>
              </w:rPr>
            </w:pPr>
            <w:r>
              <w:rPr>
                <w:bCs/>
                <w:szCs w:val="21"/>
              </w:rPr>
              <w:t>可对感兴趣的病例进行收藏管理，系统会自动加入到“我的收藏夹”列表并进行提示，医生可以导出自己的收藏夹病例列表。</w:t>
            </w:r>
          </w:p>
          <w:p>
            <w:pPr>
              <w:rPr>
                <w:bCs/>
                <w:szCs w:val="21"/>
              </w:rPr>
            </w:pPr>
            <w:r>
              <w:rPr>
                <w:szCs w:val="21"/>
              </w:rPr>
              <w:t>可根据多个条件来组合查询或统计病例、可进行模糊查询或精确查询。可提供“拼音码”来查询姓名。查询或统计出的结果可以导出为EXCEL文件，用户可自定义导出项目字段。</w:t>
            </w:r>
          </w:p>
          <w:p>
            <w:pPr>
              <w:rPr>
                <w:szCs w:val="21"/>
              </w:rPr>
            </w:pPr>
            <w:r>
              <w:rPr>
                <w:szCs w:val="21"/>
              </w:rPr>
              <w:t>提供按照“部位”、“病名”、“是否转移”和“转移来源”关键词区分的疾病索引管理，并进行精确的疾病种类统计。</w:t>
            </w:r>
          </w:p>
          <w:p>
            <w:pPr>
              <w:rPr>
                <w:szCs w:val="21"/>
              </w:rPr>
            </w:pPr>
            <w:r>
              <w:rPr>
                <w:szCs w:val="21"/>
              </w:rPr>
              <w:t>提供多种病理科工作量统计报表，包括医生工作量、技师工作量、科室工作量、技术医嘱工作量、特检医嘱工作量、临床送检工作量、外院送检工作量等。</w:t>
            </w:r>
          </w:p>
          <w:p>
            <w:pPr>
              <w:rPr>
                <w:szCs w:val="21"/>
              </w:rPr>
            </w:pPr>
            <w:r>
              <w:rPr>
                <w:szCs w:val="21"/>
              </w:rPr>
              <w:t>提供多种符合率统计报表，包括冰冻诊断符合率、临床诊断符合率、会诊符合率等。</w:t>
            </w:r>
          </w:p>
          <w:p>
            <w:pPr>
              <w:rPr>
                <w:szCs w:val="21"/>
              </w:rPr>
            </w:pPr>
            <w:r>
              <w:rPr>
                <w:szCs w:val="21"/>
              </w:rPr>
              <w:t>提供多种报告时间统计报表，包括冰冻报告发放时间统计、未发报告统计、超期报告统计、报告实际发放天数统计、报告实际发放天数汇总。</w:t>
            </w:r>
          </w:p>
          <w:p>
            <w:pPr>
              <w:rPr>
                <w:szCs w:val="21"/>
              </w:rPr>
            </w:pPr>
            <w:r>
              <w:rPr>
                <w:szCs w:val="21"/>
              </w:rPr>
              <w:t>提供同一病人的“小标本—大标本”或“细胞学—常规”诊断对照功能，并能导出为EXCEL文件。</w:t>
            </w:r>
          </w:p>
          <w:p>
            <w:pPr>
              <w:rPr>
                <w:szCs w:val="21"/>
              </w:rPr>
            </w:pPr>
            <w:r>
              <w:rPr>
                <w:szCs w:val="21"/>
              </w:rPr>
              <w:t>提供报告格式自动扩页功能，以适应内容较多的病理报告或尸检病理报告。</w:t>
            </w:r>
          </w:p>
          <w:p>
            <w:pPr>
              <w:rPr>
                <w:bCs/>
                <w:szCs w:val="21"/>
              </w:rPr>
            </w:pPr>
            <w:r>
              <w:rPr>
                <w:bCs/>
                <w:szCs w:val="21"/>
              </w:rPr>
              <w:t>提供用户分级权限体系，适应病理科不用级别的医生相互之间的报告修改、审核的权限嵌套关系。</w:t>
            </w:r>
          </w:p>
          <w:p>
            <w:pPr>
              <w:rPr>
                <w:bCs/>
                <w:szCs w:val="21"/>
              </w:rPr>
            </w:pPr>
            <w:r>
              <w:rPr>
                <w:bCs/>
                <w:szCs w:val="21"/>
              </w:rPr>
              <w:t>提供每日病理报告签收单管理，通过扫描病理报告单上的条码，自动按照“病区”或“送检科室”排序整理报告签收单进行打印，用于临床接收病理报告后签字返回病理科进行存档。</w:t>
            </w:r>
          </w:p>
          <w:p>
            <w:pPr>
              <w:rPr>
                <w:szCs w:val="21"/>
              </w:rPr>
            </w:pPr>
            <w:r>
              <w:rPr>
                <w:bCs/>
                <w:szCs w:val="21"/>
              </w:rPr>
              <w:t>重要报告痕迹后台记录和溯源查询功能。</w:t>
            </w:r>
          </w:p>
        </w:tc>
      </w:tr>
    </w:tbl>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附件2</w:t>
      </w:r>
    </w:p>
    <w:p>
      <w:pPr>
        <w:spacing w:line="360" w:lineRule="auto"/>
        <w:ind w:left="19" w:leftChars="-67" w:hanging="160" w:hangingChars="50"/>
        <w:jc w:val="center"/>
        <w:rPr>
          <w:rFonts w:ascii="微软雅黑" w:hAnsi="微软雅黑" w:eastAsia="微软雅黑"/>
          <w:b/>
          <w:sz w:val="32"/>
          <w:szCs w:val="32"/>
        </w:rPr>
      </w:pPr>
      <w:r>
        <w:rPr>
          <w:rFonts w:ascii="微软雅黑" w:hAnsi="微软雅黑" w:eastAsia="微软雅黑"/>
          <w:b/>
          <w:sz w:val="32"/>
          <w:szCs w:val="32"/>
        </w:rPr>
        <w:t>报名资料要求</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285"/>
        <w:gridCol w:w="3992"/>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79"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文件</w:t>
            </w:r>
          </w:p>
        </w:tc>
        <w:tc>
          <w:tcPr>
            <w:tcW w:w="128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类型</w:t>
            </w:r>
          </w:p>
        </w:tc>
        <w:tc>
          <w:tcPr>
            <w:tcW w:w="3992"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内容</w:t>
            </w:r>
          </w:p>
        </w:tc>
        <w:tc>
          <w:tcPr>
            <w:tcW w:w="407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1</w:t>
            </w:r>
          </w:p>
        </w:tc>
        <w:tc>
          <w:tcPr>
            <w:tcW w:w="1285" w:type="dxa"/>
            <w:vMerge w:val="restart"/>
            <w:vAlign w:val="center"/>
          </w:tcPr>
          <w:p>
            <w:pPr>
              <w:spacing w:line="360" w:lineRule="auto"/>
              <w:jc w:val="center"/>
              <w:rPr>
                <w:rFonts w:ascii="微软雅黑" w:hAnsi="微软雅黑" w:eastAsia="微软雅黑"/>
                <w:b/>
                <w:szCs w:val="21"/>
              </w:rPr>
            </w:pPr>
            <w:r>
              <w:rPr>
                <w:rFonts w:hint="eastAsia" w:ascii="微软雅黑" w:hAnsi="微软雅黑" w:eastAsia="微软雅黑"/>
                <w:szCs w:val="21"/>
              </w:rPr>
              <w:t>报价资料、</w:t>
            </w:r>
            <w:r>
              <w:rPr>
                <w:rFonts w:ascii="微软雅黑" w:hAnsi="微软雅黑" w:eastAsia="微软雅黑" w:cs="宋体"/>
                <w:bCs/>
                <w:kern w:val="0"/>
                <w:szCs w:val="21"/>
              </w:rPr>
              <w:t>后续维护服务</w:t>
            </w:r>
          </w:p>
        </w:tc>
        <w:tc>
          <w:tcPr>
            <w:tcW w:w="3992" w:type="dxa"/>
            <w:vAlign w:val="center"/>
          </w:tcPr>
          <w:p>
            <w:pPr>
              <w:rPr>
                <w:rFonts w:ascii="微软雅黑" w:hAnsi="微软雅黑" w:eastAsia="微软雅黑"/>
                <w:b/>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项目整体报价</w:t>
            </w:r>
            <w:r>
              <w:rPr>
                <w:rFonts w:hint="eastAsia" w:ascii="微软雅黑" w:hAnsi="微软雅黑" w:eastAsia="微软雅黑"/>
                <w:szCs w:val="21"/>
              </w:rPr>
              <w:t>及各功能模块/硬件清单明细报价；</w:t>
            </w:r>
            <w:r>
              <w:rPr>
                <w:rFonts w:hint="eastAsia" w:ascii="微软雅黑" w:hAnsi="微软雅黑" w:eastAsia="微软雅黑"/>
                <w:b/>
                <w:szCs w:val="21"/>
              </w:rPr>
              <w:t xml:space="preserve"> </w:t>
            </w:r>
          </w:p>
        </w:tc>
        <w:tc>
          <w:tcPr>
            <w:tcW w:w="4075" w:type="dxa"/>
            <w:vMerge w:val="restart"/>
          </w:tcPr>
          <w:p>
            <w:pPr>
              <w:spacing w:line="500" w:lineRule="exact"/>
              <w:rPr>
                <w:rFonts w:ascii="微软雅黑" w:hAnsi="微软雅黑" w:eastAsia="微软雅黑"/>
                <w:szCs w:val="21"/>
              </w:rPr>
            </w:pPr>
            <w:r>
              <w:rPr>
                <w:rFonts w:hint="eastAsia" w:ascii="微软雅黑" w:hAnsi="微软雅黑" w:eastAsia="微软雅黑"/>
                <w:szCs w:val="21"/>
              </w:rPr>
              <w:t>（1）一份盖章扫描版，一份可编辑的WORD版或excel版；</w:t>
            </w:r>
          </w:p>
          <w:p>
            <w:pPr>
              <w:spacing w:line="500" w:lineRule="exact"/>
              <w:rPr>
                <w:rFonts w:ascii="微软雅黑" w:hAnsi="微软雅黑" w:eastAsia="微软雅黑"/>
                <w:szCs w:val="21"/>
              </w:rPr>
            </w:pPr>
            <w:r>
              <w:rPr>
                <w:rFonts w:hint="eastAsia" w:ascii="微软雅黑" w:hAnsi="微软雅黑" w:eastAsia="微软雅黑"/>
                <w:szCs w:val="21"/>
              </w:rPr>
              <w:t>（2）报价函扫描版请加盖贵司公章；</w:t>
            </w:r>
          </w:p>
          <w:p>
            <w:pPr>
              <w:spacing w:line="500" w:lineRule="exact"/>
              <w:rPr>
                <w:rFonts w:ascii="微软雅黑" w:hAnsi="微软雅黑" w:eastAsia="微软雅黑"/>
                <w:szCs w:val="21"/>
              </w:rPr>
            </w:pPr>
            <w:r>
              <w:rPr>
                <w:rFonts w:hint="eastAsia" w:ascii="微软雅黑" w:hAnsi="微软雅黑" w:eastAsia="微软雅黑"/>
                <w:szCs w:val="21"/>
              </w:rPr>
              <w:t>（3）相关售后质量及服务承诺。</w:t>
            </w:r>
          </w:p>
          <w:p>
            <w:pPr>
              <w:spacing w:line="500" w:lineRule="exact"/>
              <w:rPr>
                <w:rFonts w:ascii="微软雅黑" w:hAnsi="微软雅黑" w:eastAsia="微软雅黑"/>
                <w:szCs w:val="21"/>
              </w:rPr>
            </w:pPr>
            <w:r>
              <w:rPr>
                <w:rFonts w:hint="eastAsia" w:ascii="微软雅黑" w:hAnsi="微软雅黑" w:eastAsia="微软雅黑"/>
                <w:szCs w:val="21"/>
              </w:rPr>
              <w:t>（4）硬件清单明细报价需按各推荐品牌分别报价。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2.</w:t>
            </w:r>
            <w:r>
              <w:rPr>
                <w:rFonts w:ascii="微软雅黑" w:hAnsi="微软雅黑" w:eastAsia="微软雅黑" w:cs="宋体"/>
                <w:kern w:val="0"/>
                <w:szCs w:val="21"/>
              </w:rPr>
              <w:t>免费维保期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3.</w:t>
            </w:r>
            <w:r>
              <w:rPr>
                <w:rFonts w:ascii="微软雅黑" w:hAnsi="微软雅黑" w:eastAsia="微软雅黑" w:cs="宋体"/>
                <w:kern w:val="0"/>
                <w:szCs w:val="21"/>
              </w:rPr>
              <w:t>免费维保期后维保费率</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4.</w:t>
            </w:r>
            <w:r>
              <w:rPr>
                <w:rFonts w:ascii="微软雅黑" w:hAnsi="微软雅黑" w:eastAsia="微软雅黑" w:cs="宋体"/>
                <w:kern w:val="0"/>
                <w:szCs w:val="21"/>
              </w:rPr>
              <w:t>本地维护团队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5.</w:t>
            </w:r>
            <w:r>
              <w:rPr>
                <w:rFonts w:hint="eastAsia" w:ascii="微软雅黑" w:hAnsi="微软雅黑" w:eastAsia="微软雅黑"/>
                <w:szCs w:val="21"/>
              </w:rPr>
              <w:t>公司项目联系人及联系方式。</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2</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公司资质</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规模实力</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szCs w:val="21"/>
              </w:rPr>
            </w:pPr>
            <w:r>
              <w:rPr>
                <w:rFonts w:hint="eastAsia" w:ascii="微软雅黑" w:hAnsi="微软雅黑" w:eastAsia="微软雅黑"/>
                <w:szCs w:val="21"/>
              </w:rPr>
              <w:t>（2）代理公司需提供授权代理资质；</w:t>
            </w:r>
          </w:p>
          <w:p>
            <w:pPr>
              <w:spacing w:line="360" w:lineRule="auto"/>
              <w:rPr>
                <w:rFonts w:ascii="微软雅黑" w:hAnsi="微软雅黑" w:eastAsia="微软雅黑"/>
                <w:szCs w:val="21"/>
              </w:rPr>
            </w:pPr>
            <w:r>
              <w:rPr>
                <w:rFonts w:hint="eastAsia" w:ascii="微软雅黑" w:hAnsi="微软雅黑" w:eastAsia="微软雅黑"/>
                <w:szCs w:val="21"/>
              </w:rPr>
              <w:t>（3）贵司的营业执照、税务登记证、组织机构代码证。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研发团队力量</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行业专注度（专业背景）</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从业年限</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3</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实施方案、实施周期</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产品功能、完整性</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b/>
                <w:szCs w:val="21"/>
              </w:rPr>
            </w:pPr>
            <w:r>
              <w:rPr>
                <w:rFonts w:hint="eastAsia" w:ascii="微软雅黑" w:hAnsi="微软雅黑" w:eastAsia="微软雅黑"/>
                <w:szCs w:val="21"/>
              </w:rPr>
              <w:t>（2）项目实施具体方案、实施周期。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可用性、易用性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兼容性、开放性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对硬件、耗材要求</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rPr>
              <w:t>实施周期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exact"/>
          <w:jc w:val="center"/>
        </w:trPr>
        <w:tc>
          <w:tcPr>
            <w:tcW w:w="679" w:type="dxa"/>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4</w:t>
            </w:r>
          </w:p>
        </w:tc>
        <w:tc>
          <w:tcPr>
            <w:tcW w:w="1285" w:type="dxa"/>
            <w:vAlign w:val="center"/>
          </w:tcPr>
          <w:p>
            <w:pPr>
              <w:spacing w:line="360" w:lineRule="auto"/>
              <w:jc w:val="center"/>
              <w:rPr>
                <w:rFonts w:ascii="微软雅黑" w:hAnsi="微软雅黑" w:eastAsia="微软雅黑"/>
                <w:szCs w:val="21"/>
              </w:rPr>
            </w:pPr>
            <w:r>
              <w:rPr>
                <w:rFonts w:ascii="微软雅黑" w:hAnsi="微软雅黑" w:eastAsia="微软雅黑" w:cs="宋体"/>
                <w:bCs/>
                <w:kern w:val="0"/>
                <w:szCs w:val="21"/>
              </w:rPr>
              <w:t>实施案例</w:t>
            </w: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成功实施项目数（医疗行业项目实施数）</w:t>
            </w:r>
            <w:r>
              <w:rPr>
                <w:rFonts w:hint="eastAsia" w:ascii="微软雅黑" w:hAnsi="微软雅黑" w:eastAsia="微软雅黑" w:cs="宋体"/>
                <w:kern w:val="0"/>
                <w:szCs w:val="21"/>
              </w:rPr>
              <w:t>及三家成功案例。</w:t>
            </w:r>
          </w:p>
          <w:p>
            <w:pPr>
              <w:spacing w:line="360" w:lineRule="auto"/>
              <w:rPr>
                <w:rFonts w:ascii="微软雅黑" w:hAnsi="微软雅黑" w:eastAsia="微软雅黑" w:cs="宋体"/>
                <w:kern w:val="0"/>
                <w:szCs w:val="21"/>
              </w:rPr>
            </w:pPr>
          </w:p>
        </w:tc>
        <w:tc>
          <w:tcPr>
            <w:tcW w:w="4075" w:type="dxa"/>
          </w:tcPr>
          <w:p>
            <w:pPr>
              <w:spacing w:line="360" w:lineRule="auto"/>
              <w:rPr>
                <w:rFonts w:ascii="微软雅黑" w:hAnsi="微软雅黑" w:eastAsia="微软雅黑"/>
                <w:szCs w:val="21"/>
              </w:rPr>
            </w:pPr>
            <w:r>
              <w:rPr>
                <w:rFonts w:hint="eastAsia" w:ascii="微软雅黑" w:hAnsi="微软雅黑" w:eastAsia="微软雅黑"/>
                <w:szCs w:val="21"/>
              </w:rPr>
              <w:t>提供三家三甲医院合同（含项目内容清单）复印件。文件以“合作项目+合作单位+合作金额”命名。</w:t>
            </w:r>
          </w:p>
        </w:tc>
      </w:tr>
    </w:tbl>
    <w:p>
      <w:pPr>
        <w:rPr>
          <w:rFonts w:ascii="微软雅黑" w:hAnsi="微软雅黑" w:eastAsia="微软雅黑"/>
          <w:sz w:val="28"/>
          <w:szCs w:val="28"/>
        </w:rPr>
      </w:pPr>
    </w:p>
    <w:sectPr>
      <w:pgSz w:w="11906" w:h="16838"/>
      <w:pgMar w:top="1276"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B5B2A"/>
    <w:multiLevelType w:val="singleLevel"/>
    <w:tmpl w:val="AE2B5B2A"/>
    <w:lvl w:ilvl="0" w:tentative="0">
      <w:start w:val="1"/>
      <w:numFmt w:val="decimal"/>
      <w:suff w:val="nothing"/>
      <w:lvlText w:val="%1、"/>
      <w:lvlJc w:val="left"/>
    </w:lvl>
  </w:abstractNum>
  <w:abstractNum w:abstractNumId="1">
    <w:nsid w:val="0D2508DE"/>
    <w:multiLevelType w:val="multilevel"/>
    <w:tmpl w:val="0D2508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1DA3324"/>
    <w:multiLevelType w:val="multilevel"/>
    <w:tmpl w:val="31DA33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803676"/>
    <w:multiLevelType w:val="multilevel"/>
    <w:tmpl w:val="5A80367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45"/>
    <w:rsid w:val="000F34AF"/>
    <w:rsid w:val="0014192B"/>
    <w:rsid w:val="001A2D9D"/>
    <w:rsid w:val="002029E8"/>
    <w:rsid w:val="002D0E74"/>
    <w:rsid w:val="00301D45"/>
    <w:rsid w:val="00623B79"/>
    <w:rsid w:val="0066539A"/>
    <w:rsid w:val="006D16BD"/>
    <w:rsid w:val="006D217B"/>
    <w:rsid w:val="00704D49"/>
    <w:rsid w:val="00727395"/>
    <w:rsid w:val="007442C0"/>
    <w:rsid w:val="00744C63"/>
    <w:rsid w:val="007E0681"/>
    <w:rsid w:val="008027FE"/>
    <w:rsid w:val="00871AB9"/>
    <w:rsid w:val="008F77A5"/>
    <w:rsid w:val="009148CD"/>
    <w:rsid w:val="009A45E9"/>
    <w:rsid w:val="00A779DB"/>
    <w:rsid w:val="00B25BC7"/>
    <w:rsid w:val="00B76D16"/>
    <w:rsid w:val="00BB33E5"/>
    <w:rsid w:val="00BC36B7"/>
    <w:rsid w:val="00CA2F17"/>
    <w:rsid w:val="00E56A30"/>
    <w:rsid w:val="00EE3650"/>
    <w:rsid w:val="00EF58C1"/>
    <w:rsid w:val="00F37265"/>
    <w:rsid w:val="381376C4"/>
    <w:rsid w:val="4DD6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uiPriority w:val="0"/>
    <w:pPr>
      <w:spacing w:line="360" w:lineRule="auto"/>
      <w:ind w:firstLine="420" w:firstLineChars="200"/>
    </w:pPr>
    <w:rPr>
      <w:rFonts w:ascii="Times New Roman" w:hAnsi="Times New Roman" w:eastAsia="宋体" w:cs="Times New Roman"/>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3"/>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正文文本缩进 3 字符"/>
    <w:basedOn w:val="7"/>
    <w:link w:val="4"/>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568</Words>
  <Characters>3238</Characters>
  <Lines>26</Lines>
  <Paragraphs>7</Paragraphs>
  <TotalTime>1</TotalTime>
  <ScaleCrop>false</ScaleCrop>
  <LinksUpToDate>false</LinksUpToDate>
  <CharactersWithSpaces>3799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2020-04-15T08:13:00Z</dcterms:created>
  <dc:creator>netuser</dc:creator>
  <cp:lastModifiedBy>Administrator</cp:lastModifiedBy>
  <dcterms:modified xsi:type="dcterms:W3CDTF">2020-04-17T09:50:43Z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