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附件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>1：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44"/>
          <w:szCs w:val="44"/>
        </w:rPr>
        <w:t>广东省</w:t>
      </w:r>
      <w:r>
        <w:rPr>
          <w:rFonts w:ascii="宋体" w:hAnsi="宋体" w:eastAsia="宋体" w:cs="宋体"/>
          <w:b/>
          <w:kern w:val="0"/>
          <w:sz w:val="44"/>
          <w:szCs w:val="44"/>
        </w:rPr>
        <w:t>人民医院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存储光纤交换机采购项目需求</w:t>
      </w:r>
    </w:p>
    <w:p>
      <w:pPr>
        <w:pStyle w:val="7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ascii="宋体" w:hAnsi="宋体" w:eastAsia="宋体" w:cs="宋体"/>
          <w:b/>
          <w:kern w:val="0"/>
          <w:sz w:val="24"/>
        </w:rPr>
        <w:t xml:space="preserve">采购设备清单 </w:t>
      </w:r>
    </w:p>
    <w:tbl>
      <w:tblPr>
        <w:tblStyle w:val="5"/>
        <w:tblpPr w:leftFromText="180" w:rightFromText="180" w:vertAnchor="text" w:horzAnchor="margin" w:tblpY="4"/>
        <w:tblW w:w="530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3664"/>
        <w:gridCol w:w="8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总数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SAN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网络交换机（含实施服务）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</w:rPr>
      </w:pPr>
    </w:p>
    <w:p>
      <w:pPr>
        <w:pStyle w:val="7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S</w:t>
      </w:r>
      <w:r>
        <w:rPr>
          <w:rFonts w:ascii="宋体" w:hAnsi="宋体" w:eastAsia="宋体" w:cs="宋体"/>
          <w:b/>
          <w:kern w:val="0"/>
          <w:sz w:val="24"/>
        </w:rPr>
        <w:t>AN</w:t>
      </w:r>
      <w:r>
        <w:rPr>
          <w:rFonts w:hint="eastAsia" w:ascii="宋体" w:hAnsi="宋体" w:eastAsia="宋体" w:cs="宋体"/>
          <w:b/>
          <w:kern w:val="0"/>
          <w:sz w:val="24"/>
        </w:rPr>
        <w:t>网络交换机</w:t>
      </w:r>
      <w:r>
        <w:rPr>
          <w:rFonts w:ascii="宋体" w:hAnsi="宋体" w:eastAsia="宋体" w:cs="宋体"/>
          <w:b/>
          <w:kern w:val="0"/>
          <w:sz w:val="24"/>
        </w:rPr>
        <w:t>参数要求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1"/>
        <w:gridCol w:w="1871"/>
        <w:gridCol w:w="5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指标项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技术指标要求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交换模式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直通模式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8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背板架构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采用无拥塞的背板架构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交换机聚合带宽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≥4Tbit/sec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端口延时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本地交换端口延迟为780 ns或更短（包括FEC）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全线速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所有FC端口支持32Gb/s全线速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最大Fabric架构延迟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本地交换端口延迟≤780 ns；端口组间延迟</w:t>
            </w:r>
            <w:r>
              <w:rPr>
                <w:rFonts w:ascii="Times New Roman" w:hAnsi="Times New Roman" w:eastAsia="宋体" w:cs="Times New Roman"/>
                <w:sz w:val="24"/>
              </w:rPr>
              <w:t>≤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2.6 μs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接口光模块特性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FC端口速度支持自动检测功能，可后向兼容32、16、10、8和4Gbps 光纤通道链路；可在线热插拔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光模块特性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支持16Gb、32Gb、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10Gb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SFP+光模块和128Gb（4×32Gb）QSFP光模块 ；可在线热插拔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支持协议和标准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3"/>
              </w:tabs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SAN交换机必须支持FC协议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冗余性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双电源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兼容性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能够支持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主流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存储厂家的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F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C SAN存储产品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支持区域划分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支持硬件分区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可管理性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line="3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支持SNMP 、Telnet、Web管理／GUI界面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iCs/>
                <w:color w:val="00B050"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光纤通道端口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line="320" w:lineRule="exact"/>
              <w:rPr>
                <w:rFonts w:ascii="Times New Roman" w:hAnsi="Times New Roman" w:eastAsia="宋体" w:cs="Times New Roman"/>
                <w:iCs/>
                <w:color w:val="00B050"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每台交换机提供≥96个SFP+端口，每端口支持16Gb、32Gb、10Gb SFP+光模块；</w:t>
            </w: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每台交换机提供</w:t>
            </w:r>
            <w:r>
              <w:rPr>
                <w:rFonts w:ascii="Times New Roman" w:hAnsi="Times New Roman" w:eastAsia="宋体" w:cs="Times New Roman"/>
                <w:iCs/>
                <w:szCs w:val="21"/>
              </w:rPr>
              <w:t>≥8个4×32Gb</w:t>
            </w: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 xml:space="preserve"> Q</w:t>
            </w:r>
            <w:r>
              <w:rPr>
                <w:rFonts w:ascii="Times New Roman" w:hAnsi="Times New Roman" w:eastAsia="宋体" w:cs="Times New Roman"/>
                <w:iCs/>
                <w:szCs w:val="21"/>
              </w:rPr>
              <w:t>SFP端口</w:t>
            </w: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，每端口支持</w:t>
            </w:r>
            <w:r>
              <w:rPr>
                <w:rFonts w:ascii="Times New Roman" w:hAnsi="Times New Roman" w:eastAsia="宋体" w:cs="Times New Roman"/>
                <w:iCs/>
                <w:szCs w:val="21"/>
              </w:rPr>
              <w:t>4×32Gb QSFP光模块；96个SFP+端口和8个QSFP端口同时激活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iCs/>
                <w:color w:val="00B050"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光模块配置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line="320" w:lineRule="exact"/>
              <w:rPr>
                <w:rFonts w:ascii="Times New Roman" w:hAnsi="Times New Roman" w:eastAsia="宋体" w:cs="Times New Roman"/>
                <w:iCs/>
                <w:color w:val="00B050"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每台交换机配置≥96个</w:t>
            </w: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 xml:space="preserve">32Gb </w:t>
            </w:r>
            <w:r>
              <w:rPr>
                <w:rFonts w:ascii="Times New Roman" w:hAnsi="Times New Roman" w:eastAsia="宋体" w:cs="Times New Roman"/>
                <w:iCs/>
                <w:szCs w:val="21"/>
              </w:rPr>
              <w:t>SWL SFP+多模</w:t>
            </w: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光模块（2芯LC接口）；每台交换机配置8</w:t>
            </w:r>
            <w:r>
              <w:rPr>
                <w:rFonts w:ascii="Times New Roman" w:hAnsi="Times New Roman" w:eastAsia="宋体" w:cs="Times New Roman"/>
                <w:iCs/>
                <w:szCs w:val="21"/>
              </w:rPr>
              <w:t>个4×32Gb SWL QSFP多模光模块（</w:t>
            </w: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12芯MPO接口）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端口类型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支持D_Port（ClearLink诊断端口）、E_Port、EX_Port、F_Port和AE_Port；可选端口类型控制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多链路捆绑功能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支持基于帧的干线合并，每条ISL中继最多8个32 Gbps SFP+端口，每条ISL中继最多有2个128 Gbps QSFP端口。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SAN</w:t>
            </w:r>
            <w:r>
              <w:rPr>
                <w:rFonts w:ascii="Times New Roman" w:hAnsi="Times New Roman" w:eastAsia="宋体" w:cs="Times New Roman"/>
              </w:rPr>
              <w:t>路由支持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支持光纤通道(FC)集成路由功能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实时的压缩和加密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交换机提供免费的基于硬件的FC压缩和256位加密功能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ClearLink诊断模式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支持D_Port ClearLink诊断模式，快速发现并隔离光纤和电缆故障，从而缩短光纤架构部署和诊断时间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兼容性要求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要求能与现有的博科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Brocade 6505和EMC DS-6510B交换机级联，实现多链路捆绑ISL；级联后共享统一的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Zone配置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机箱外形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售后服务</w:t>
            </w:r>
          </w:p>
        </w:tc>
        <w:tc>
          <w:tcPr>
            <w:tcW w:w="3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iCs/>
                <w:szCs w:val="21"/>
              </w:rPr>
            </w:pPr>
            <w:r>
              <w:rPr>
                <w:rFonts w:ascii="Times New Roman" w:hAnsi="Times New Roman" w:eastAsia="宋体" w:cs="Times New Roman"/>
                <w:iCs/>
                <w:szCs w:val="21"/>
              </w:rPr>
              <w:t>提供为期</w:t>
            </w: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五</w:t>
            </w:r>
            <w:r>
              <w:rPr>
                <w:rFonts w:ascii="Times New Roman" w:hAnsi="Times New Roman" w:eastAsia="宋体" w:cs="Times New Roman"/>
                <w:iCs/>
                <w:szCs w:val="21"/>
              </w:rPr>
              <w:t>年的上门保修服务，7×24小时响应，</w:t>
            </w:r>
            <w:r>
              <w:rPr>
                <w:rFonts w:hint="eastAsia" w:ascii="Times New Roman" w:hAnsi="Times New Roman" w:eastAsia="宋体" w:cs="Times New Roman"/>
                <w:iCs/>
                <w:szCs w:val="21"/>
              </w:rPr>
              <w:t>4小时到达现场，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设备保修期每年不少于4次的原厂现场服务</w:t>
            </w:r>
          </w:p>
        </w:tc>
      </w:tr>
    </w:tbl>
    <w:p>
      <w:pPr>
        <w:pStyle w:val="7"/>
        <w:widowControl/>
        <w:numPr>
          <w:ilvl w:val="0"/>
          <w:numId w:val="1"/>
        </w:numPr>
        <w:spacing w:before="100" w:beforeAutospacing="1"/>
        <w:ind w:firstLineChars="0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ascii="宋体" w:hAnsi="宋体" w:eastAsia="宋体" w:cs="宋体"/>
          <w:b/>
          <w:kern w:val="0"/>
          <w:sz w:val="24"/>
        </w:rPr>
        <w:t>SAN网络改造实施</w:t>
      </w:r>
      <w:r>
        <w:rPr>
          <w:rFonts w:hint="eastAsia" w:ascii="宋体" w:hAnsi="宋体" w:eastAsia="宋体" w:cs="宋体"/>
          <w:b/>
          <w:kern w:val="0"/>
          <w:sz w:val="24"/>
        </w:rPr>
        <w:t>服务</w:t>
      </w:r>
      <w:r>
        <w:rPr>
          <w:rFonts w:ascii="宋体" w:hAnsi="宋体" w:eastAsia="宋体" w:cs="宋体"/>
          <w:b/>
          <w:kern w:val="0"/>
          <w:sz w:val="24"/>
        </w:rPr>
        <w:t xml:space="preserve">要求 </w:t>
      </w:r>
    </w:p>
    <w:p>
      <w:pPr>
        <w:pStyle w:val="7"/>
        <w:widowControl/>
        <w:spacing w:line="400" w:lineRule="exact"/>
        <w:ind w:firstLine="259" w:firstLineChars="118"/>
        <w:jc w:val="left"/>
        <w:rPr>
          <w:rFonts w:ascii="Times New Roman" w:hAnsi="Times New Roman" w:eastAsia="宋体" w:cs="Times New Roman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kern w:val="0"/>
          <w:sz w:val="22"/>
          <w:szCs w:val="22"/>
        </w:rPr>
        <w:t>我院（广东省人民医院）的FC SAN网络当前包含2个Fabric，每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</w:rPr>
        <w:t>个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>Fabric由4台SAN 交换机级联而成，其中2台在1期机房，2台在2期机房。本次计划将每个Fabric改造成由2台新购的SAN交换机级联而成，其中1台在1期机房，1台在2期机房。每个Fabric 的2台SAN交换机间互联的干线采用2条4×32Gb光纤链路，干线总带宽达到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</w:rPr>
        <w:t>256Gb/s。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 xml:space="preserve"> </w:t>
      </w:r>
    </w:p>
    <w:p>
      <w:pPr>
        <w:pStyle w:val="7"/>
        <w:widowControl/>
        <w:spacing w:line="400" w:lineRule="exact"/>
        <w:ind w:firstLine="259" w:firstLineChars="118"/>
        <w:jc w:val="lef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ascii="宋体" w:hAnsi="宋体" w:eastAsia="宋体" w:cs="宋体"/>
          <w:kern w:val="0"/>
          <w:sz w:val="22"/>
          <w:szCs w:val="22"/>
        </w:rPr>
        <w:t>成交供应商需提供以下技术服务及辅助材料：</w:t>
      </w:r>
    </w:p>
    <w:p>
      <w:pPr>
        <w:pStyle w:val="7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负责新购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>SAN</w:t>
      </w:r>
      <w:r>
        <w:rPr>
          <w:rFonts w:hint="eastAsia" w:ascii="宋体" w:hAnsi="宋体" w:eastAsia="宋体" w:cs="宋体"/>
          <w:kern w:val="0"/>
          <w:sz w:val="22"/>
          <w:szCs w:val="22"/>
        </w:rPr>
        <w:t>交换机的安装和配置；</w:t>
      </w:r>
    </w:p>
    <w:p>
      <w:pPr>
        <w:pStyle w:val="7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ascii="宋体" w:hAnsi="宋体" w:eastAsia="宋体" w:cs="宋体"/>
          <w:kern w:val="0"/>
          <w:sz w:val="22"/>
          <w:szCs w:val="22"/>
        </w:rPr>
        <w:t>负责新、旧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>SAN</w:t>
      </w:r>
      <w:r>
        <w:rPr>
          <w:rFonts w:hint="eastAsia" w:ascii="宋体" w:hAnsi="宋体" w:eastAsia="宋体" w:cs="宋体"/>
          <w:kern w:val="0"/>
          <w:sz w:val="22"/>
          <w:szCs w:val="22"/>
        </w:rPr>
        <w:t>交换机间连接线路的割接。割接过程需保障业务的连续性，为此，在割接实施前需设计好执行步骤，做好应急预案；割接过程应安排足够数量的技术熟练工程师到现场做保障，以便及时措置意外情况，避免割接过程造成业务中断；</w:t>
      </w:r>
    </w:p>
    <w:p>
      <w:pPr>
        <w:pStyle w:val="7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kern w:val="0"/>
          <w:sz w:val="22"/>
          <w:szCs w:val="22"/>
        </w:rPr>
        <w:t>负责割接过程中SAN</w:t>
      </w:r>
      <w:r>
        <w:rPr>
          <w:rFonts w:ascii="宋体" w:hAnsi="宋体" w:eastAsia="宋体" w:cs="宋体"/>
          <w:kern w:val="0"/>
          <w:sz w:val="22"/>
          <w:szCs w:val="22"/>
        </w:rPr>
        <w:t>交换机的配置，包括但不限于：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>Domain配置、ISL配置、Zoning</w:t>
      </w:r>
      <w:r>
        <w:rPr>
          <w:rFonts w:ascii="宋体" w:hAnsi="宋体" w:eastAsia="宋体" w:cs="宋体"/>
          <w:kern w:val="0"/>
          <w:sz w:val="22"/>
          <w:szCs w:val="22"/>
        </w:rPr>
        <w:t>配置等，如果原有的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>SAN</w:t>
      </w:r>
      <w:r>
        <w:rPr>
          <w:rFonts w:ascii="宋体" w:hAnsi="宋体" w:eastAsia="宋体" w:cs="宋体"/>
          <w:kern w:val="0"/>
          <w:sz w:val="22"/>
          <w:szCs w:val="22"/>
        </w:rPr>
        <w:t>交换机也需要进行配置，也由本次的成交供应商负责；</w:t>
      </w:r>
    </w:p>
    <w:p>
      <w:pPr>
        <w:pStyle w:val="7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ascii="宋体" w:hAnsi="宋体" w:eastAsia="宋体" w:cs="宋体"/>
          <w:kern w:val="0"/>
          <w:sz w:val="22"/>
          <w:szCs w:val="22"/>
        </w:rPr>
        <w:t>负责提供所需要的光纤，包括但不限于：</w:t>
      </w:r>
    </w:p>
    <w:p>
      <w:pPr>
        <w:pStyle w:val="7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Times New Roman" w:hAnsi="Times New Roman" w:eastAsia="宋体" w:cs="Times New Roman"/>
          <w:kern w:val="0"/>
          <w:sz w:val="22"/>
          <w:szCs w:val="22"/>
        </w:rPr>
      </w:pPr>
      <w:r>
        <w:rPr>
          <w:rFonts w:hint="eastAsia" w:ascii="Times New Roman" w:hAnsi="Times New Roman" w:eastAsia="宋体" w:cs="Times New Roman"/>
          <w:kern w:val="0"/>
          <w:sz w:val="22"/>
          <w:szCs w:val="22"/>
        </w:rPr>
        <w:t>OM4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>双芯LC-LC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</w:rPr>
        <w:t>多模光纤</w:t>
      </w:r>
    </w:p>
    <w:p>
      <w:pPr>
        <w:pStyle w:val="7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Times New Roman" w:hAnsi="Times New Roman" w:eastAsia="宋体" w:cs="Times New Roman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kern w:val="0"/>
          <w:sz w:val="22"/>
          <w:szCs w:val="22"/>
        </w:rPr>
        <w:t>2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</w:rPr>
        <w:t>4簇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>OM4 1</w:t>
      </w:r>
      <w:r>
        <w:rPr>
          <w:rFonts w:ascii="Times New Roman" w:hAnsi="Times New Roman" w:eastAsia="宋体" w:cs="Times New Roman"/>
          <w:iCs/>
          <w:kern w:val="0"/>
          <w:sz w:val="22"/>
          <w:szCs w:val="22"/>
        </w:rPr>
        <w:t>×12芯</w:t>
      </w:r>
      <w:r>
        <w:rPr>
          <w:rFonts w:hint="eastAsia" w:ascii="Times New Roman" w:hAnsi="Times New Roman" w:eastAsia="宋体" w:cs="Times New Roman"/>
          <w:iCs/>
          <w:kern w:val="0"/>
          <w:sz w:val="22"/>
          <w:szCs w:val="22"/>
        </w:rPr>
        <w:t xml:space="preserve"> MPO-LC多模光纤；</w:t>
      </w:r>
    </w:p>
    <w:p>
      <w:pPr>
        <w:pStyle w:val="7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Times New Roman" w:hAnsi="Times New Roman" w:eastAsia="宋体" w:cs="Times New Roman"/>
          <w:kern w:val="0"/>
          <w:sz w:val="22"/>
          <w:szCs w:val="22"/>
        </w:rPr>
      </w:pPr>
      <w:r>
        <w:rPr>
          <w:rFonts w:hint="eastAsia" w:ascii="Times New Roman" w:hAnsi="Times New Roman" w:eastAsia="宋体" w:cs="Times New Roman"/>
          <w:kern w:val="0"/>
          <w:sz w:val="22"/>
          <w:szCs w:val="22"/>
        </w:rPr>
        <w:t>在1期机房和2期机房之间铺设2条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>24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</w:rPr>
        <w:t>芯OM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>4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</w:rPr>
        <w:t>光缆</w:t>
      </w:r>
      <w:r>
        <w:rPr>
          <w:rFonts w:ascii="Times New Roman" w:hAnsi="Times New Roman" w:eastAsia="宋体" w:cs="Times New Roman"/>
          <w:iCs/>
          <w:kern w:val="0"/>
          <w:sz w:val="22"/>
          <w:szCs w:val="22"/>
        </w:rPr>
        <w:t>。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</w:rPr>
        <w:t>这些纤芯需在两条缆线里，以保证任何一条缆线折断时，仍有一半纤芯畅通。光纤端接及所需的光纤配线架、跳线、尾纤、耦合器等材料均由本次</w:t>
      </w:r>
      <w:r>
        <w:rPr>
          <w:rFonts w:ascii="Times New Roman" w:hAnsi="Times New Roman" w:eastAsia="宋体" w:cs="Times New Roman"/>
          <w:kern w:val="0"/>
          <w:sz w:val="22"/>
          <w:szCs w:val="22"/>
        </w:rPr>
        <w:t>成交供应商提供。</w:t>
      </w:r>
    </w:p>
    <w:p>
      <w:pPr>
        <w:pStyle w:val="7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所提供的光纤需为国际知名品牌产品，实际长度由</w:t>
      </w:r>
      <w:r>
        <w:rPr>
          <w:rFonts w:ascii="宋体" w:hAnsi="宋体" w:eastAsia="宋体" w:cs="宋体"/>
          <w:kern w:val="0"/>
          <w:sz w:val="22"/>
          <w:szCs w:val="22"/>
        </w:rPr>
        <w:t>成交供应商到现场踏勘后确定。所用光纤需在新、旧</w:t>
      </w:r>
      <w:r>
        <w:rPr>
          <w:rFonts w:hint="eastAsia" w:ascii="宋体" w:hAnsi="宋体" w:eastAsia="宋体" w:cs="宋体"/>
          <w:kern w:val="0"/>
          <w:sz w:val="22"/>
          <w:szCs w:val="22"/>
        </w:rPr>
        <w:t>交换机</w:t>
      </w:r>
      <w:r>
        <w:rPr>
          <w:rFonts w:ascii="宋体" w:hAnsi="宋体" w:eastAsia="宋体" w:cs="宋体"/>
          <w:kern w:val="0"/>
          <w:sz w:val="22"/>
          <w:szCs w:val="22"/>
        </w:rPr>
        <w:t>割接前铺设好。</w:t>
      </w:r>
    </w:p>
    <w:p>
      <w:pPr>
        <w:jc w:val="left"/>
        <w:rPr>
          <w:rFonts w:ascii="宋体" w:hAnsi="宋体" w:eastAsia="宋体"/>
        </w:rPr>
      </w:pPr>
    </w:p>
    <w:sectPr>
      <w:footerReference r:id="rId5" w:type="default"/>
      <w:pgSz w:w="11900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607472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D1"/>
    <w:multiLevelType w:val="multilevel"/>
    <w:tmpl w:val="056D57D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DB16B5"/>
    <w:multiLevelType w:val="multilevel"/>
    <w:tmpl w:val="0EDB16B5"/>
    <w:lvl w:ilvl="0" w:tentative="0">
      <w:start w:val="1"/>
      <w:numFmt w:val="decimal"/>
      <w:lvlText w:val="（%1）"/>
      <w:lvlJc w:val="left"/>
      <w:pPr>
        <w:ind w:left="1128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abstractNum w:abstractNumId="2">
    <w:nsid w:val="457D181E"/>
    <w:multiLevelType w:val="multilevel"/>
    <w:tmpl w:val="457D181E"/>
    <w:lvl w:ilvl="0" w:tentative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480" w:hanging="420"/>
      </w:pPr>
    </w:lvl>
    <w:lvl w:ilvl="2" w:tentative="0">
      <w:start w:val="1"/>
      <w:numFmt w:val="lowerRoman"/>
      <w:lvlText w:val="%3."/>
      <w:lvlJc w:val="right"/>
      <w:pPr>
        <w:ind w:left="900" w:hanging="420"/>
      </w:pPr>
    </w:lvl>
    <w:lvl w:ilvl="3" w:tentative="0">
      <w:start w:val="1"/>
      <w:numFmt w:val="decimal"/>
      <w:lvlText w:val="%4."/>
      <w:lvlJc w:val="left"/>
      <w:pPr>
        <w:ind w:left="1320" w:hanging="420"/>
      </w:pPr>
    </w:lvl>
    <w:lvl w:ilvl="4" w:tentative="0">
      <w:start w:val="1"/>
      <w:numFmt w:val="lowerLetter"/>
      <w:lvlText w:val="%5)"/>
      <w:lvlJc w:val="left"/>
      <w:pPr>
        <w:ind w:left="1740" w:hanging="420"/>
      </w:pPr>
    </w:lvl>
    <w:lvl w:ilvl="5" w:tentative="0">
      <w:start w:val="1"/>
      <w:numFmt w:val="lowerRoman"/>
      <w:lvlText w:val="%6."/>
      <w:lvlJc w:val="right"/>
      <w:pPr>
        <w:ind w:left="2160" w:hanging="420"/>
      </w:pPr>
    </w:lvl>
    <w:lvl w:ilvl="6" w:tentative="0">
      <w:start w:val="1"/>
      <w:numFmt w:val="decimal"/>
      <w:lvlText w:val="%7."/>
      <w:lvlJc w:val="left"/>
      <w:pPr>
        <w:ind w:left="2580" w:hanging="420"/>
      </w:pPr>
    </w:lvl>
    <w:lvl w:ilvl="7" w:tentative="0">
      <w:start w:val="1"/>
      <w:numFmt w:val="lowerLetter"/>
      <w:lvlText w:val="%8)"/>
      <w:lvlJc w:val="left"/>
      <w:pPr>
        <w:ind w:left="3000" w:hanging="420"/>
      </w:pPr>
    </w:lvl>
    <w:lvl w:ilvl="8" w:tentative="0">
      <w:start w:val="1"/>
      <w:numFmt w:val="lowerRoman"/>
      <w:lvlText w:val="%9."/>
      <w:lvlJc w:val="right"/>
      <w:pPr>
        <w:ind w:left="3420" w:hanging="420"/>
      </w:pPr>
    </w:lvl>
  </w:abstractNum>
  <w:abstractNum w:abstractNumId="3">
    <w:nsid w:val="7D1D2077"/>
    <w:multiLevelType w:val="multilevel"/>
    <w:tmpl w:val="7D1D2077"/>
    <w:lvl w:ilvl="0" w:tentative="0">
      <w:start w:val="1"/>
      <w:numFmt w:val="decimal"/>
      <w:lvlText w:val="%1）"/>
      <w:lvlJc w:val="left"/>
      <w:pPr>
        <w:ind w:left="68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00" w:hanging="420"/>
      </w:pPr>
    </w:lvl>
    <w:lvl w:ilvl="2" w:tentative="0">
      <w:start w:val="1"/>
      <w:numFmt w:val="lowerRoman"/>
      <w:lvlText w:val="%3."/>
      <w:lvlJc w:val="right"/>
      <w:pPr>
        <w:ind w:left="1520" w:hanging="420"/>
      </w:pPr>
    </w:lvl>
    <w:lvl w:ilvl="3" w:tentative="0">
      <w:start w:val="1"/>
      <w:numFmt w:val="decimal"/>
      <w:lvlText w:val="%4."/>
      <w:lvlJc w:val="left"/>
      <w:pPr>
        <w:ind w:left="1940" w:hanging="420"/>
      </w:pPr>
    </w:lvl>
    <w:lvl w:ilvl="4" w:tentative="0">
      <w:start w:val="1"/>
      <w:numFmt w:val="lowerLetter"/>
      <w:lvlText w:val="%5)"/>
      <w:lvlJc w:val="left"/>
      <w:pPr>
        <w:ind w:left="2360" w:hanging="420"/>
      </w:pPr>
    </w:lvl>
    <w:lvl w:ilvl="5" w:tentative="0">
      <w:start w:val="1"/>
      <w:numFmt w:val="lowerRoman"/>
      <w:lvlText w:val="%6."/>
      <w:lvlJc w:val="right"/>
      <w:pPr>
        <w:ind w:left="2780" w:hanging="420"/>
      </w:pPr>
    </w:lvl>
    <w:lvl w:ilvl="6" w:tentative="0">
      <w:start w:val="1"/>
      <w:numFmt w:val="decimal"/>
      <w:lvlText w:val="%7."/>
      <w:lvlJc w:val="left"/>
      <w:pPr>
        <w:ind w:left="3200" w:hanging="420"/>
      </w:pPr>
    </w:lvl>
    <w:lvl w:ilvl="7" w:tentative="0">
      <w:start w:val="1"/>
      <w:numFmt w:val="lowerLetter"/>
      <w:lvlText w:val="%8)"/>
      <w:lvlJc w:val="left"/>
      <w:pPr>
        <w:ind w:left="3620" w:hanging="420"/>
      </w:pPr>
    </w:lvl>
    <w:lvl w:ilvl="8" w:tentative="0">
      <w:start w:val="1"/>
      <w:numFmt w:val="lowerRoman"/>
      <w:lvlText w:val="%9."/>
      <w:lvlJc w:val="right"/>
      <w:pPr>
        <w:ind w:left="40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950"/>
    <w:rsid w:val="00005886"/>
    <w:rsid w:val="000365D6"/>
    <w:rsid w:val="0004588D"/>
    <w:rsid w:val="00066330"/>
    <w:rsid w:val="00070968"/>
    <w:rsid w:val="000A7314"/>
    <w:rsid w:val="000B2261"/>
    <w:rsid w:val="000C3621"/>
    <w:rsid w:val="000E69C5"/>
    <w:rsid w:val="00111329"/>
    <w:rsid w:val="00112ACC"/>
    <w:rsid w:val="00131C75"/>
    <w:rsid w:val="00135636"/>
    <w:rsid w:val="0013754E"/>
    <w:rsid w:val="00152FEC"/>
    <w:rsid w:val="00166044"/>
    <w:rsid w:val="00197826"/>
    <w:rsid w:val="001D615E"/>
    <w:rsid w:val="002011C8"/>
    <w:rsid w:val="0020218F"/>
    <w:rsid w:val="00211A01"/>
    <w:rsid w:val="00213943"/>
    <w:rsid w:val="0023074A"/>
    <w:rsid w:val="0029415E"/>
    <w:rsid w:val="002A31E8"/>
    <w:rsid w:val="002D11F9"/>
    <w:rsid w:val="002E40F6"/>
    <w:rsid w:val="002F5DA0"/>
    <w:rsid w:val="00327136"/>
    <w:rsid w:val="00332847"/>
    <w:rsid w:val="00337BD7"/>
    <w:rsid w:val="0037742E"/>
    <w:rsid w:val="00396B38"/>
    <w:rsid w:val="003B6534"/>
    <w:rsid w:val="003D3F73"/>
    <w:rsid w:val="003D5589"/>
    <w:rsid w:val="003E5E22"/>
    <w:rsid w:val="00443EFA"/>
    <w:rsid w:val="00444E72"/>
    <w:rsid w:val="00461DF7"/>
    <w:rsid w:val="00483888"/>
    <w:rsid w:val="004D4C2C"/>
    <w:rsid w:val="004E11B1"/>
    <w:rsid w:val="0052770E"/>
    <w:rsid w:val="00545C9B"/>
    <w:rsid w:val="0055205A"/>
    <w:rsid w:val="00561390"/>
    <w:rsid w:val="00592BD1"/>
    <w:rsid w:val="005C6922"/>
    <w:rsid w:val="005E7481"/>
    <w:rsid w:val="00613EDD"/>
    <w:rsid w:val="00615C42"/>
    <w:rsid w:val="00623AA5"/>
    <w:rsid w:val="00637942"/>
    <w:rsid w:val="00686149"/>
    <w:rsid w:val="006B44A7"/>
    <w:rsid w:val="006D159E"/>
    <w:rsid w:val="006E46D8"/>
    <w:rsid w:val="006E4950"/>
    <w:rsid w:val="006E76CA"/>
    <w:rsid w:val="006F2719"/>
    <w:rsid w:val="006F3D85"/>
    <w:rsid w:val="0074731B"/>
    <w:rsid w:val="00763846"/>
    <w:rsid w:val="007764A2"/>
    <w:rsid w:val="007B50F3"/>
    <w:rsid w:val="00806617"/>
    <w:rsid w:val="00811A4B"/>
    <w:rsid w:val="008371A0"/>
    <w:rsid w:val="00850F89"/>
    <w:rsid w:val="00857BB0"/>
    <w:rsid w:val="00873BA7"/>
    <w:rsid w:val="00894DC1"/>
    <w:rsid w:val="008C1448"/>
    <w:rsid w:val="008C6E46"/>
    <w:rsid w:val="008D7831"/>
    <w:rsid w:val="008E4BB5"/>
    <w:rsid w:val="009025FD"/>
    <w:rsid w:val="009054B4"/>
    <w:rsid w:val="00927E7D"/>
    <w:rsid w:val="009359BD"/>
    <w:rsid w:val="00954BED"/>
    <w:rsid w:val="009654A4"/>
    <w:rsid w:val="00993A55"/>
    <w:rsid w:val="009978DE"/>
    <w:rsid w:val="00A639F5"/>
    <w:rsid w:val="00A67701"/>
    <w:rsid w:val="00A721BC"/>
    <w:rsid w:val="00A82F87"/>
    <w:rsid w:val="00A85EF3"/>
    <w:rsid w:val="00AA33A1"/>
    <w:rsid w:val="00AB07D9"/>
    <w:rsid w:val="00AF375E"/>
    <w:rsid w:val="00B20A70"/>
    <w:rsid w:val="00B22752"/>
    <w:rsid w:val="00B54E84"/>
    <w:rsid w:val="00B65BEB"/>
    <w:rsid w:val="00B9397A"/>
    <w:rsid w:val="00BC3427"/>
    <w:rsid w:val="00BD5BBF"/>
    <w:rsid w:val="00BE466D"/>
    <w:rsid w:val="00BE5BDB"/>
    <w:rsid w:val="00C00EDA"/>
    <w:rsid w:val="00C10EEA"/>
    <w:rsid w:val="00C16883"/>
    <w:rsid w:val="00C61FBF"/>
    <w:rsid w:val="00C659B0"/>
    <w:rsid w:val="00CC0A11"/>
    <w:rsid w:val="00CC6086"/>
    <w:rsid w:val="00D00FC0"/>
    <w:rsid w:val="00D03305"/>
    <w:rsid w:val="00D77B24"/>
    <w:rsid w:val="00DA60A7"/>
    <w:rsid w:val="00DC5964"/>
    <w:rsid w:val="00DC6222"/>
    <w:rsid w:val="00DF36DD"/>
    <w:rsid w:val="00E17D8B"/>
    <w:rsid w:val="00E2572D"/>
    <w:rsid w:val="00E322EA"/>
    <w:rsid w:val="00E561C8"/>
    <w:rsid w:val="00E563FB"/>
    <w:rsid w:val="00E67572"/>
    <w:rsid w:val="00E67C64"/>
    <w:rsid w:val="00E86B99"/>
    <w:rsid w:val="00E979C4"/>
    <w:rsid w:val="00EF4C75"/>
    <w:rsid w:val="00EF51F0"/>
    <w:rsid w:val="00F230B0"/>
    <w:rsid w:val="00F35A5F"/>
    <w:rsid w:val="00F42119"/>
    <w:rsid w:val="00F819C0"/>
    <w:rsid w:val="00F86164"/>
    <w:rsid w:val="00FA2FF7"/>
    <w:rsid w:val="00FB0DA7"/>
    <w:rsid w:val="4C3B12F1"/>
    <w:rsid w:val="57F51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262</Words>
  <Characters>1495</Characters>
  <Lines>12</Lines>
  <Paragraphs>3</Paragraphs>
  <TotalTime>13</TotalTime>
  <ScaleCrop>false</ScaleCrop>
  <LinksUpToDate>false</LinksUpToDate>
  <CharactersWithSpaces>1754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2020-05-24T23:54:00Z</dcterms:created>
  <dc:creator>zfj19910321@gmail.com</dc:creator>
  <cp:lastModifiedBy>Administrator</cp:lastModifiedBy>
  <dcterms:modified xsi:type="dcterms:W3CDTF">2020-05-26T01:08:36Z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