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微软雅黑" w:hAnsi="微软雅黑" w:eastAsia="微软雅黑" w:cs="宋体"/>
          <w:kern w:val="0"/>
          <w:sz w:val="44"/>
          <w:szCs w:val="44"/>
        </w:rPr>
      </w:pPr>
      <w:bookmarkStart w:id="1" w:name="_GoBack"/>
      <w:bookmarkEnd w:id="1"/>
      <w:r>
        <w:rPr>
          <w:rFonts w:hint="eastAsia" w:ascii="微软雅黑" w:hAnsi="微软雅黑" w:eastAsia="微软雅黑" w:cs="宋体"/>
          <w:kern w:val="0"/>
          <w:sz w:val="44"/>
          <w:szCs w:val="44"/>
        </w:rPr>
        <w:t>广东</w:t>
      </w:r>
      <w:r>
        <w:rPr>
          <w:rFonts w:ascii="微软雅黑" w:hAnsi="微软雅黑" w:eastAsia="微软雅黑" w:cs="宋体"/>
          <w:kern w:val="0"/>
          <w:sz w:val="44"/>
          <w:szCs w:val="44"/>
        </w:rPr>
        <w:t>省人民医院</w:t>
      </w:r>
      <w:r>
        <w:rPr>
          <w:rFonts w:hint="eastAsia" w:ascii="微软雅黑" w:hAnsi="微软雅黑" w:eastAsia="微软雅黑" w:cs="宋体"/>
          <w:kern w:val="0"/>
          <w:sz w:val="44"/>
          <w:szCs w:val="44"/>
        </w:rPr>
        <w:t>信息</w:t>
      </w:r>
      <w:r>
        <w:rPr>
          <w:rFonts w:ascii="微软雅黑" w:hAnsi="微软雅黑" w:eastAsia="微软雅黑" w:cs="宋体"/>
          <w:kern w:val="0"/>
          <w:sz w:val="44"/>
          <w:szCs w:val="44"/>
        </w:rPr>
        <w:t>安全服务</w:t>
      </w:r>
      <w:r>
        <w:rPr>
          <w:rFonts w:hint="eastAsia" w:ascii="微软雅黑" w:hAnsi="微软雅黑" w:eastAsia="微软雅黑" w:cs="宋体"/>
          <w:kern w:val="0"/>
          <w:sz w:val="44"/>
          <w:szCs w:val="44"/>
        </w:rPr>
        <w:t>采购</w:t>
      </w:r>
      <w:r>
        <w:rPr>
          <w:rFonts w:ascii="微软雅黑" w:hAnsi="微软雅黑" w:eastAsia="微软雅黑" w:cs="宋体"/>
          <w:kern w:val="0"/>
          <w:sz w:val="44"/>
          <w:szCs w:val="44"/>
        </w:rPr>
        <w:t>项目需求</w:t>
      </w:r>
    </w:p>
    <w:p>
      <w:pPr>
        <w:spacing w:line="360" w:lineRule="auto"/>
        <w:ind w:firstLine="480"/>
        <w:rPr>
          <w:rFonts w:ascii="微软雅黑" w:hAnsi="微软雅黑" w:eastAsia="微软雅黑"/>
          <w:sz w:val="24"/>
        </w:rPr>
      </w:pPr>
      <w:r>
        <w:rPr>
          <w:rFonts w:ascii="微软雅黑" w:hAnsi="微软雅黑" w:eastAsia="微软雅黑"/>
          <w:sz w:val="24"/>
        </w:rPr>
        <w:t>为进一步提升</w:t>
      </w:r>
      <w:r>
        <w:rPr>
          <w:rFonts w:hint="eastAsia" w:ascii="微软雅黑" w:hAnsi="微软雅黑" w:eastAsia="微软雅黑"/>
          <w:sz w:val="24"/>
        </w:rPr>
        <w:t>我</w:t>
      </w:r>
      <w:r>
        <w:rPr>
          <w:rFonts w:hint="eastAsia" w:ascii="微软雅黑" w:hAnsi="微软雅黑" w:eastAsia="微软雅黑"/>
          <w:sz w:val="24"/>
          <w:highlight w:val="none"/>
        </w:rPr>
        <w:t>院网络</w:t>
      </w:r>
      <w:r>
        <w:rPr>
          <w:rFonts w:hint="eastAsia" w:ascii="微软雅黑" w:hAnsi="微软雅黑" w:eastAsia="微软雅黑"/>
          <w:sz w:val="24"/>
        </w:rPr>
        <w:t>信息</w:t>
      </w:r>
      <w:r>
        <w:rPr>
          <w:rFonts w:ascii="微软雅黑" w:hAnsi="微软雅黑" w:eastAsia="微软雅黑"/>
          <w:sz w:val="24"/>
        </w:rPr>
        <w:t>的安全防护水平，进一步贯彻落实</w:t>
      </w:r>
      <w:r>
        <w:rPr>
          <w:rFonts w:hint="eastAsia" w:ascii="微软雅黑" w:hAnsi="微软雅黑" w:eastAsia="微软雅黑"/>
          <w:sz w:val="24"/>
        </w:rPr>
        <w:t>《网络安全法》、</w:t>
      </w:r>
      <w:r>
        <w:rPr>
          <w:rFonts w:ascii="微软雅黑" w:hAnsi="微软雅黑" w:eastAsia="微软雅黑"/>
          <w:sz w:val="24"/>
        </w:rPr>
        <w:t>《信息安全等级保护管理办法》、</w:t>
      </w:r>
      <w:r>
        <w:rPr>
          <w:rFonts w:hint="eastAsia" w:ascii="微软雅黑" w:hAnsi="微软雅黑" w:eastAsia="微软雅黑"/>
          <w:sz w:val="24"/>
        </w:rPr>
        <w:t>《广东省信息安全等级保护测评工作指导意见》</w:t>
      </w:r>
      <w:r>
        <w:rPr>
          <w:rFonts w:ascii="微软雅黑" w:hAnsi="微软雅黑" w:eastAsia="微软雅黑"/>
          <w:sz w:val="24"/>
        </w:rPr>
        <w:t>等国家、行业主管部门关于</w:t>
      </w:r>
      <w:r>
        <w:rPr>
          <w:rFonts w:hint="eastAsia" w:ascii="微软雅黑" w:hAnsi="微软雅黑" w:eastAsia="微软雅黑"/>
          <w:sz w:val="24"/>
        </w:rPr>
        <w:t>网络</w:t>
      </w:r>
      <w:r>
        <w:rPr>
          <w:rFonts w:ascii="微软雅黑" w:hAnsi="微软雅黑" w:eastAsia="微软雅黑"/>
          <w:sz w:val="24"/>
        </w:rPr>
        <w:t>安全等级保护工作的有关要求，确保医疗</w:t>
      </w:r>
      <w:r>
        <w:rPr>
          <w:rFonts w:hint="eastAsia" w:ascii="微软雅黑" w:hAnsi="微软雅黑" w:eastAsia="微软雅黑"/>
          <w:sz w:val="24"/>
        </w:rPr>
        <w:t>业务</w:t>
      </w:r>
      <w:r>
        <w:rPr>
          <w:rFonts w:ascii="微软雅黑" w:hAnsi="微软雅黑" w:eastAsia="微软雅黑"/>
          <w:sz w:val="24"/>
        </w:rPr>
        <w:t>系统安全稳定运行，</w:t>
      </w:r>
      <w:r>
        <w:rPr>
          <w:rFonts w:hint="eastAsia" w:ascii="微软雅黑" w:hAnsi="微软雅黑" w:eastAsia="微软雅黑"/>
          <w:sz w:val="24"/>
        </w:rPr>
        <w:t>我院拟采购网络信息安全服务，为我院提供全方位的网络安全支撑，协助完善我院整体网络安全体系，并围绕构建网络安全框架和建立专业沟通渠道，提升我院的整体网络安全水平。</w:t>
      </w:r>
    </w:p>
    <w:p>
      <w:pPr>
        <w:spacing w:line="360" w:lineRule="auto"/>
        <w:ind w:firstLine="480"/>
        <w:rPr>
          <w:rFonts w:ascii="微软雅黑" w:hAnsi="微软雅黑" w:eastAsia="微软雅黑"/>
          <w:sz w:val="24"/>
        </w:rPr>
      </w:pPr>
      <w:r>
        <w:rPr>
          <w:rFonts w:ascii="微软雅黑" w:hAnsi="微软雅黑" w:eastAsia="微软雅黑" w:cs="宋体"/>
          <w:kern w:val="0"/>
          <w:sz w:val="24"/>
        </w:rPr>
        <w:t>网络信息安全服务</w:t>
      </w:r>
      <w:r>
        <w:rPr>
          <w:rFonts w:hint="eastAsia" w:ascii="微软雅黑" w:hAnsi="微软雅黑" w:eastAsia="微软雅黑" w:cs="宋体"/>
          <w:kern w:val="0"/>
          <w:sz w:val="24"/>
        </w:rPr>
        <w:t>需求</w:t>
      </w:r>
    </w:p>
    <w:tbl>
      <w:tblPr>
        <w:tblStyle w:val="6"/>
        <w:tblW w:w="8566" w:type="dxa"/>
        <w:tblInd w:w="98" w:type="dxa"/>
        <w:tblLayout w:type="autofit"/>
        <w:tblCellMar>
          <w:top w:w="0" w:type="dxa"/>
          <w:left w:w="108" w:type="dxa"/>
          <w:bottom w:w="0" w:type="dxa"/>
          <w:right w:w="108" w:type="dxa"/>
        </w:tblCellMar>
      </w:tblPr>
      <w:tblGrid>
        <w:gridCol w:w="498"/>
        <w:gridCol w:w="1347"/>
        <w:gridCol w:w="5587"/>
        <w:gridCol w:w="617"/>
        <w:gridCol w:w="567"/>
      </w:tblGrid>
      <w:tr>
        <w:tblPrEx>
          <w:tblCellMar>
            <w:top w:w="0" w:type="dxa"/>
            <w:left w:w="108" w:type="dxa"/>
            <w:bottom w:w="0" w:type="dxa"/>
            <w:right w:w="108" w:type="dxa"/>
          </w:tblCellMar>
        </w:tblPrEx>
        <w:trPr>
          <w:wBefore w:w="0" w:type="dxa"/>
          <w:wAfter w:w="0" w:type="dxa"/>
          <w:trHeight w:val="458" w:hRule="atLeast"/>
        </w:trPr>
        <w:tc>
          <w:tcPr>
            <w:tcW w:w="436" w:type="dxa"/>
            <w:tcBorders>
              <w:top w:val="single" w:color="auto" w:sz="8" w:space="0"/>
              <w:left w:val="single" w:color="auto" w:sz="8"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序号</w:t>
            </w:r>
          </w:p>
        </w:tc>
        <w:tc>
          <w:tcPr>
            <w:tcW w:w="1349" w:type="dxa"/>
            <w:tcBorders>
              <w:top w:val="single" w:color="auto" w:sz="8" w:space="0"/>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服务名称</w:t>
            </w:r>
          </w:p>
        </w:tc>
        <w:tc>
          <w:tcPr>
            <w:tcW w:w="5596" w:type="dxa"/>
            <w:tcBorders>
              <w:top w:val="single" w:color="auto" w:sz="8" w:space="0"/>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服务内容</w:t>
            </w:r>
          </w:p>
        </w:tc>
        <w:tc>
          <w:tcPr>
            <w:tcW w:w="618" w:type="dxa"/>
            <w:tcBorders>
              <w:top w:val="single" w:color="auto" w:sz="8" w:space="0"/>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数量</w:t>
            </w:r>
          </w:p>
        </w:tc>
        <w:tc>
          <w:tcPr>
            <w:tcW w:w="567" w:type="dxa"/>
            <w:tcBorders>
              <w:top w:val="single" w:color="auto" w:sz="8" w:space="0"/>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单位</w:t>
            </w:r>
          </w:p>
        </w:tc>
      </w:tr>
      <w:tr>
        <w:tblPrEx>
          <w:tblCellMar>
            <w:top w:w="0" w:type="dxa"/>
            <w:left w:w="108" w:type="dxa"/>
            <w:bottom w:w="0" w:type="dxa"/>
            <w:right w:w="108" w:type="dxa"/>
          </w:tblCellMar>
        </w:tblPrEx>
        <w:trPr>
          <w:wBefore w:w="0" w:type="dxa"/>
          <w:wAfter w:w="0" w:type="dxa"/>
          <w:trHeight w:val="368"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1</w:t>
            </w:r>
          </w:p>
        </w:tc>
        <w:tc>
          <w:tcPr>
            <w:tcW w:w="1349" w:type="dxa"/>
            <w:tcBorders>
              <w:top w:val="nil"/>
              <w:left w:val="nil"/>
              <w:bottom w:val="single" w:color="auto" w:sz="4" w:space="0"/>
              <w:right w:val="single" w:color="auto" w:sz="4" w:space="0"/>
            </w:tcBorders>
            <w:shd w:val="clear" w:color="000000" w:fill="FFFFFF"/>
            <w:noWrap/>
            <w:vAlign w:val="center"/>
          </w:tcPr>
          <w:p>
            <w:pPr>
              <w:spacing w:line="360" w:lineRule="auto"/>
              <w:rPr>
                <w:rFonts w:ascii="微软雅黑" w:hAnsi="微软雅黑" w:eastAsia="微软雅黑" w:cs="宋体"/>
                <w:kern w:val="0"/>
                <w:sz w:val="24"/>
              </w:rPr>
            </w:pPr>
            <w:r>
              <w:rPr>
                <w:rFonts w:hint="eastAsia" w:ascii="微软雅黑" w:hAnsi="微软雅黑" w:eastAsia="微软雅黑"/>
                <w:color w:val="000000"/>
                <w:sz w:val="24"/>
              </w:rPr>
              <w:t>等级</w:t>
            </w:r>
            <w:r>
              <w:rPr>
                <w:rFonts w:ascii="微软雅黑" w:hAnsi="微软雅黑" w:eastAsia="微软雅黑"/>
                <w:color w:val="000000"/>
                <w:sz w:val="24"/>
              </w:rPr>
              <w:t>保护测评服务</w:t>
            </w:r>
          </w:p>
        </w:tc>
        <w:tc>
          <w:tcPr>
            <w:tcW w:w="5596" w:type="dxa"/>
            <w:tcBorders>
              <w:top w:val="nil"/>
              <w:left w:val="nil"/>
              <w:bottom w:val="single" w:color="auto" w:sz="4" w:space="0"/>
              <w:right w:val="single" w:color="auto" w:sz="4" w:space="0"/>
            </w:tcBorders>
            <w:shd w:val="clear" w:color="000000" w:fill="FFFFFF"/>
            <w:noWrap/>
            <w:vAlign w:val="center"/>
          </w:tcPr>
          <w:p>
            <w:pPr>
              <w:spacing w:line="360" w:lineRule="auto"/>
              <w:jc w:val="left"/>
              <w:rPr>
                <w:rFonts w:ascii="微软雅黑" w:hAnsi="微软雅黑" w:eastAsia="微软雅黑" w:cs="宋体"/>
                <w:kern w:val="0"/>
                <w:sz w:val="24"/>
              </w:rPr>
            </w:pPr>
            <w:r>
              <w:rPr>
                <w:rFonts w:hint="eastAsia" w:ascii="微软雅黑" w:hAnsi="微软雅黑" w:eastAsia="微软雅黑" w:cs="宋体"/>
                <w:kern w:val="0"/>
                <w:sz w:val="24"/>
              </w:rPr>
              <w:t>依据国家信息系统安全等级保护测评最新标准要求进行等级保护测评。</w:t>
            </w:r>
          </w:p>
        </w:tc>
        <w:tc>
          <w:tcPr>
            <w:tcW w:w="618"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cs="宋体"/>
                <w:kern w:val="0"/>
                <w:sz w:val="24"/>
              </w:rPr>
            </w:pPr>
            <w:r>
              <w:rPr>
                <w:rFonts w:hint="eastAsia" w:ascii="微软雅黑" w:hAnsi="微软雅黑" w:eastAsia="微软雅黑" w:cs="宋体"/>
                <w:kern w:val="0"/>
                <w:sz w:val="24"/>
              </w:rPr>
              <w:t>1</w:t>
            </w:r>
          </w:p>
        </w:tc>
        <w:tc>
          <w:tcPr>
            <w:tcW w:w="567"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cs="宋体"/>
                <w:kern w:val="0"/>
                <w:sz w:val="24"/>
              </w:rPr>
            </w:pPr>
            <w:r>
              <w:rPr>
                <w:rFonts w:hint="eastAsia" w:ascii="微软雅黑" w:hAnsi="微软雅黑" w:eastAsia="微软雅黑" w:cs="宋体"/>
                <w:kern w:val="0"/>
                <w:sz w:val="24"/>
              </w:rPr>
              <w:t>项</w:t>
            </w:r>
          </w:p>
        </w:tc>
      </w:tr>
      <w:tr>
        <w:tblPrEx>
          <w:tblCellMar>
            <w:top w:w="0" w:type="dxa"/>
            <w:left w:w="108" w:type="dxa"/>
            <w:bottom w:w="0" w:type="dxa"/>
            <w:right w:w="108" w:type="dxa"/>
          </w:tblCellMar>
        </w:tblPrEx>
        <w:trPr>
          <w:wBefore w:w="0" w:type="dxa"/>
          <w:wAfter w:w="0" w:type="dxa"/>
          <w:trHeight w:val="368"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2</w:t>
            </w:r>
          </w:p>
        </w:tc>
        <w:tc>
          <w:tcPr>
            <w:tcW w:w="1349" w:type="dxa"/>
            <w:tcBorders>
              <w:top w:val="nil"/>
              <w:left w:val="nil"/>
              <w:bottom w:val="single" w:color="auto" w:sz="4" w:space="0"/>
              <w:right w:val="single" w:color="auto" w:sz="4" w:space="0"/>
            </w:tcBorders>
            <w:shd w:val="clear" w:color="000000" w:fill="FFFFFF"/>
            <w:noWrap/>
            <w:vAlign w:val="center"/>
          </w:tcPr>
          <w:p>
            <w:pPr>
              <w:spacing w:line="360" w:lineRule="auto"/>
              <w:rPr>
                <w:rFonts w:hint="eastAsia" w:ascii="微软雅黑" w:hAnsi="微软雅黑" w:eastAsia="微软雅黑"/>
                <w:color w:val="000000"/>
                <w:sz w:val="24"/>
              </w:rPr>
            </w:pPr>
            <w:r>
              <w:rPr>
                <w:rFonts w:hint="eastAsia" w:ascii="微软雅黑" w:hAnsi="微软雅黑" w:eastAsia="微软雅黑"/>
                <w:color w:val="000000"/>
                <w:sz w:val="24"/>
              </w:rPr>
              <w:t>等</w:t>
            </w:r>
            <w:r>
              <w:rPr>
                <w:rFonts w:ascii="微软雅黑" w:hAnsi="微软雅黑" w:eastAsia="微软雅黑"/>
                <w:color w:val="000000"/>
                <w:sz w:val="24"/>
              </w:rPr>
              <w:t>级保护</w:t>
            </w:r>
            <w:r>
              <w:rPr>
                <w:rFonts w:hint="eastAsia" w:ascii="微软雅黑" w:hAnsi="微软雅黑" w:eastAsia="微软雅黑"/>
                <w:color w:val="000000"/>
                <w:sz w:val="24"/>
              </w:rPr>
              <w:t>分</w:t>
            </w:r>
            <w:r>
              <w:rPr>
                <w:rFonts w:ascii="微软雅黑" w:hAnsi="微软雅黑" w:eastAsia="微软雅黑"/>
                <w:color w:val="000000"/>
                <w:sz w:val="24"/>
              </w:rPr>
              <w:t>级</w:t>
            </w:r>
            <w:r>
              <w:rPr>
                <w:rFonts w:hint="eastAsia" w:ascii="微软雅黑" w:hAnsi="微软雅黑" w:eastAsia="微软雅黑"/>
                <w:color w:val="000000"/>
                <w:sz w:val="24"/>
              </w:rPr>
              <w:t>咨询服务</w:t>
            </w:r>
          </w:p>
        </w:tc>
        <w:tc>
          <w:tcPr>
            <w:tcW w:w="5596" w:type="dxa"/>
            <w:tcBorders>
              <w:top w:val="nil"/>
              <w:left w:val="nil"/>
              <w:bottom w:val="single" w:color="auto" w:sz="4" w:space="0"/>
              <w:right w:val="single" w:color="auto" w:sz="4" w:space="0"/>
            </w:tcBorders>
            <w:shd w:val="clear" w:color="000000" w:fill="FFFFFF"/>
            <w:noWrap/>
            <w:vAlign w:val="center"/>
          </w:tcPr>
          <w:p>
            <w:pPr>
              <w:spacing w:line="360" w:lineRule="auto"/>
              <w:jc w:val="left"/>
              <w:rPr>
                <w:rFonts w:hint="eastAsia" w:ascii="微软雅黑" w:hAnsi="微软雅黑" w:eastAsia="微软雅黑" w:cs="宋体"/>
                <w:kern w:val="0"/>
                <w:sz w:val="24"/>
              </w:rPr>
            </w:pPr>
            <w:r>
              <w:rPr>
                <w:rFonts w:hint="eastAsia" w:ascii="微软雅黑" w:hAnsi="微软雅黑" w:eastAsia="微软雅黑" w:cs="宋体"/>
                <w:kern w:val="0"/>
                <w:sz w:val="24"/>
              </w:rPr>
              <w:t>依据国家信息系统安全等级保护测评最新标准要求，</w:t>
            </w:r>
            <w:r>
              <w:rPr>
                <w:rFonts w:ascii="微软雅黑" w:hAnsi="微软雅黑" w:eastAsia="微软雅黑" w:cs="宋体"/>
                <w:kern w:val="0"/>
                <w:sz w:val="24"/>
              </w:rPr>
              <w:t>对</w:t>
            </w:r>
            <w:r>
              <w:rPr>
                <w:rFonts w:hint="eastAsia" w:ascii="微软雅黑" w:hAnsi="微软雅黑" w:eastAsia="微软雅黑" w:cs="宋体"/>
                <w:kern w:val="0"/>
                <w:sz w:val="24"/>
              </w:rPr>
              <w:t>省</w:t>
            </w:r>
            <w:r>
              <w:rPr>
                <w:rFonts w:ascii="微软雅黑" w:hAnsi="微软雅黑" w:eastAsia="微软雅黑" w:cs="宋体"/>
                <w:kern w:val="0"/>
                <w:sz w:val="24"/>
                <w:highlight w:val="none"/>
              </w:rPr>
              <w:t>医在</w:t>
            </w:r>
            <w:r>
              <w:rPr>
                <w:rFonts w:ascii="微软雅黑" w:hAnsi="微软雅黑" w:eastAsia="微软雅黑" w:cs="宋体"/>
                <w:kern w:val="0"/>
                <w:sz w:val="24"/>
              </w:rPr>
              <w:t>用未定级的</w:t>
            </w:r>
            <w:r>
              <w:rPr>
                <w:rFonts w:hint="eastAsia" w:ascii="微软雅黑" w:hAnsi="微软雅黑" w:eastAsia="微软雅黑" w:cs="宋体"/>
                <w:kern w:val="0"/>
                <w:sz w:val="24"/>
              </w:rPr>
              <w:t>信息</w:t>
            </w:r>
            <w:r>
              <w:rPr>
                <w:rFonts w:ascii="微软雅黑" w:hAnsi="微软雅黑" w:eastAsia="微软雅黑" w:cs="宋体"/>
                <w:kern w:val="0"/>
                <w:sz w:val="24"/>
              </w:rPr>
              <w:t>系统进行</w:t>
            </w:r>
            <w:r>
              <w:rPr>
                <w:rFonts w:hint="eastAsia" w:ascii="微软雅黑" w:hAnsi="微软雅黑" w:eastAsia="微软雅黑" w:cs="宋体"/>
                <w:kern w:val="0"/>
                <w:sz w:val="24"/>
              </w:rPr>
              <w:t>等级保护分</w:t>
            </w:r>
            <w:r>
              <w:rPr>
                <w:rFonts w:ascii="微软雅黑" w:hAnsi="微软雅黑" w:eastAsia="微软雅黑" w:cs="宋体"/>
                <w:kern w:val="0"/>
                <w:sz w:val="24"/>
              </w:rPr>
              <w:t>级</w:t>
            </w:r>
            <w:r>
              <w:rPr>
                <w:rFonts w:hint="eastAsia" w:ascii="微软雅黑" w:hAnsi="微软雅黑" w:eastAsia="微软雅黑" w:cs="宋体"/>
                <w:kern w:val="0"/>
                <w:sz w:val="24"/>
              </w:rPr>
              <w:t>评估</w:t>
            </w:r>
            <w:r>
              <w:rPr>
                <w:rFonts w:ascii="微软雅黑" w:hAnsi="微软雅黑" w:eastAsia="微软雅黑" w:cs="宋体"/>
                <w:kern w:val="0"/>
                <w:sz w:val="24"/>
              </w:rPr>
              <w:t>，给出定级建</w:t>
            </w:r>
            <w:r>
              <w:rPr>
                <w:rFonts w:hint="eastAsia" w:ascii="微软雅黑" w:hAnsi="微软雅黑" w:eastAsia="微软雅黑" w:cs="宋体"/>
                <w:kern w:val="0"/>
                <w:sz w:val="24"/>
              </w:rPr>
              <w:t>议。对新</w:t>
            </w:r>
            <w:r>
              <w:rPr>
                <w:rFonts w:ascii="微软雅黑" w:hAnsi="微软雅黑" w:eastAsia="微软雅黑" w:cs="宋体"/>
                <w:kern w:val="0"/>
                <w:sz w:val="24"/>
              </w:rPr>
              <w:t>建信息系统</w:t>
            </w:r>
            <w:r>
              <w:rPr>
                <w:rFonts w:hint="eastAsia" w:ascii="微软雅黑" w:hAnsi="微软雅黑" w:eastAsia="微软雅黑" w:cs="宋体"/>
                <w:kern w:val="0"/>
                <w:sz w:val="24"/>
              </w:rPr>
              <w:t>立</w:t>
            </w:r>
            <w:r>
              <w:rPr>
                <w:rFonts w:ascii="微软雅黑" w:hAnsi="微软雅黑" w:eastAsia="微软雅黑" w:cs="宋体"/>
                <w:kern w:val="0"/>
                <w:sz w:val="24"/>
              </w:rPr>
              <w:t>项</w:t>
            </w:r>
            <w:r>
              <w:rPr>
                <w:rFonts w:hint="eastAsia" w:ascii="微软雅黑" w:hAnsi="微软雅黑" w:eastAsia="微软雅黑" w:cs="宋体"/>
                <w:kern w:val="0"/>
                <w:sz w:val="24"/>
              </w:rPr>
              <w:t>进行等</w:t>
            </w:r>
            <w:r>
              <w:rPr>
                <w:rFonts w:ascii="微软雅黑" w:hAnsi="微软雅黑" w:eastAsia="微软雅黑" w:cs="宋体"/>
                <w:kern w:val="0"/>
                <w:sz w:val="24"/>
              </w:rPr>
              <w:t>级保护</w:t>
            </w:r>
            <w:r>
              <w:rPr>
                <w:rFonts w:hint="eastAsia" w:ascii="微软雅黑" w:hAnsi="微软雅黑" w:eastAsia="微软雅黑" w:cs="宋体"/>
                <w:kern w:val="0"/>
                <w:sz w:val="24"/>
              </w:rPr>
              <w:t>分</w:t>
            </w:r>
            <w:r>
              <w:rPr>
                <w:rFonts w:ascii="微软雅黑" w:hAnsi="微软雅黑" w:eastAsia="微软雅黑" w:cs="宋体"/>
                <w:kern w:val="0"/>
                <w:sz w:val="24"/>
              </w:rPr>
              <w:t>级评估</w:t>
            </w:r>
            <w:r>
              <w:rPr>
                <w:rFonts w:hint="eastAsia" w:ascii="微软雅黑" w:hAnsi="微软雅黑" w:eastAsia="微软雅黑" w:cs="宋体"/>
                <w:kern w:val="0"/>
                <w:sz w:val="24"/>
              </w:rPr>
              <w:t>，</w:t>
            </w:r>
            <w:r>
              <w:rPr>
                <w:rFonts w:ascii="微软雅黑" w:hAnsi="微软雅黑" w:eastAsia="微软雅黑" w:cs="宋体"/>
                <w:kern w:val="0"/>
                <w:sz w:val="24"/>
              </w:rPr>
              <w:t>给出定级建</w:t>
            </w:r>
            <w:r>
              <w:rPr>
                <w:rFonts w:hint="eastAsia" w:ascii="微软雅黑" w:hAnsi="微软雅黑" w:eastAsia="微软雅黑" w:cs="宋体"/>
                <w:kern w:val="0"/>
                <w:sz w:val="24"/>
              </w:rPr>
              <w:t>议。</w:t>
            </w:r>
          </w:p>
        </w:tc>
        <w:tc>
          <w:tcPr>
            <w:tcW w:w="618"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cs="宋体"/>
                <w:kern w:val="0"/>
                <w:sz w:val="24"/>
              </w:rPr>
            </w:pPr>
            <w:r>
              <w:rPr>
                <w:rFonts w:hint="eastAsia" w:ascii="微软雅黑" w:hAnsi="微软雅黑" w:eastAsia="微软雅黑" w:cs="宋体"/>
                <w:kern w:val="0"/>
                <w:sz w:val="24"/>
              </w:rPr>
              <w:t>1</w:t>
            </w:r>
          </w:p>
        </w:tc>
        <w:tc>
          <w:tcPr>
            <w:tcW w:w="567"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cs="宋体"/>
                <w:kern w:val="0"/>
                <w:sz w:val="24"/>
              </w:rPr>
            </w:pPr>
            <w:r>
              <w:rPr>
                <w:rFonts w:hint="eastAsia" w:ascii="微软雅黑" w:hAnsi="微软雅黑" w:eastAsia="微软雅黑" w:cs="宋体"/>
                <w:kern w:val="0"/>
                <w:sz w:val="24"/>
              </w:rPr>
              <w:t>项</w:t>
            </w:r>
          </w:p>
        </w:tc>
      </w:tr>
      <w:tr>
        <w:tblPrEx>
          <w:tblCellMar>
            <w:top w:w="0" w:type="dxa"/>
            <w:left w:w="108" w:type="dxa"/>
            <w:bottom w:w="0" w:type="dxa"/>
            <w:right w:w="108" w:type="dxa"/>
          </w:tblCellMar>
        </w:tblPrEx>
        <w:trPr>
          <w:wBefore w:w="0" w:type="dxa"/>
          <w:wAfter w:w="0" w:type="dxa"/>
          <w:trHeight w:val="368"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3</w:t>
            </w:r>
          </w:p>
        </w:tc>
        <w:tc>
          <w:tcPr>
            <w:tcW w:w="1349"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sz w:val="24"/>
              </w:rPr>
            </w:pPr>
            <w:r>
              <w:rPr>
                <w:rFonts w:hint="eastAsia" w:ascii="微软雅黑" w:hAnsi="微软雅黑" w:eastAsia="微软雅黑" w:cs="宋体"/>
                <w:sz w:val="24"/>
              </w:rPr>
              <w:t>安全</w:t>
            </w:r>
            <w:r>
              <w:rPr>
                <w:rFonts w:ascii="微软雅黑" w:hAnsi="微软雅黑" w:eastAsia="微软雅黑" w:cs="宋体"/>
                <w:sz w:val="24"/>
              </w:rPr>
              <w:t>风险评估服务</w:t>
            </w:r>
          </w:p>
        </w:tc>
        <w:tc>
          <w:tcPr>
            <w:tcW w:w="5596" w:type="dxa"/>
            <w:tcBorders>
              <w:top w:val="nil"/>
              <w:left w:val="nil"/>
              <w:bottom w:val="single" w:color="auto" w:sz="4" w:space="0"/>
              <w:right w:val="single" w:color="auto" w:sz="4" w:space="0"/>
            </w:tcBorders>
            <w:shd w:val="clear" w:color="000000" w:fill="FFFFFF"/>
            <w:noWrap w:val="0"/>
            <w:vAlign w:val="center"/>
          </w:tcPr>
          <w:p>
            <w:pPr>
              <w:spacing w:line="360" w:lineRule="auto"/>
              <w:jc w:val="left"/>
              <w:rPr>
                <w:rFonts w:ascii="微软雅黑" w:hAnsi="微软雅黑" w:eastAsia="微软雅黑" w:cs="宋体"/>
                <w:sz w:val="24"/>
              </w:rPr>
            </w:pPr>
            <w:r>
              <w:rPr>
                <w:rFonts w:hint="eastAsia" w:ascii="微软雅黑" w:hAnsi="微软雅黑" w:eastAsia="微软雅黑" w:cs="宋体"/>
                <w:sz w:val="24"/>
              </w:rPr>
              <w:t>提供安全评估服务，采用风险管理方法分析信息系统所面临的威胁及其存在的脆弱性，评估安全事件的危害程度，提出针对性的抵御威胁的防御对策和整改措施，将风险控制在可接受水平。</w:t>
            </w:r>
          </w:p>
        </w:tc>
        <w:tc>
          <w:tcPr>
            <w:tcW w:w="618"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sz w:val="24"/>
              </w:rPr>
            </w:pPr>
            <w:r>
              <w:rPr>
                <w:rFonts w:hint="eastAsia" w:ascii="微软雅黑" w:hAnsi="微软雅黑" w:eastAsia="微软雅黑" w:cs="宋体"/>
                <w:kern w:val="0"/>
                <w:sz w:val="24"/>
              </w:rPr>
              <w:t>1</w:t>
            </w:r>
          </w:p>
        </w:tc>
        <w:tc>
          <w:tcPr>
            <w:tcW w:w="567"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sz w:val="24"/>
              </w:rPr>
            </w:pPr>
            <w:r>
              <w:rPr>
                <w:rFonts w:hint="eastAsia" w:ascii="微软雅黑" w:hAnsi="微软雅黑" w:eastAsia="微软雅黑" w:cs="宋体"/>
                <w:kern w:val="0"/>
                <w:sz w:val="24"/>
              </w:rPr>
              <w:t>项</w:t>
            </w:r>
          </w:p>
        </w:tc>
      </w:tr>
      <w:tr>
        <w:tblPrEx>
          <w:tblCellMar>
            <w:top w:w="0" w:type="dxa"/>
            <w:left w:w="108" w:type="dxa"/>
            <w:bottom w:w="0" w:type="dxa"/>
            <w:right w:w="108" w:type="dxa"/>
          </w:tblCellMar>
        </w:tblPrEx>
        <w:trPr>
          <w:wBefore w:w="0" w:type="dxa"/>
          <w:wAfter w:w="0" w:type="dxa"/>
          <w:trHeight w:val="1408"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4</w:t>
            </w:r>
          </w:p>
        </w:tc>
        <w:tc>
          <w:tcPr>
            <w:tcW w:w="1349"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sz w:val="24"/>
              </w:rPr>
            </w:pPr>
            <w:r>
              <w:rPr>
                <w:rFonts w:ascii="微软雅黑" w:hAnsi="微软雅黑" w:eastAsia="微软雅黑" w:cs="宋体"/>
                <w:sz w:val="24"/>
              </w:rPr>
              <w:t>入网安全测评服务</w:t>
            </w:r>
          </w:p>
        </w:tc>
        <w:tc>
          <w:tcPr>
            <w:tcW w:w="5596" w:type="dxa"/>
            <w:tcBorders>
              <w:top w:val="nil"/>
              <w:left w:val="nil"/>
              <w:bottom w:val="single" w:color="auto" w:sz="4" w:space="0"/>
              <w:right w:val="single" w:color="auto" w:sz="4" w:space="0"/>
            </w:tcBorders>
            <w:shd w:val="clear" w:color="000000" w:fill="FFFFFF"/>
            <w:noWrap w:val="0"/>
            <w:vAlign w:val="center"/>
          </w:tcPr>
          <w:p>
            <w:pPr>
              <w:spacing w:line="360" w:lineRule="auto"/>
              <w:jc w:val="left"/>
              <w:rPr>
                <w:rFonts w:ascii="微软雅黑" w:hAnsi="微软雅黑" w:eastAsia="微软雅黑" w:cs="宋体"/>
                <w:sz w:val="24"/>
              </w:rPr>
            </w:pPr>
            <w:r>
              <w:rPr>
                <w:rFonts w:hint="eastAsia" w:ascii="微软雅黑" w:hAnsi="微软雅黑" w:eastAsia="微软雅黑" w:cs="宋体"/>
                <w:sz w:val="24"/>
              </w:rPr>
              <w:t>提供入网安全测评服务，指新建设或进行重大改造的信息系统，准备投入正式运行之前，对信息系统的安全状况是否满足实际生产环境安全规定的安全合规检查。</w:t>
            </w:r>
          </w:p>
        </w:tc>
        <w:tc>
          <w:tcPr>
            <w:tcW w:w="618"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sz w:val="24"/>
              </w:rPr>
            </w:pPr>
            <w:r>
              <w:rPr>
                <w:rFonts w:hint="eastAsia" w:ascii="微软雅黑" w:hAnsi="微软雅黑" w:eastAsia="微软雅黑" w:cs="宋体"/>
                <w:kern w:val="0"/>
                <w:sz w:val="24"/>
              </w:rPr>
              <w:t>1</w:t>
            </w:r>
          </w:p>
        </w:tc>
        <w:tc>
          <w:tcPr>
            <w:tcW w:w="567"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sz w:val="24"/>
              </w:rPr>
            </w:pPr>
            <w:r>
              <w:rPr>
                <w:rFonts w:hint="eastAsia" w:ascii="微软雅黑" w:hAnsi="微软雅黑" w:eastAsia="微软雅黑" w:cs="宋体"/>
                <w:kern w:val="0"/>
                <w:sz w:val="24"/>
              </w:rPr>
              <w:t>项</w:t>
            </w:r>
          </w:p>
        </w:tc>
      </w:tr>
      <w:tr>
        <w:tblPrEx>
          <w:tblCellMar>
            <w:top w:w="0" w:type="dxa"/>
            <w:left w:w="108" w:type="dxa"/>
            <w:bottom w:w="0" w:type="dxa"/>
            <w:right w:w="108" w:type="dxa"/>
          </w:tblCellMar>
        </w:tblPrEx>
        <w:trPr>
          <w:wBefore w:w="0" w:type="dxa"/>
          <w:wAfter w:w="0" w:type="dxa"/>
          <w:trHeight w:val="2220"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5</w:t>
            </w:r>
          </w:p>
        </w:tc>
        <w:tc>
          <w:tcPr>
            <w:tcW w:w="1349"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sz w:val="24"/>
              </w:rPr>
            </w:pPr>
            <w:r>
              <w:rPr>
                <w:rFonts w:hint="eastAsia" w:ascii="微软雅黑" w:hAnsi="微软雅黑" w:eastAsia="微软雅黑" w:cs="宋体"/>
                <w:sz w:val="24"/>
              </w:rPr>
              <w:t>安全</w:t>
            </w:r>
            <w:r>
              <w:rPr>
                <w:rFonts w:ascii="微软雅黑" w:hAnsi="微软雅黑" w:eastAsia="微软雅黑" w:cs="宋体"/>
                <w:sz w:val="24"/>
              </w:rPr>
              <w:t>渗透扫描服务</w:t>
            </w:r>
          </w:p>
        </w:tc>
        <w:tc>
          <w:tcPr>
            <w:tcW w:w="5596" w:type="dxa"/>
            <w:tcBorders>
              <w:top w:val="nil"/>
              <w:left w:val="nil"/>
              <w:bottom w:val="single" w:color="auto" w:sz="4" w:space="0"/>
              <w:right w:val="single" w:color="auto" w:sz="4" w:space="0"/>
            </w:tcBorders>
            <w:shd w:val="clear" w:color="000000" w:fill="FFFFFF"/>
            <w:noWrap w:val="0"/>
            <w:vAlign w:val="center"/>
          </w:tcPr>
          <w:p>
            <w:pPr>
              <w:spacing w:line="360" w:lineRule="auto"/>
              <w:ind w:firstLine="480" w:firstLineChars="200"/>
              <w:jc w:val="left"/>
              <w:rPr>
                <w:rFonts w:hint="eastAsia" w:ascii="微软雅黑" w:hAnsi="微软雅黑" w:eastAsia="微软雅黑" w:cs="宋体"/>
                <w:sz w:val="24"/>
              </w:rPr>
            </w:pPr>
            <w:r>
              <w:rPr>
                <w:rFonts w:hint="eastAsia" w:ascii="微软雅黑" w:hAnsi="微软雅黑" w:eastAsia="微软雅黑" w:cs="宋体"/>
                <w:sz w:val="24"/>
              </w:rPr>
              <w:t>提供安全渗透扫描服务，除等级保护测评、入网安全测评所包含的常规渗透测试和扫描外，定期安排人员进行更全面的安全深入的渗透扫描服务。</w:t>
            </w:r>
          </w:p>
        </w:tc>
        <w:tc>
          <w:tcPr>
            <w:tcW w:w="618"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sz w:val="24"/>
              </w:rPr>
            </w:pPr>
            <w:r>
              <w:rPr>
                <w:rFonts w:hint="eastAsia" w:ascii="微软雅黑" w:hAnsi="微软雅黑" w:eastAsia="微软雅黑" w:cs="宋体"/>
                <w:kern w:val="0"/>
                <w:sz w:val="24"/>
              </w:rPr>
              <w:t>1</w:t>
            </w:r>
          </w:p>
        </w:tc>
        <w:tc>
          <w:tcPr>
            <w:tcW w:w="567"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sz w:val="24"/>
              </w:rPr>
            </w:pPr>
            <w:r>
              <w:rPr>
                <w:rFonts w:hint="eastAsia" w:ascii="微软雅黑" w:hAnsi="微软雅黑" w:eastAsia="微软雅黑" w:cs="宋体"/>
                <w:kern w:val="0"/>
                <w:sz w:val="24"/>
              </w:rPr>
              <w:t>项</w:t>
            </w:r>
          </w:p>
        </w:tc>
      </w:tr>
      <w:tr>
        <w:tblPrEx>
          <w:tblCellMar>
            <w:top w:w="0" w:type="dxa"/>
            <w:left w:w="108" w:type="dxa"/>
            <w:bottom w:w="0" w:type="dxa"/>
            <w:right w:w="108" w:type="dxa"/>
          </w:tblCellMar>
        </w:tblPrEx>
        <w:trPr>
          <w:wBefore w:w="0" w:type="dxa"/>
          <w:wAfter w:w="0" w:type="dxa"/>
          <w:trHeight w:val="368"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6</w:t>
            </w:r>
          </w:p>
        </w:tc>
        <w:tc>
          <w:tcPr>
            <w:tcW w:w="1349"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sz w:val="24"/>
              </w:rPr>
            </w:pPr>
            <w:r>
              <w:rPr>
                <w:rFonts w:hint="eastAsia" w:ascii="微软雅黑" w:hAnsi="微软雅黑" w:eastAsia="微软雅黑" w:cs="宋体"/>
                <w:sz w:val="24"/>
              </w:rPr>
              <w:t>网站</w:t>
            </w:r>
            <w:r>
              <w:rPr>
                <w:rFonts w:ascii="微软雅黑" w:hAnsi="微软雅黑" w:eastAsia="微软雅黑" w:cs="宋体"/>
                <w:sz w:val="24"/>
              </w:rPr>
              <w:t>安全监测服务</w:t>
            </w:r>
          </w:p>
        </w:tc>
        <w:tc>
          <w:tcPr>
            <w:tcW w:w="5596" w:type="dxa"/>
            <w:tcBorders>
              <w:top w:val="nil"/>
              <w:left w:val="nil"/>
              <w:bottom w:val="single" w:color="auto" w:sz="4" w:space="0"/>
              <w:right w:val="single" w:color="auto" w:sz="4" w:space="0"/>
            </w:tcBorders>
            <w:shd w:val="clear" w:color="000000" w:fill="FFFFFF"/>
            <w:noWrap/>
            <w:vAlign w:val="center"/>
          </w:tcPr>
          <w:p>
            <w:pPr>
              <w:spacing w:line="360" w:lineRule="auto"/>
              <w:jc w:val="left"/>
              <w:rPr>
                <w:rFonts w:ascii="微软雅黑" w:hAnsi="微软雅黑" w:eastAsia="微软雅黑" w:cs="宋体"/>
                <w:sz w:val="24"/>
              </w:rPr>
            </w:pPr>
            <w:r>
              <w:rPr>
                <w:rFonts w:hint="eastAsia" w:ascii="微软雅黑" w:hAnsi="微软雅黑" w:eastAsia="微软雅黑" w:cs="宋体"/>
                <w:sz w:val="24"/>
              </w:rPr>
              <w:t>提供网站安全监测服务，实时对广东省人民医院互联网系统进行安全监控，重大会议及节日期间实施7x</w:t>
            </w:r>
            <w:r>
              <w:rPr>
                <w:rFonts w:ascii="微软雅黑" w:hAnsi="微软雅黑" w:eastAsia="微软雅黑" w:cs="宋体"/>
                <w:sz w:val="24"/>
              </w:rPr>
              <w:t>24</w:t>
            </w:r>
            <w:r>
              <w:rPr>
                <w:rFonts w:hint="eastAsia" w:ascii="微软雅黑" w:hAnsi="微软雅黑" w:eastAsia="微软雅黑" w:cs="宋体"/>
                <w:sz w:val="24"/>
              </w:rPr>
              <w:t>小时重点监控，每季度进行网站安全巡检，并提供网站安全监测报告。</w:t>
            </w:r>
          </w:p>
        </w:tc>
        <w:tc>
          <w:tcPr>
            <w:tcW w:w="618"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sz w:val="24"/>
              </w:rPr>
            </w:pPr>
            <w:r>
              <w:rPr>
                <w:rFonts w:hint="eastAsia" w:ascii="微软雅黑" w:hAnsi="微软雅黑" w:eastAsia="微软雅黑" w:cs="宋体"/>
                <w:kern w:val="0"/>
                <w:sz w:val="24"/>
              </w:rPr>
              <w:t>1</w:t>
            </w:r>
          </w:p>
        </w:tc>
        <w:tc>
          <w:tcPr>
            <w:tcW w:w="567"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sz w:val="24"/>
              </w:rPr>
            </w:pPr>
            <w:r>
              <w:rPr>
                <w:rFonts w:hint="eastAsia" w:ascii="微软雅黑" w:hAnsi="微软雅黑" w:eastAsia="微软雅黑" w:cs="宋体"/>
                <w:kern w:val="0"/>
                <w:sz w:val="24"/>
              </w:rPr>
              <w:t>项</w:t>
            </w:r>
          </w:p>
        </w:tc>
      </w:tr>
      <w:tr>
        <w:tblPrEx>
          <w:tblCellMar>
            <w:top w:w="0" w:type="dxa"/>
            <w:left w:w="108" w:type="dxa"/>
            <w:bottom w:w="0" w:type="dxa"/>
            <w:right w:w="108" w:type="dxa"/>
          </w:tblCellMar>
        </w:tblPrEx>
        <w:trPr>
          <w:wBefore w:w="0" w:type="dxa"/>
          <w:wAfter w:w="0" w:type="dxa"/>
          <w:trHeight w:val="368"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7</w:t>
            </w:r>
          </w:p>
        </w:tc>
        <w:tc>
          <w:tcPr>
            <w:tcW w:w="1349"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sz w:val="24"/>
              </w:rPr>
            </w:pPr>
            <w:r>
              <w:rPr>
                <w:rFonts w:hint="eastAsia" w:ascii="微软雅黑" w:hAnsi="微软雅黑" w:eastAsia="微软雅黑" w:cs="宋体"/>
                <w:sz w:val="24"/>
              </w:rPr>
              <w:t>安全人员驻场</w:t>
            </w:r>
            <w:r>
              <w:rPr>
                <w:rFonts w:ascii="微软雅黑" w:hAnsi="微软雅黑" w:eastAsia="微软雅黑" w:cs="宋体"/>
                <w:sz w:val="24"/>
              </w:rPr>
              <w:t>服务</w:t>
            </w:r>
          </w:p>
        </w:tc>
        <w:tc>
          <w:tcPr>
            <w:tcW w:w="5596" w:type="dxa"/>
            <w:tcBorders>
              <w:top w:val="nil"/>
              <w:left w:val="nil"/>
              <w:bottom w:val="single" w:color="auto" w:sz="4" w:space="0"/>
              <w:right w:val="single" w:color="auto" w:sz="4" w:space="0"/>
            </w:tcBorders>
            <w:shd w:val="clear" w:color="000000" w:fill="FFFFFF"/>
            <w:noWrap/>
            <w:vAlign w:val="center"/>
          </w:tcPr>
          <w:p>
            <w:pPr>
              <w:spacing w:line="360" w:lineRule="auto"/>
              <w:jc w:val="left"/>
              <w:rPr>
                <w:rFonts w:ascii="微软雅黑" w:hAnsi="微软雅黑" w:eastAsia="微软雅黑" w:cs="宋体"/>
                <w:sz w:val="24"/>
              </w:rPr>
            </w:pPr>
            <w:r>
              <w:rPr>
                <w:rFonts w:hint="eastAsia" w:ascii="微软雅黑" w:hAnsi="微软雅黑" w:eastAsia="微软雅黑" w:cs="宋体"/>
                <w:sz w:val="24"/>
              </w:rPr>
              <w:t>提供安全人员驻场服务，安排两名符合资格的测评工程师到场协助完成网络安全相关工作</w:t>
            </w:r>
          </w:p>
        </w:tc>
        <w:tc>
          <w:tcPr>
            <w:tcW w:w="618"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sz w:val="24"/>
              </w:rPr>
            </w:pPr>
            <w:r>
              <w:rPr>
                <w:rFonts w:hint="eastAsia" w:ascii="微软雅黑" w:hAnsi="微软雅黑" w:eastAsia="微软雅黑" w:cs="宋体"/>
                <w:kern w:val="0"/>
                <w:sz w:val="24"/>
              </w:rPr>
              <w:t>1</w:t>
            </w:r>
          </w:p>
        </w:tc>
        <w:tc>
          <w:tcPr>
            <w:tcW w:w="567"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sz w:val="24"/>
              </w:rPr>
            </w:pPr>
            <w:r>
              <w:rPr>
                <w:rFonts w:hint="eastAsia" w:ascii="微软雅黑" w:hAnsi="微软雅黑" w:eastAsia="微软雅黑" w:cs="宋体"/>
                <w:kern w:val="0"/>
                <w:sz w:val="24"/>
              </w:rPr>
              <w:t>项</w:t>
            </w:r>
          </w:p>
        </w:tc>
      </w:tr>
      <w:tr>
        <w:tblPrEx>
          <w:tblCellMar>
            <w:top w:w="0" w:type="dxa"/>
            <w:left w:w="108" w:type="dxa"/>
            <w:bottom w:w="0" w:type="dxa"/>
            <w:right w:w="108" w:type="dxa"/>
          </w:tblCellMar>
        </w:tblPrEx>
        <w:trPr>
          <w:wBefore w:w="0" w:type="dxa"/>
          <w:wAfter w:w="0" w:type="dxa"/>
          <w:trHeight w:val="495" w:hRule="atLeast"/>
        </w:trPr>
        <w:tc>
          <w:tcPr>
            <w:tcW w:w="436" w:type="dxa"/>
            <w:tcBorders>
              <w:top w:val="nil"/>
              <w:left w:val="single" w:color="auto" w:sz="8" w:space="0"/>
              <w:bottom w:val="single" w:color="auto" w:sz="8"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7</w:t>
            </w:r>
          </w:p>
        </w:tc>
        <w:tc>
          <w:tcPr>
            <w:tcW w:w="1349" w:type="dxa"/>
            <w:tcBorders>
              <w:top w:val="nil"/>
              <w:left w:val="nil"/>
              <w:bottom w:val="single" w:color="auto" w:sz="8" w:space="0"/>
              <w:right w:val="single" w:color="auto" w:sz="4" w:space="0"/>
            </w:tcBorders>
            <w:shd w:val="clear" w:color="000000" w:fill="FFFFFF"/>
            <w:noWrap/>
            <w:vAlign w:val="center"/>
          </w:tcPr>
          <w:p>
            <w:pPr>
              <w:widowControl/>
              <w:jc w:val="center"/>
              <w:rPr>
                <w:rFonts w:ascii="微软雅黑" w:hAnsi="微软雅黑" w:eastAsia="微软雅黑" w:cs="宋体"/>
                <w:sz w:val="24"/>
              </w:rPr>
            </w:pPr>
            <w:r>
              <w:rPr>
                <w:rFonts w:hint="eastAsia" w:ascii="微软雅黑" w:hAnsi="微软雅黑" w:eastAsia="微软雅黑" w:cs="宋体"/>
                <w:sz w:val="24"/>
              </w:rPr>
              <w:t>安全</w:t>
            </w:r>
            <w:r>
              <w:rPr>
                <w:rFonts w:ascii="微软雅黑" w:hAnsi="微软雅黑" w:eastAsia="微软雅黑" w:cs="宋体"/>
                <w:sz w:val="24"/>
              </w:rPr>
              <w:t>信息通告服务</w:t>
            </w:r>
          </w:p>
        </w:tc>
        <w:tc>
          <w:tcPr>
            <w:tcW w:w="5596" w:type="dxa"/>
            <w:tcBorders>
              <w:top w:val="nil"/>
              <w:left w:val="nil"/>
              <w:bottom w:val="single" w:color="auto" w:sz="8" w:space="0"/>
              <w:right w:val="single" w:color="auto" w:sz="4" w:space="0"/>
            </w:tcBorders>
            <w:shd w:val="clear" w:color="000000" w:fill="FFFFFF"/>
            <w:noWrap w:val="0"/>
            <w:vAlign w:val="center"/>
          </w:tcPr>
          <w:p>
            <w:pPr>
              <w:spacing w:line="360" w:lineRule="auto"/>
              <w:jc w:val="left"/>
              <w:rPr>
                <w:rFonts w:ascii="微软雅黑" w:hAnsi="微软雅黑" w:eastAsia="微软雅黑" w:cs="宋体"/>
                <w:sz w:val="24"/>
              </w:rPr>
            </w:pPr>
            <w:r>
              <w:rPr>
                <w:rFonts w:hint="eastAsia" w:ascii="微软雅黑" w:hAnsi="微软雅黑" w:eastAsia="微软雅黑" w:cs="宋体"/>
                <w:sz w:val="24"/>
              </w:rPr>
              <w:t>提供安全信息通告服务，服务提供商需第一时间掌握安全相关的最新资讯，能够让广东省人民医院相关人员及时掌握网络安全最新动态，提升单位的安全防护能力及人员安全素养。</w:t>
            </w:r>
          </w:p>
        </w:tc>
        <w:tc>
          <w:tcPr>
            <w:tcW w:w="618" w:type="dxa"/>
            <w:tcBorders>
              <w:top w:val="nil"/>
              <w:left w:val="nil"/>
              <w:bottom w:val="single" w:color="auto" w:sz="8"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1</w:t>
            </w:r>
          </w:p>
        </w:tc>
        <w:tc>
          <w:tcPr>
            <w:tcW w:w="567" w:type="dxa"/>
            <w:tcBorders>
              <w:top w:val="nil"/>
              <w:left w:val="nil"/>
              <w:bottom w:val="single" w:color="auto" w:sz="8" w:space="0"/>
              <w:right w:val="single" w:color="auto" w:sz="4" w:space="0"/>
            </w:tcBorders>
            <w:shd w:val="clear" w:color="000000" w:fill="FFFFFF"/>
            <w:noWrap/>
            <w:vAlign w:val="center"/>
          </w:tcPr>
          <w:p>
            <w:pPr>
              <w:jc w:val="center"/>
              <w:rPr>
                <w:rFonts w:ascii="微软雅黑" w:hAnsi="微软雅黑" w:eastAsia="微软雅黑"/>
                <w:sz w:val="24"/>
              </w:rPr>
            </w:pPr>
            <w:r>
              <w:rPr>
                <w:rFonts w:hint="eastAsia" w:ascii="微软雅黑" w:hAnsi="微软雅黑" w:eastAsia="微软雅黑" w:cs="宋体"/>
                <w:kern w:val="0"/>
                <w:sz w:val="24"/>
              </w:rPr>
              <w:t>项</w:t>
            </w:r>
          </w:p>
        </w:tc>
      </w:tr>
      <w:tr>
        <w:tblPrEx>
          <w:tblCellMar>
            <w:top w:w="0" w:type="dxa"/>
            <w:left w:w="108" w:type="dxa"/>
            <w:bottom w:w="0" w:type="dxa"/>
            <w:right w:w="108" w:type="dxa"/>
          </w:tblCellMar>
        </w:tblPrEx>
        <w:trPr>
          <w:wBefore w:w="0" w:type="dxa"/>
          <w:wAfter w:w="0" w:type="dxa"/>
          <w:trHeight w:val="495" w:hRule="atLeast"/>
        </w:trPr>
        <w:tc>
          <w:tcPr>
            <w:tcW w:w="436" w:type="dxa"/>
            <w:tcBorders>
              <w:top w:val="single" w:color="auto" w:sz="8" w:space="0"/>
              <w:left w:val="single" w:color="auto" w:sz="8"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ascii="微软雅黑" w:hAnsi="微软雅黑" w:eastAsia="微软雅黑" w:cs="宋体"/>
                <w:kern w:val="0"/>
                <w:sz w:val="24"/>
              </w:rPr>
              <w:t>8</w:t>
            </w:r>
          </w:p>
        </w:tc>
        <w:tc>
          <w:tcPr>
            <w:tcW w:w="1349" w:type="dxa"/>
            <w:tcBorders>
              <w:top w:val="single" w:color="auto" w:sz="8" w:space="0"/>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sz w:val="24"/>
              </w:rPr>
            </w:pPr>
            <w:r>
              <w:rPr>
                <w:rFonts w:hint="eastAsia" w:ascii="微软雅黑" w:hAnsi="微软雅黑" w:eastAsia="微软雅黑" w:cs="宋体"/>
                <w:sz w:val="24"/>
              </w:rPr>
              <w:t>安全</w:t>
            </w:r>
            <w:r>
              <w:rPr>
                <w:rFonts w:ascii="微软雅黑" w:hAnsi="微软雅黑" w:eastAsia="微软雅黑" w:cs="宋体"/>
                <w:sz w:val="24"/>
              </w:rPr>
              <w:t>应急</w:t>
            </w:r>
            <w:r>
              <w:rPr>
                <w:rFonts w:hint="eastAsia" w:ascii="微软雅黑" w:hAnsi="微软雅黑" w:eastAsia="微软雅黑" w:cs="宋体"/>
                <w:sz w:val="24"/>
              </w:rPr>
              <w:t>响应服务</w:t>
            </w:r>
          </w:p>
        </w:tc>
        <w:tc>
          <w:tcPr>
            <w:tcW w:w="5596" w:type="dxa"/>
            <w:tcBorders>
              <w:top w:val="single" w:color="auto" w:sz="8" w:space="0"/>
              <w:left w:val="nil"/>
              <w:bottom w:val="single" w:color="auto" w:sz="4" w:space="0"/>
              <w:right w:val="single" w:color="auto" w:sz="4" w:space="0"/>
            </w:tcBorders>
            <w:shd w:val="clear" w:color="000000" w:fill="FFFFFF"/>
            <w:noWrap w:val="0"/>
            <w:vAlign w:val="center"/>
          </w:tcPr>
          <w:p>
            <w:pPr>
              <w:spacing w:line="360" w:lineRule="auto"/>
              <w:jc w:val="left"/>
              <w:rPr>
                <w:rFonts w:ascii="微软雅黑" w:hAnsi="微软雅黑" w:eastAsia="微软雅黑" w:cs="宋体"/>
                <w:sz w:val="24"/>
              </w:rPr>
            </w:pPr>
            <w:r>
              <w:rPr>
                <w:rFonts w:hint="eastAsia" w:ascii="微软雅黑" w:hAnsi="微软雅黑" w:eastAsia="微软雅黑" w:cs="宋体"/>
                <w:sz w:val="24"/>
              </w:rPr>
              <w:t>提供安全应急响应服务，在安全事件出现时及时提供技术支持，协助筹建内部的应急响应团队，加强单位对安全事件的处理能力，降低安全风险对系统的影响。</w:t>
            </w:r>
          </w:p>
        </w:tc>
        <w:tc>
          <w:tcPr>
            <w:tcW w:w="618" w:type="dxa"/>
            <w:tcBorders>
              <w:top w:val="single" w:color="auto" w:sz="8" w:space="0"/>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1</w:t>
            </w:r>
          </w:p>
        </w:tc>
        <w:tc>
          <w:tcPr>
            <w:tcW w:w="567" w:type="dxa"/>
            <w:tcBorders>
              <w:top w:val="single" w:color="auto" w:sz="8" w:space="0"/>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sz w:val="24"/>
              </w:rPr>
            </w:pPr>
            <w:r>
              <w:rPr>
                <w:rFonts w:hint="eastAsia" w:ascii="微软雅黑" w:hAnsi="微软雅黑" w:eastAsia="微软雅黑" w:cs="宋体"/>
                <w:kern w:val="0"/>
                <w:sz w:val="24"/>
              </w:rPr>
              <w:t>项</w:t>
            </w:r>
          </w:p>
        </w:tc>
      </w:tr>
      <w:tr>
        <w:tblPrEx>
          <w:tblCellMar>
            <w:top w:w="0" w:type="dxa"/>
            <w:left w:w="108" w:type="dxa"/>
            <w:bottom w:w="0" w:type="dxa"/>
            <w:right w:w="108" w:type="dxa"/>
          </w:tblCellMar>
        </w:tblPrEx>
        <w:trPr>
          <w:wBefore w:w="0" w:type="dxa"/>
          <w:wAfter w:w="0" w:type="dxa"/>
          <w:trHeight w:val="495"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ascii="微软雅黑" w:hAnsi="微软雅黑" w:eastAsia="微软雅黑" w:cs="宋体"/>
                <w:kern w:val="0"/>
                <w:sz w:val="24"/>
              </w:rPr>
              <w:t>9</w:t>
            </w:r>
          </w:p>
        </w:tc>
        <w:tc>
          <w:tcPr>
            <w:tcW w:w="1349"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sz w:val="24"/>
              </w:rPr>
            </w:pPr>
            <w:r>
              <w:rPr>
                <w:rFonts w:hint="eastAsia" w:ascii="微软雅黑" w:hAnsi="微软雅黑" w:eastAsia="微软雅黑" w:cs="宋体"/>
                <w:sz w:val="24"/>
              </w:rPr>
              <w:t>网络安全</w:t>
            </w:r>
            <w:r>
              <w:rPr>
                <w:rFonts w:ascii="微软雅黑" w:hAnsi="微软雅黑" w:eastAsia="微软雅黑" w:cs="宋体"/>
                <w:sz w:val="24"/>
              </w:rPr>
              <w:t>咨询服务</w:t>
            </w:r>
          </w:p>
        </w:tc>
        <w:tc>
          <w:tcPr>
            <w:tcW w:w="5596" w:type="dxa"/>
            <w:tcBorders>
              <w:top w:val="nil"/>
              <w:left w:val="nil"/>
              <w:bottom w:val="single" w:color="auto" w:sz="4" w:space="0"/>
              <w:right w:val="single" w:color="auto" w:sz="4" w:space="0"/>
            </w:tcBorders>
            <w:shd w:val="clear" w:color="000000" w:fill="FFFFFF"/>
            <w:noWrap w:val="0"/>
            <w:vAlign w:val="center"/>
          </w:tcPr>
          <w:p>
            <w:pPr>
              <w:spacing w:line="360" w:lineRule="auto"/>
              <w:jc w:val="left"/>
              <w:rPr>
                <w:rFonts w:ascii="微软雅黑" w:hAnsi="微软雅黑" w:eastAsia="微软雅黑" w:cs="宋体"/>
                <w:sz w:val="24"/>
              </w:rPr>
            </w:pPr>
            <w:r>
              <w:rPr>
                <w:rFonts w:hint="eastAsia" w:ascii="微软雅黑" w:hAnsi="微软雅黑" w:eastAsia="微软雅黑" w:cs="宋体"/>
                <w:sz w:val="24"/>
              </w:rPr>
              <w:t>提供网络安全咨询服务，在实施网络安全相关法律法规、安全技术和安全管理等方面提供专业意见，在信息</w:t>
            </w:r>
            <w:r>
              <w:rPr>
                <w:rFonts w:hint="eastAsia" w:ascii="微软雅黑" w:hAnsi="微软雅黑" w:eastAsia="微软雅黑" w:cs="宋体"/>
                <w:sz w:val="24"/>
                <w:highlight w:val="none"/>
              </w:rPr>
              <w:t>系统的规划</w:t>
            </w:r>
            <w:r>
              <w:rPr>
                <w:rFonts w:hint="eastAsia" w:ascii="微软雅黑" w:hAnsi="微软雅黑" w:eastAsia="微软雅黑" w:cs="宋体"/>
                <w:sz w:val="24"/>
              </w:rPr>
              <w:t>、建设、实施和运维等生命周期的各个阶段提供合规咨询</w:t>
            </w:r>
            <w:r>
              <w:rPr>
                <w:rFonts w:ascii="微软雅黑" w:hAnsi="微软雅黑" w:eastAsia="微软雅黑" w:cs="宋体"/>
                <w:sz w:val="24"/>
              </w:rPr>
              <w:t xml:space="preserve"> </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1</w:t>
            </w:r>
          </w:p>
        </w:tc>
        <w:tc>
          <w:tcPr>
            <w:tcW w:w="567" w:type="dxa"/>
            <w:tcBorders>
              <w:top w:val="nil"/>
              <w:left w:val="nil"/>
              <w:bottom w:val="single" w:color="auto" w:sz="4" w:space="0"/>
              <w:right w:val="single" w:color="auto" w:sz="4" w:space="0"/>
            </w:tcBorders>
            <w:shd w:val="clear" w:color="000000" w:fill="FFFFFF"/>
            <w:noWrap/>
            <w:vAlign w:val="center"/>
          </w:tcPr>
          <w:p>
            <w:pPr>
              <w:jc w:val="center"/>
              <w:rPr>
                <w:rFonts w:ascii="微软雅黑" w:hAnsi="微软雅黑" w:eastAsia="微软雅黑"/>
                <w:sz w:val="24"/>
              </w:rPr>
            </w:pPr>
            <w:r>
              <w:rPr>
                <w:rFonts w:hint="eastAsia" w:ascii="微软雅黑" w:hAnsi="微软雅黑" w:eastAsia="微软雅黑" w:cs="宋体"/>
                <w:kern w:val="0"/>
                <w:sz w:val="24"/>
              </w:rPr>
              <w:t>项</w:t>
            </w:r>
          </w:p>
        </w:tc>
      </w:tr>
      <w:tr>
        <w:tblPrEx>
          <w:tblCellMar>
            <w:top w:w="0" w:type="dxa"/>
            <w:left w:w="108" w:type="dxa"/>
            <w:bottom w:w="0" w:type="dxa"/>
            <w:right w:w="108" w:type="dxa"/>
          </w:tblCellMar>
        </w:tblPrEx>
        <w:trPr>
          <w:wBefore w:w="0" w:type="dxa"/>
          <w:wAfter w:w="0" w:type="dxa"/>
          <w:trHeight w:val="495"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ascii="微软雅黑" w:hAnsi="微软雅黑" w:eastAsia="微软雅黑" w:cs="宋体"/>
                <w:kern w:val="0"/>
                <w:sz w:val="24"/>
              </w:rPr>
              <w:t>10</w:t>
            </w:r>
          </w:p>
        </w:tc>
        <w:tc>
          <w:tcPr>
            <w:tcW w:w="1349"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sz w:val="24"/>
              </w:rPr>
            </w:pPr>
            <w:r>
              <w:rPr>
                <w:rFonts w:hint="eastAsia" w:ascii="微软雅黑" w:hAnsi="微软雅黑" w:eastAsia="微软雅黑" w:cs="宋体"/>
                <w:sz w:val="24"/>
              </w:rPr>
              <w:t>网络安全培训及宣教</w:t>
            </w:r>
          </w:p>
        </w:tc>
        <w:tc>
          <w:tcPr>
            <w:tcW w:w="5596" w:type="dxa"/>
            <w:tcBorders>
              <w:top w:val="nil"/>
              <w:left w:val="nil"/>
              <w:bottom w:val="single" w:color="auto" w:sz="4" w:space="0"/>
              <w:right w:val="single" w:color="auto" w:sz="4" w:space="0"/>
            </w:tcBorders>
            <w:shd w:val="clear" w:color="000000" w:fill="FFFFFF"/>
            <w:noWrap w:val="0"/>
            <w:vAlign w:val="center"/>
          </w:tcPr>
          <w:p>
            <w:pPr>
              <w:spacing w:line="360" w:lineRule="auto"/>
              <w:jc w:val="left"/>
              <w:rPr>
                <w:rFonts w:hint="eastAsia" w:ascii="微软雅黑" w:hAnsi="微软雅黑" w:eastAsia="微软雅黑" w:cs="宋体"/>
                <w:sz w:val="24"/>
              </w:rPr>
            </w:pPr>
            <w:r>
              <w:rPr>
                <w:rFonts w:hint="eastAsia" w:ascii="微软雅黑" w:hAnsi="微软雅黑" w:eastAsia="微软雅黑" w:cs="宋体"/>
                <w:sz w:val="24"/>
              </w:rPr>
              <w:t>提供网络安全培训及宣教服务，定期对广东省人民医院相关人员组织开展安全培训，进行多方位宣教。</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1</w:t>
            </w:r>
          </w:p>
        </w:tc>
        <w:tc>
          <w:tcPr>
            <w:tcW w:w="567" w:type="dxa"/>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kern w:val="0"/>
                <w:sz w:val="24"/>
              </w:rPr>
            </w:pPr>
            <w:r>
              <w:rPr>
                <w:rFonts w:hint="eastAsia" w:ascii="微软雅黑" w:hAnsi="微软雅黑" w:eastAsia="微软雅黑" w:cs="宋体"/>
                <w:kern w:val="0"/>
                <w:sz w:val="24"/>
              </w:rPr>
              <w:t>项</w:t>
            </w:r>
          </w:p>
        </w:tc>
      </w:tr>
    </w:tbl>
    <w:p>
      <w:pPr>
        <w:pStyle w:val="2"/>
        <w:spacing w:line="415" w:lineRule="auto"/>
        <w:rPr>
          <w:rFonts w:ascii="微软雅黑" w:hAnsi="微软雅黑" w:eastAsia="微软雅黑"/>
          <w:color w:val="000000"/>
          <w:sz w:val="24"/>
          <w:szCs w:val="24"/>
        </w:rPr>
      </w:pPr>
      <w:r>
        <w:rPr>
          <w:rFonts w:hint="eastAsia" w:ascii="微软雅黑" w:hAnsi="微软雅黑" w:eastAsia="微软雅黑"/>
          <w:color w:val="000000"/>
          <w:sz w:val="24"/>
          <w:szCs w:val="24"/>
        </w:rPr>
        <w:t>服务要求</w:t>
      </w:r>
    </w:p>
    <w:p>
      <w:pPr>
        <w:spacing w:line="360" w:lineRule="auto"/>
        <w:ind w:firstLine="480" w:firstLineChars="200"/>
        <w:rPr>
          <w:rFonts w:ascii="微软雅黑" w:hAnsi="微软雅黑" w:eastAsia="微软雅黑"/>
          <w:sz w:val="24"/>
        </w:rPr>
      </w:pPr>
      <w:r>
        <w:rPr>
          <w:rFonts w:hint="eastAsia" w:ascii="微软雅黑" w:hAnsi="微软雅黑" w:eastAsia="微软雅黑"/>
          <w:sz w:val="24"/>
        </w:rPr>
        <w:t>1、服务周期：一年</w:t>
      </w:r>
    </w:p>
    <w:p>
      <w:pPr>
        <w:spacing w:line="360" w:lineRule="auto"/>
        <w:ind w:firstLine="480" w:firstLineChars="200"/>
        <w:rPr>
          <w:rFonts w:ascii="微软雅黑" w:hAnsi="微软雅黑" w:eastAsia="微软雅黑"/>
          <w:sz w:val="24"/>
        </w:rPr>
      </w:pPr>
      <w:r>
        <w:rPr>
          <w:rFonts w:hint="eastAsia" w:ascii="微软雅黑" w:hAnsi="微软雅黑" w:eastAsia="微软雅黑"/>
          <w:sz w:val="24"/>
        </w:rPr>
        <w:t>2、服务提供方应为网络安全服务配备固定的项目组成员，以便及时响应我院的安全需求。</w:t>
      </w:r>
      <w:bookmarkStart w:id="0" w:name="_GoBack"/>
      <w:bookmarkEnd w:id="0"/>
    </w:p>
    <w:p>
      <w:pPr>
        <w:rPr>
          <w:rFonts w:ascii="微软雅黑" w:hAnsi="微软雅黑" w:eastAsia="微软雅黑"/>
          <w:sz w:val="24"/>
        </w:rPr>
      </w:pPr>
    </w:p>
    <w:sectPr>
      <w:pgSz w:w="11900" w:h="16840"/>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2D6"/>
    <w:rsid w:val="000576FE"/>
    <w:rsid w:val="000932D6"/>
    <w:rsid w:val="00176171"/>
    <w:rsid w:val="00176CAE"/>
    <w:rsid w:val="001E5735"/>
    <w:rsid w:val="002C7CAD"/>
    <w:rsid w:val="003A0DBE"/>
    <w:rsid w:val="003E62B9"/>
    <w:rsid w:val="005404FA"/>
    <w:rsid w:val="00572678"/>
    <w:rsid w:val="00611083"/>
    <w:rsid w:val="00693308"/>
    <w:rsid w:val="007750B3"/>
    <w:rsid w:val="00801077"/>
    <w:rsid w:val="0082784A"/>
    <w:rsid w:val="008C0A81"/>
    <w:rsid w:val="008C5285"/>
    <w:rsid w:val="008C64D2"/>
    <w:rsid w:val="00961E56"/>
    <w:rsid w:val="009D02E4"/>
    <w:rsid w:val="00A120C9"/>
    <w:rsid w:val="00A64369"/>
    <w:rsid w:val="00A8394F"/>
    <w:rsid w:val="00AB6619"/>
    <w:rsid w:val="00B04354"/>
    <w:rsid w:val="00B0571B"/>
    <w:rsid w:val="00BA6FAA"/>
    <w:rsid w:val="00C11093"/>
    <w:rsid w:val="00C33E00"/>
    <w:rsid w:val="00C35560"/>
    <w:rsid w:val="00C71A8F"/>
    <w:rsid w:val="00D05FEF"/>
    <w:rsid w:val="00D15F3C"/>
    <w:rsid w:val="00E76AAB"/>
    <w:rsid w:val="00ED043B"/>
    <w:rsid w:val="00F25BF6"/>
    <w:rsid w:val="00FA5E4E"/>
    <w:rsid w:val="00FB3AD2"/>
    <w:rsid w:val="0A9804DF"/>
    <w:rsid w:val="0DE16108"/>
    <w:rsid w:val="2B8E7CF5"/>
    <w:rsid w:val="32C62F0C"/>
    <w:rsid w:val="45F07511"/>
    <w:rsid w:val="5285268C"/>
    <w:rsid w:val="558C2FA7"/>
    <w:rsid w:val="66B805A2"/>
    <w:rsid w:val="6C734C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kern w:val="2"/>
      <w:sz w:val="21"/>
      <w:szCs w:val="24"/>
      <w:lang w:val="en-US" w:eastAsia="zh-CN" w:bidi="ar-SA"/>
    </w:rPr>
  </w:style>
  <w:style w:type="paragraph" w:styleId="2">
    <w:name w:val="heading 2"/>
    <w:basedOn w:val="1"/>
    <w:next w:val="1"/>
    <w:link w:val="12"/>
    <w:qFormat/>
    <w:uiPriority w:val="9"/>
    <w:pPr>
      <w:keepNext/>
      <w:keepLines/>
      <w:spacing w:before="260" w:after="260" w:line="416" w:lineRule="auto"/>
      <w:outlineLvl w:val="1"/>
    </w:pPr>
    <w:rPr>
      <w:rFonts w:ascii="Cambria" w:hAnsi="Cambria" w:eastAsia="宋体"/>
      <w:b/>
      <w:bCs/>
      <w:sz w:val="32"/>
      <w:szCs w:val="32"/>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annotation text"/>
    <w:basedOn w:val="1"/>
    <w:link w:val="17"/>
    <w:uiPriority w:val="0"/>
    <w:pPr>
      <w:widowControl/>
      <w:jc w:val="left"/>
    </w:pPr>
    <w:rPr>
      <w:rFonts w:ascii="Times New Roman" w:hAnsi="Times New Roman" w:eastAsia="宋体"/>
      <w:kern w:val="0"/>
      <w:szCs w:val="20"/>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customStyle="1" w:styleId="8">
    <w:name w:val="_Style 5"/>
    <w:basedOn w:val="1"/>
    <w:next w:val="9"/>
    <w:qFormat/>
    <w:uiPriority w:val="0"/>
    <w:pPr>
      <w:ind w:firstLine="420" w:firstLineChars="200"/>
    </w:pPr>
    <w:rPr>
      <w:rFonts w:ascii="Calibri" w:hAnsi="Calibri" w:eastAsia="宋体"/>
      <w:kern w:val="0"/>
      <w:sz w:val="20"/>
      <w:szCs w:val="20"/>
    </w:rPr>
  </w:style>
  <w:style w:type="paragraph" w:styleId="9">
    <w:name w:val="List Paragraph"/>
    <w:basedOn w:val="1"/>
    <w:link w:val="16"/>
    <w:qFormat/>
    <w:uiPriority w:val="34"/>
    <w:pPr>
      <w:ind w:firstLine="420" w:firstLineChars="200"/>
    </w:pPr>
  </w:style>
  <w:style w:type="paragraph" w:customStyle="1" w:styleId="10">
    <w:name w:val="_Style 6"/>
    <w:basedOn w:val="1"/>
    <w:next w:val="9"/>
    <w:qFormat/>
    <w:uiPriority w:val="0"/>
    <w:pPr>
      <w:ind w:firstLine="420" w:firstLineChars="200"/>
    </w:pPr>
    <w:rPr>
      <w:rFonts w:ascii="Calibri" w:hAnsi="Calibri" w:eastAsia="宋体"/>
      <w:kern w:val="0"/>
      <w:sz w:val="20"/>
      <w:szCs w:val="20"/>
    </w:rPr>
  </w:style>
  <w:style w:type="character" w:customStyle="1" w:styleId="11">
    <w:name w:val="批注文字 字符"/>
    <w:uiPriority w:val="0"/>
    <w:rPr>
      <w:rFonts w:ascii="等线" w:hAnsi="等线" w:eastAsia="等线"/>
      <w:kern w:val="2"/>
      <w:sz w:val="21"/>
      <w:szCs w:val="24"/>
    </w:rPr>
  </w:style>
  <w:style w:type="character" w:customStyle="1" w:styleId="12">
    <w:name w:val="标题 2 Char"/>
    <w:link w:val="2"/>
    <w:uiPriority w:val="9"/>
    <w:rPr>
      <w:rFonts w:ascii="Cambria" w:hAnsi="Cambria"/>
      <w:b/>
      <w:bCs/>
      <w:kern w:val="2"/>
      <w:sz w:val="32"/>
      <w:szCs w:val="32"/>
    </w:rPr>
  </w:style>
  <w:style w:type="character" w:customStyle="1" w:styleId="13">
    <w:name w:val="标题 2 字符"/>
    <w:semiHidden/>
    <w:uiPriority w:val="0"/>
    <w:rPr>
      <w:rFonts w:ascii="等线 Light" w:hAnsi="等线 Light" w:eastAsia="等线 Light" w:cs="Times New Roman"/>
      <w:b/>
      <w:bCs/>
      <w:kern w:val="2"/>
      <w:sz w:val="32"/>
      <w:szCs w:val="32"/>
    </w:rPr>
  </w:style>
  <w:style w:type="character" w:customStyle="1" w:styleId="14">
    <w:name w:val="页脚 字符"/>
    <w:link w:val="4"/>
    <w:uiPriority w:val="0"/>
    <w:rPr>
      <w:rFonts w:ascii="等线" w:hAnsi="等线" w:eastAsia="等线"/>
      <w:kern w:val="2"/>
      <w:sz w:val="18"/>
      <w:szCs w:val="18"/>
    </w:rPr>
  </w:style>
  <w:style w:type="character" w:customStyle="1" w:styleId="15">
    <w:name w:val="页眉 字符"/>
    <w:link w:val="5"/>
    <w:uiPriority w:val="0"/>
    <w:rPr>
      <w:rFonts w:ascii="等线" w:hAnsi="等线" w:eastAsia="等线"/>
      <w:kern w:val="2"/>
      <w:sz w:val="18"/>
      <w:szCs w:val="18"/>
    </w:rPr>
  </w:style>
  <w:style w:type="character" w:customStyle="1" w:styleId="16">
    <w:name w:val="列出段落 Char"/>
    <w:link w:val="9"/>
    <w:uiPriority w:val="0"/>
    <w:rPr>
      <w:rFonts w:ascii="等线" w:hAnsi="等线" w:eastAsia="等线"/>
      <w:kern w:val="2"/>
      <w:sz w:val="21"/>
      <w:szCs w:val="24"/>
    </w:rPr>
  </w:style>
  <w:style w:type="character" w:customStyle="1" w:styleId="17">
    <w:name w:val="批注文字 Char"/>
    <w:link w:val="3"/>
    <w:uiPriority w:val="0"/>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181</Words>
  <Characters>1033</Characters>
  <Lines>8</Lines>
  <Paragraphs>2</Paragraphs>
  <TotalTime>0</TotalTime>
  <ScaleCrop>false</ScaleCrop>
  <LinksUpToDate>false</LinksUpToDate>
  <CharactersWithSpaces>1212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2020-04-15T02:46:00Z</dcterms:created>
  <dc:creator>王丹</dc:creator>
  <cp:lastModifiedBy>frins</cp:lastModifiedBy>
  <dcterms:modified xsi:type="dcterms:W3CDTF">2020-04-24T03:05:58Z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