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（一）UPS主机品牌及技术要求：</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根据我院目前使用UPS的品牌、类型以及使用情况，</w:t>
      </w:r>
      <w:r>
        <w:rPr>
          <w:rFonts w:hint="eastAsia" w:ascii="仿宋" w:hAnsi="仿宋" w:eastAsia="仿宋" w:cs="仿宋"/>
          <w:sz w:val="28"/>
          <w:szCs w:val="28"/>
          <w:lang w:val="en-US" w:eastAsia="zh-CN"/>
        </w:rPr>
        <w:t>便于后期维护维修，</w:t>
      </w:r>
      <w:r>
        <w:rPr>
          <w:rFonts w:hint="eastAsia" w:ascii="仿宋" w:hAnsi="仿宋" w:eastAsia="仿宋" w:cs="仿宋"/>
          <w:sz w:val="28"/>
          <w:szCs w:val="28"/>
        </w:rPr>
        <w:t>要求按照以下品牌的同等类型的UPS进行选型配置并报价。</w:t>
      </w:r>
    </w:p>
    <w:tbl>
      <w:tblPr>
        <w:tblStyle w:val="11"/>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2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UPS主机品牌要求</w:t>
            </w:r>
          </w:p>
        </w:tc>
        <w:tc>
          <w:tcPr>
            <w:tcW w:w="525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UPS主机类型要求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23"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施耐德</w:t>
            </w:r>
          </w:p>
        </w:tc>
        <w:tc>
          <w:tcPr>
            <w:tcW w:w="5252"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PWI</w:t>
            </w:r>
            <w:r>
              <w:rPr>
                <w:rFonts w:hint="eastAsia" w:ascii="仿宋" w:hAnsi="仿宋" w:eastAsia="仿宋" w:cs="仿宋"/>
                <w:sz w:val="24"/>
                <w:szCs w:val="24"/>
                <w:highlight w:val="none"/>
              </w:rPr>
              <w:t>系列 160KVA</w:t>
            </w:r>
            <w:r>
              <w:rPr>
                <w:rFonts w:hint="eastAsia" w:ascii="仿宋" w:hAnsi="仿宋" w:eastAsia="仿宋" w:cs="仿宋"/>
                <w:sz w:val="24"/>
                <w:szCs w:val="24"/>
                <w:highlight w:val="none"/>
                <w:lang w:val="en-US" w:eastAsia="zh-CN"/>
              </w:rPr>
              <w:t>(IGBT或12脉冲整流）或以上型号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82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索克曼</w:t>
            </w:r>
          </w:p>
        </w:tc>
        <w:tc>
          <w:tcPr>
            <w:tcW w:w="5252" w:type="dxa"/>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rPr>
              <w:t xml:space="preserve">DMP Elite系列160KVA </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lang w:val="en-US" w:eastAsia="zh-CN"/>
              </w:rPr>
              <w:t>IGBT或12脉冲整流）或以上型号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23"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维谛（原艾默生）</w:t>
            </w:r>
          </w:p>
        </w:tc>
        <w:tc>
          <w:tcPr>
            <w:tcW w:w="5252"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Liebert Hiplus</w:t>
            </w:r>
            <w:r>
              <w:rPr>
                <w:rFonts w:hint="eastAsia" w:ascii="仿宋" w:hAnsi="仿宋" w:eastAsia="仿宋" w:cs="仿宋"/>
                <w:sz w:val="24"/>
                <w:szCs w:val="24"/>
                <w:lang w:val="en-US" w:eastAsia="zh-CN"/>
              </w:rPr>
              <w:t xml:space="preserve"> U</w:t>
            </w:r>
            <w:r>
              <w:rPr>
                <w:rFonts w:hint="eastAsia" w:ascii="仿宋" w:hAnsi="仿宋" w:eastAsia="仿宋" w:cs="仿宋"/>
                <w:sz w:val="24"/>
                <w:szCs w:val="24"/>
              </w:rPr>
              <w:t>系列160KVA</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lang w:val="en-US" w:eastAsia="zh-CN"/>
              </w:rPr>
              <w:t>IGBT或12脉冲整流）或以上型号</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（二）技术要求总则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纯在线式双变换产品，保证长期连续运行，且输出电压、频率、谐波失真度等稳定精度在规定技术指标以内。</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正常情况下由380V交流电供电，经整流器整流滤波为纯净直流电，由逆变器变换为稳频稳压交流电，通过静态开关向负载供电；</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当交流电或整流器发生故障时，逆变器利用蓄电池直流电能无间断地继续向负载提供优质可靠的交流电。</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当交流电断电，负载由蓄电池供电后，如果交流电恢复供电，要求无间断转为UPS的正常工作方式。</w:t>
      </w:r>
    </w:p>
    <w:p>
      <w:pPr>
        <w:keepNext w:val="0"/>
        <w:keepLines w:val="0"/>
        <w:pageBreakBefore w:val="0"/>
        <w:widowControl w:val="0"/>
        <w:numPr>
          <w:ilvl w:val="0"/>
          <w:numId w:val="3"/>
        </w:numPr>
        <w:tabs>
          <w:tab w:val="clear" w:pos="1271"/>
        </w:tabs>
        <w:kinsoku/>
        <w:wordWrap/>
        <w:overflowPunct/>
        <w:topLinePunct w:val="0"/>
        <w:autoSpaceDE/>
        <w:autoSpaceDN/>
        <w:bidi w:val="0"/>
        <w:adjustRightInd w:val="0"/>
        <w:snapToGrid w:val="0"/>
        <w:spacing w:line="240" w:lineRule="auto"/>
        <w:ind w:left="223" w:leftChars="104" w:hanging="5" w:firstLineChars="0"/>
        <w:textAlignment w:val="auto"/>
        <w:rPr>
          <w:rFonts w:hint="eastAsia" w:ascii="仿宋" w:hAnsi="仿宋" w:eastAsia="仿宋" w:cs="仿宋"/>
          <w:sz w:val="28"/>
          <w:szCs w:val="28"/>
        </w:rPr>
      </w:pPr>
      <w:r>
        <w:rPr>
          <w:rFonts w:hint="eastAsia" w:ascii="仿宋" w:hAnsi="仿宋" w:eastAsia="仿宋" w:cs="仿宋"/>
          <w:sz w:val="28"/>
          <w:szCs w:val="28"/>
        </w:rPr>
        <w:t>当交流电断电，蓄电池放电至终止电压，对负载停止供电后，如果交流电恢复供电，要求UPS能自动重新启动，恢复到</w:t>
      </w:r>
      <w:r>
        <w:rPr>
          <w:rFonts w:hint="eastAsia" w:ascii="仿宋" w:hAnsi="仿宋" w:eastAsia="仿宋" w:cs="仿宋"/>
          <w:sz w:val="28"/>
          <w:szCs w:val="28"/>
          <w:highlight w:val="none"/>
        </w:rPr>
        <w:t>正常的工作</w:t>
      </w:r>
      <w:r>
        <w:rPr>
          <w:rFonts w:hint="eastAsia" w:ascii="仿宋" w:hAnsi="仿宋" w:eastAsia="仿宋" w:cs="仿宋"/>
          <w:sz w:val="28"/>
          <w:szCs w:val="28"/>
        </w:rPr>
        <w:t>状态。</w:t>
      </w:r>
    </w:p>
    <w:p>
      <w:pPr>
        <w:keepNext w:val="0"/>
        <w:keepLines w:val="0"/>
        <w:pageBreakBefore w:val="0"/>
        <w:widowControl w:val="0"/>
        <w:numPr>
          <w:ilvl w:val="0"/>
          <w:numId w:val="2"/>
        </w:numPr>
        <w:tabs>
          <w:tab w:val="left" w:pos="220"/>
        </w:tabs>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内部应采用智能化控制系统进行控制信息处理，对蓄电池进行有效地管理。</w:t>
      </w:r>
    </w:p>
    <w:p>
      <w:pPr>
        <w:keepNext w:val="0"/>
        <w:keepLines w:val="0"/>
        <w:pageBreakBefore w:val="0"/>
        <w:widowControl w:val="0"/>
        <w:numPr>
          <w:ilvl w:val="0"/>
          <w:numId w:val="2"/>
        </w:numPr>
        <w:tabs>
          <w:tab w:val="left" w:pos="220"/>
        </w:tabs>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bCs/>
          <w:sz w:val="28"/>
          <w:szCs w:val="28"/>
        </w:rPr>
      </w:pPr>
      <w:r>
        <w:rPr>
          <w:rFonts w:hint="eastAsia" w:ascii="仿宋" w:hAnsi="仿宋" w:eastAsia="仿宋" w:cs="仿宋"/>
          <w:bCs/>
          <w:sz w:val="28"/>
          <w:szCs w:val="28"/>
        </w:rPr>
        <w:t>为满足将来发展需求，可并机台数不小于6台。</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bCs/>
          <w:sz w:val="28"/>
          <w:szCs w:val="28"/>
        </w:rPr>
      </w:pPr>
      <w:r>
        <w:rPr>
          <w:rFonts w:hint="eastAsia" w:ascii="仿宋" w:hAnsi="仿宋" w:eastAsia="仿宋" w:cs="仿宋"/>
          <w:bCs/>
          <w:sz w:val="28"/>
          <w:szCs w:val="28"/>
        </w:rPr>
        <w:t>提供投标产品的中国泰尔检测报告、CE认证证书、EMC测试报告、抗震测试报告。</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textAlignment w:val="auto"/>
        <w:rPr>
          <w:rFonts w:hint="eastAsia" w:ascii="仿宋" w:hAnsi="仿宋" w:eastAsia="仿宋" w:cs="仿宋"/>
          <w:bCs/>
          <w:sz w:val="28"/>
          <w:szCs w:val="28"/>
        </w:rPr>
      </w:pPr>
      <w:r>
        <w:rPr>
          <w:rFonts w:hint="eastAsia" w:ascii="仿宋" w:hAnsi="仿宋" w:eastAsia="仿宋" w:cs="仿宋"/>
          <w:bCs/>
          <w:sz w:val="28"/>
          <w:szCs w:val="28"/>
        </w:rPr>
        <w:t>如投标产品是进口产品，提供报关单。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（三）详细性能及技术指标要求</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sz w:val="28"/>
          <w:szCs w:val="28"/>
          <w:lang w:val="zh-CN"/>
        </w:rPr>
      </w:pPr>
      <w:bookmarkStart w:id="0" w:name="_Toc32828051"/>
      <w:r>
        <w:rPr>
          <w:rFonts w:hint="eastAsia" w:ascii="仿宋" w:hAnsi="仿宋" w:eastAsia="仿宋" w:cs="仿宋"/>
          <w:sz w:val="28"/>
          <w:szCs w:val="28"/>
          <w:lang w:val="en-US" w:eastAsia="zh-CN"/>
        </w:rPr>
        <w:t>1、</w:t>
      </w:r>
      <w:r>
        <w:rPr>
          <w:rFonts w:hint="eastAsia" w:ascii="仿宋" w:hAnsi="仿宋" w:eastAsia="仿宋" w:cs="仿宋"/>
          <w:sz w:val="28"/>
          <w:szCs w:val="28"/>
          <w:lang w:val="zh-CN"/>
        </w:rPr>
        <w:t>UPS主机</w:t>
      </w:r>
      <w:bookmarkEnd w:id="0"/>
    </w:p>
    <w:p>
      <w:pPr>
        <w:keepNext w:val="0"/>
        <w:keepLines w:val="0"/>
        <w:pageBreakBefore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UPS系统应采用真在线双变换</w:t>
      </w:r>
      <w:r>
        <w:rPr>
          <w:rFonts w:hint="eastAsia" w:ascii="仿宋" w:hAnsi="仿宋" w:eastAsia="仿宋" w:cs="仿宋"/>
          <w:bCs/>
          <w:kern w:val="0"/>
          <w:sz w:val="28"/>
          <w:szCs w:val="28"/>
          <w:highlight w:val="none"/>
          <w:lang w:val="zh-CN"/>
        </w:rPr>
        <w:t>拓朴</w:t>
      </w:r>
      <w:r>
        <w:rPr>
          <w:rFonts w:hint="eastAsia" w:ascii="仿宋" w:hAnsi="仿宋" w:eastAsia="仿宋" w:cs="仿宋"/>
          <w:bCs/>
          <w:kern w:val="0"/>
          <w:sz w:val="28"/>
          <w:szCs w:val="28"/>
          <w:lang w:val="zh-CN"/>
        </w:rPr>
        <w:t>结构，具有稳压、稳频功能；负载在任何时候都由逆变器提供100%能量。</w:t>
      </w:r>
    </w:p>
    <w:p>
      <w:pPr>
        <w:keepNext w:val="0"/>
        <w:keepLines w:val="0"/>
        <w:pageBreakBefore w:val="0"/>
        <w:numPr>
          <w:ilvl w:val="1"/>
          <w:numId w:val="4"/>
        </w:numPr>
        <w:tabs>
          <w:tab w:val="clear" w:pos="1107"/>
        </w:tabs>
        <w:kinsoku/>
        <w:wordWrap/>
        <w:overflowPunct/>
        <w:topLinePunct w:val="0"/>
        <w:autoSpaceDE w:val="0"/>
        <w:autoSpaceDN w:val="0"/>
        <w:bidi w:val="0"/>
        <w:adjustRightInd w:val="0"/>
        <w:snapToGrid w:val="0"/>
        <w:spacing w:line="240" w:lineRule="auto"/>
        <w:ind w:left="301" w:leftChars="0" w:hanging="301" w:hangingChars="107"/>
        <w:jc w:val="left"/>
        <w:textAlignment w:val="auto"/>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输入指标</w:t>
      </w:r>
    </w:p>
    <w:p>
      <w:pPr>
        <w:keepNext w:val="0"/>
        <w:keepLines w:val="0"/>
        <w:pageBreakBefore w:val="0"/>
        <w:numPr>
          <w:ilvl w:val="2"/>
          <w:numId w:val="4"/>
        </w:numPr>
        <w:tabs>
          <w:tab w:val="left" w:pos="64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额定电压：380V</w:t>
      </w:r>
    </w:p>
    <w:p>
      <w:pPr>
        <w:keepNext w:val="0"/>
        <w:keepLines w:val="0"/>
        <w:pageBreakBefore w:val="0"/>
        <w:numPr>
          <w:ilvl w:val="2"/>
          <w:numId w:val="4"/>
        </w:numPr>
        <w:tabs>
          <w:tab w:val="left" w:pos="64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额定频率：50Hz</w:t>
      </w:r>
    </w:p>
    <w:p>
      <w:pPr>
        <w:keepNext w:val="0"/>
        <w:keepLines w:val="0"/>
        <w:pageBreakBefore w:val="0"/>
        <w:numPr>
          <w:ilvl w:val="2"/>
          <w:numId w:val="4"/>
        </w:numPr>
        <w:tabs>
          <w:tab w:val="left" w:pos="64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电压允许变动范围：-15%～+20%（满载），请投标人提供泰尔测试报告，并写明应答数据在泰尔报告中页码、章节位置。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频率允许变动范围：</w:t>
      </w:r>
      <w:r>
        <w:rPr>
          <w:rFonts w:hint="eastAsia" w:ascii="仿宋" w:hAnsi="仿宋" w:eastAsia="仿宋" w:cs="仿宋"/>
          <w:kern w:val="0"/>
          <w:sz w:val="28"/>
          <w:szCs w:val="28"/>
          <w:highlight w:val="none"/>
          <w:lang w:val="zh-CN"/>
        </w:rPr>
        <w:sym w:font="Kino MT" w:char="00B1"/>
      </w:r>
      <w:r>
        <w:rPr>
          <w:rFonts w:hint="eastAsia" w:ascii="仿宋" w:hAnsi="仿宋" w:eastAsia="仿宋" w:cs="仿宋"/>
          <w:kern w:val="0"/>
          <w:sz w:val="28"/>
          <w:szCs w:val="28"/>
          <w:lang w:val="zh-CN"/>
        </w:rPr>
        <w:t>10％</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1" w:firstLineChars="93"/>
        <w:jc w:val="left"/>
        <w:textAlignment w:val="auto"/>
        <w:rPr>
          <w:rFonts w:hint="eastAsia" w:ascii="仿宋" w:hAnsi="仿宋" w:eastAsia="仿宋" w:cs="仿宋"/>
          <w:b/>
          <w:bCs/>
          <w:kern w:val="0"/>
          <w:sz w:val="28"/>
          <w:szCs w:val="28"/>
          <w:lang w:val="zh-CN"/>
        </w:rPr>
      </w:pPr>
      <w:r>
        <w:rPr>
          <w:rFonts w:hint="eastAsia" w:ascii="仿宋" w:hAnsi="仿宋" w:eastAsia="仿宋" w:cs="仿宋"/>
          <w:b/>
          <w:sz w:val="28"/>
          <w:szCs w:val="28"/>
        </w:rPr>
        <w:t>▲</w:t>
      </w:r>
      <w:r>
        <w:rPr>
          <w:rFonts w:hint="eastAsia" w:ascii="仿宋" w:hAnsi="仿宋" w:eastAsia="仿宋" w:cs="仿宋"/>
          <w:b/>
          <w:bCs/>
          <w:kern w:val="0"/>
          <w:sz w:val="28"/>
          <w:szCs w:val="28"/>
          <w:lang w:val="zh-CN"/>
        </w:rPr>
        <w:t>输入功率因数：≥0.99（满载）</w:t>
      </w:r>
      <w:r>
        <w:rPr>
          <w:rFonts w:hint="eastAsia" w:ascii="仿宋" w:hAnsi="仿宋" w:eastAsia="仿宋" w:cs="仿宋"/>
          <w:b/>
          <w:kern w:val="0"/>
          <w:sz w:val="28"/>
          <w:szCs w:val="28"/>
          <w:lang w:val="zh-CN"/>
        </w:rPr>
        <w:t>，请投标人提供泰尔测试报告，并写明应答数据在泰尔报告中页码、章节位置。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1" w:firstLineChars="93"/>
        <w:jc w:val="left"/>
        <w:textAlignment w:val="auto"/>
        <w:rPr>
          <w:rFonts w:hint="eastAsia" w:ascii="仿宋" w:hAnsi="仿宋" w:eastAsia="仿宋" w:cs="仿宋"/>
          <w:b/>
          <w:sz w:val="28"/>
          <w:szCs w:val="28"/>
        </w:rPr>
      </w:pPr>
      <w:r>
        <w:rPr>
          <w:rFonts w:hint="eastAsia" w:ascii="仿宋" w:hAnsi="仿宋" w:eastAsia="仿宋" w:cs="仿宋"/>
          <w:b/>
          <w:sz w:val="28"/>
          <w:szCs w:val="28"/>
        </w:rPr>
        <w:t>▲电流谐波失真度≤3%（满载），采用IGBT整流方式，或12脉冲整流方式+有源滤波器，</w:t>
      </w:r>
      <w:r>
        <w:rPr>
          <w:rFonts w:hint="eastAsia" w:ascii="仿宋" w:hAnsi="仿宋" w:eastAsia="仿宋" w:cs="仿宋"/>
          <w:b/>
          <w:bCs/>
          <w:kern w:val="0"/>
          <w:sz w:val="28"/>
          <w:szCs w:val="28"/>
          <w:lang w:val="zh-CN"/>
        </w:rPr>
        <w:t>不允许采用无源滤波方式，提供相关原理说明并盖公章。</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功率软启动：一定时间内爬升到额定功率，时间可设定</w:t>
      </w:r>
      <w:r>
        <w:rPr>
          <w:rFonts w:hint="eastAsia" w:ascii="仿宋" w:hAnsi="仿宋" w:eastAsia="仿宋" w:cs="仿宋"/>
          <w:kern w:val="0"/>
          <w:sz w:val="28"/>
          <w:szCs w:val="28"/>
        </w:rPr>
        <w:t>。</w:t>
      </w:r>
    </w:p>
    <w:p>
      <w:pPr>
        <w:keepNext w:val="0"/>
        <w:keepLines w:val="0"/>
        <w:pageBreakBefore w:val="0"/>
        <w:numPr>
          <w:ilvl w:val="1"/>
          <w:numId w:val="4"/>
        </w:numPr>
        <w:tabs>
          <w:tab w:val="clear" w:pos="1107"/>
        </w:tabs>
        <w:kinsoku/>
        <w:wordWrap/>
        <w:overflowPunct/>
        <w:topLinePunct w:val="0"/>
        <w:autoSpaceDE w:val="0"/>
        <w:autoSpaceDN w:val="0"/>
        <w:bidi w:val="0"/>
        <w:adjustRightInd w:val="0"/>
        <w:snapToGrid w:val="0"/>
        <w:spacing w:line="240" w:lineRule="auto"/>
        <w:ind w:left="301" w:leftChars="0" w:hanging="301" w:hangingChars="107"/>
        <w:jc w:val="left"/>
        <w:textAlignment w:val="auto"/>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整流器输出指标</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额定电压：按产品技术条件</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稳定精度：±1%</w:t>
      </w:r>
    </w:p>
    <w:p>
      <w:pPr>
        <w:keepNext w:val="0"/>
        <w:keepLines w:val="0"/>
        <w:pageBreakBefore w:val="0"/>
        <w:numPr>
          <w:ilvl w:val="1"/>
          <w:numId w:val="4"/>
        </w:numPr>
        <w:tabs>
          <w:tab w:val="clear" w:pos="1107"/>
        </w:tabs>
        <w:kinsoku/>
        <w:wordWrap/>
        <w:overflowPunct/>
        <w:topLinePunct w:val="0"/>
        <w:autoSpaceDE w:val="0"/>
        <w:autoSpaceDN w:val="0"/>
        <w:bidi w:val="0"/>
        <w:adjustRightInd w:val="0"/>
        <w:snapToGrid w:val="0"/>
        <w:spacing w:line="240" w:lineRule="auto"/>
        <w:ind w:left="301" w:leftChars="0" w:hanging="301" w:hangingChars="107"/>
        <w:jc w:val="left"/>
        <w:textAlignment w:val="auto"/>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逆变器输出指标</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额定电压：380V（三相四线）</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电压可调范围：±5%</w:t>
      </w:r>
    </w:p>
    <w:p>
      <w:pPr>
        <w:keepNext w:val="0"/>
        <w:keepLines w:val="0"/>
        <w:pageBreakBefore w:val="0"/>
        <w:numPr>
          <w:ilvl w:val="2"/>
          <w:numId w:val="4"/>
        </w:numPr>
        <w:tabs>
          <w:tab w:val="left" w:pos="420"/>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额定频率：50Hz</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稳压精度：稳态≤±1%；瞬态≤±5%，请投标人提供泰尔测试报告，并写明应答数据在泰尔报告中页码、章节位置。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瞬态电压恢复时间: ≤20ms，请投标人提供泰尔测试报告，并写明应答数据在泰尔报告中页码、章节位置。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频率精度：±0.02%（内同步），请投标人提供泰尔测试报告，并写明应答数据在泰尔报告中页码、章节位置。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频率同步范围：±0.5、± 1、± 1.5、± 2Hz可调</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频率调节速度：0.1~1Hz/秒</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电压</w:t>
      </w:r>
      <w:r>
        <w:rPr>
          <w:rFonts w:hint="eastAsia" w:ascii="仿宋" w:hAnsi="仿宋" w:eastAsia="仿宋" w:cs="仿宋"/>
          <w:bCs/>
          <w:kern w:val="0"/>
          <w:sz w:val="28"/>
          <w:szCs w:val="28"/>
          <w:highlight w:val="none"/>
          <w:lang w:val="zh-CN"/>
        </w:rPr>
        <w:t>波型</w:t>
      </w:r>
      <w:r>
        <w:rPr>
          <w:rFonts w:hint="eastAsia" w:ascii="仿宋" w:hAnsi="仿宋" w:eastAsia="仿宋" w:cs="仿宋"/>
          <w:bCs/>
          <w:kern w:val="0"/>
          <w:sz w:val="28"/>
          <w:szCs w:val="28"/>
          <w:lang w:val="zh-CN"/>
        </w:rPr>
        <w:t>失真度：线性负载≤2%；非线性负载≤3%</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三相输出电压不平衡度：</w:t>
      </w:r>
      <w:r>
        <w:rPr>
          <w:rFonts w:hint="eastAsia" w:ascii="仿宋" w:hAnsi="仿宋" w:eastAsia="仿宋" w:cs="仿宋"/>
          <w:kern w:val="0"/>
          <w:sz w:val="28"/>
          <w:szCs w:val="28"/>
          <w:highlight w:val="none"/>
          <w:lang w:val="zh-CN"/>
        </w:rPr>
        <w:t>&lt;</w:t>
      </w:r>
      <w:r>
        <w:rPr>
          <w:rFonts w:hint="eastAsia" w:ascii="仿宋" w:hAnsi="仿宋" w:eastAsia="仿宋" w:cs="仿宋"/>
          <w:kern w:val="0"/>
          <w:sz w:val="28"/>
          <w:szCs w:val="28"/>
          <w:lang w:val="zh-CN"/>
        </w:rPr>
        <w:t xml:space="preserve">±1% </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w:t>
      </w:r>
      <w:r>
        <w:rPr>
          <w:rFonts w:hint="eastAsia" w:ascii="仿宋" w:hAnsi="仿宋" w:eastAsia="仿宋" w:cs="仿宋"/>
          <w:kern w:val="0"/>
          <w:sz w:val="28"/>
          <w:szCs w:val="28"/>
          <w:highlight w:val="none"/>
          <w:lang w:val="zh-CN"/>
        </w:rPr>
        <w:t>&lt;±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100%不平衡负载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三相输出电压相位偏移：±0.5度</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；±0.5度</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100％不平衡负载</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 xml:space="preserve"> ，请投标人提供泰尔测试报告，并写明应答数据在泰尔报告中页码、章节位置。</w:t>
      </w:r>
    </w:p>
    <w:p>
      <w:pPr>
        <w:keepNext w:val="0"/>
        <w:keepLines w:val="0"/>
        <w:pageBreakBefore w:val="0"/>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0" w:firstLineChars="93"/>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过载能力:60min</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110%额定电流</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；10min</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125%额定电流</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；60s</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150%额定电流</w:t>
      </w:r>
      <w:r>
        <w:rPr>
          <w:rFonts w:hint="eastAsia" w:ascii="仿宋" w:hAnsi="仿宋" w:eastAsia="仿宋" w:cs="仿宋"/>
          <w:kern w:val="0"/>
          <w:sz w:val="28"/>
          <w:szCs w:val="28"/>
          <w:highlight w:val="none"/>
          <w:lang w:val="zh-CN"/>
        </w:rPr>
        <w:t>)</w:t>
      </w:r>
    </w:p>
    <w:p>
      <w:pPr>
        <w:keepNext w:val="0"/>
        <w:keepLines w:val="0"/>
        <w:pageBreakBefore w:val="0"/>
        <w:widowControl/>
        <w:numPr>
          <w:ilvl w:val="2"/>
          <w:numId w:val="4"/>
        </w:numPr>
        <w:tabs>
          <w:tab w:val="clear" w:pos="1814"/>
        </w:tabs>
        <w:kinsoku/>
        <w:wordWrap/>
        <w:overflowPunct/>
        <w:topLinePunct w:val="0"/>
        <w:autoSpaceDE w:val="0"/>
        <w:autoSpaceDN w:val="0"/>
        <w:bidi w:val="0"/>
        <w:adjustRightInd w:val="0"/>
        <w:snapToGrid w:val="0"/>
        <w:spacing w:line="240" w:lineRule="auto"/>
        <w:ind w:left="223" w:leftChars="106" w:firstLine="261" w:firstLineChars="93"/>
        <w:jc w:val="left"/>
        <w:textAlignment w:val="auto"/>
        <w:rPr>
          <w:rFonts w:hint="eastAsia" w:ascii="仿宋" w:hAnsi="仿宋" w:eastAsia="仿宋" w:cs="仿宋"/>
          <w:b/>
          <w:kern w:val="0"/>
          <w:sz w:val="28"/>
          <w:szCs w:val="28"/>
          <w:lang w:val="zh-CN"/>
        </w:rPr>
      </w:pPr>
      <w:r>
        <w:rPr>
          <w:rFonts w:hint="eastAsia" w:ascii="仿宋" w:hAnsi="仿宋" w:eastAsia="仿宋" w:cs="仿宋"/>
          <w:b/>
          <w:sz w:val="28"/>
          <w:szCs w:val="28"/>
        </w:rPr>
        <w:t>▲</w:t>
      </w:r>
      <w:r>
        <w:rPr>
          <w:rFonts w:hint="eastAsia" w:ascii="仿宋" w:hAnsi="仿宋" w:eastAsia="仿宋" w:cs="仿宋"/>
          <w:b/>
          <w:kern w:val="0"/>
          <w:sz w:val="28"/>
          <w:szCs w:val="28"/>
          <w:lang w:val="zh-CN"/>
        </w:rPr>
        <w:t>输出功率因数：0.9，提供公开彩页并盖章证明</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301" w:leftChars="0" w:hanging="301" w:hangingChars="107"/>
        <w:jc w:val="left"/>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蓄电池充放电要求</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充放电：充电系统对蓄电池组进行自动浮充、均充转换，具有循环充电功能，当电池充满时，可自动选择关闭对电池充电，蓄电池组自动温度补偿及蓄电池组放电记录功能，具备电池深度放电充电保护功能和低波纹充电功能，具备电池周期检测功能。</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kern w:val="0"/>
          <w:sz w:val="28"/>
          <w:szCs w:val="28"/>
          <w:lang w:val="zh-CN"/>
        </w:rPr>
      </w:pPr>
      <w:r>
        <w:rPr>
          <w:rFonts w:hint="eastAsia" w:ascii="仿宋" w:hAnsi="仿宋" w:eastAsia="仿宋" w:cs="仿宋"/>
          <w:bCs/>
          <w:kern w:val="0"/>
          <w:sz w:val="28"/>
          <w:szCs w:val="28"/>
          <w:lang w:val="zh-CN"/>
        </w:rPr>
        <w:t>接线方式：采用正负两线连接，不接受带电池中线（带N线的三线）接线模式。</w:t>
      </w:r>
      <w:r>
        <w:rPr>
          <w:rFonts w:hint="eastAsia" w:ascii="仿宋" w:hAnsi="仿宋" w:eastAsia="仿宋" w:cs="仿宋"/>
          <w:sz w:val="28"/>
          <w:szCs w:val="28"/>
        </w:rPr>
        <w:t>详述</w:t>
      </w:r>
      <w:r>
        <w:rPr>
          <w:rFonts w:hint="eastAsia" w:ascii="仿宋" w:hAnsi="仿宋" w:eastAsia="仿宋" w:cs="仿宋"/>
          <w:kern w:val="0"/>
          <w:sz w:val="28"/>
          <w:szCs w:val="28"/>
          <w:lang w:val="zh-CN"/>
        </w:rPr>
        <w:t>蓄电池的连接方式，提供UPS与蓄电池组详细端子接入图并标明正负极。优选两线连接方式，避免因交流中性线与电池中心抽头连接时的交流纹波直接加在电池端，提高电池寿命和可靠性。</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UPS工作模式</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在线模式：当UPS输入市电正常时，整流器和逆变器均工作，逆变器输出高质量正弦波电源给负载供电，电池处于充电状态。</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260" w:firstLineChars="93"/>
        <w:jc w:val="left"/>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ECO模式：UPS应具有ECO工作模式，通常情况下，负荷是通过自动旁路供电，旁路输入不在范围（输入范围可设定）内时，切换回逆变器供电，效率不小于98%。</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噪声：≤6</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lang w:val="zh-CN"/>
        </w:rPr>
        <w:t>dB</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lang w:val="zh-CN"/>
        </w:rPr>
        <w:t>距离设备1米处</w:t>
      </w:r>
      <w:r>
        <w:rPr>
          <w:rFonts w:hint="eastAsia" w:ascii="仿宋" w:hAnsi="仿宋" w:eastAsia="仿宋" w:cs="仿宋"/>
          <w:kern w:val="0"/>
          <w:sz w:val="28"/>
          <w:szCs w:val="28"/>
          <w:highlight w:val="none"/>
          <w:lang w:val="zh-CN"/>
        </w:rPr>
        <w:t>)</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301" w:leftChars="0" w:hanging="301" w:hangingChars="107"/>
        <w:jc w:val="left"/>
        <w:rPr>
          <w:rFonts w:hint="eastAsia" w:ascii="仿宋" w:hAnsi="仿宋" w:eastAsia="仿宋" w:cs="仿宋"/>
          <w:b/>
          <w:kern w:val="0"/>
          <w:sz w:val="28"/>
          <w:szCs w:val="28"/>
          <w:lang w:val="zh-CN"/>
        </w:rPr>
      </w:pPr>
      <w:r>
        <w:rPr>
          <w:rFonts w:hint="eastAsia" w:ascii="仿宋" w:hAnsi="仿宋" w:eastAsia="仿宋" w:cs="仿宋"/>
          <w:b/>
          <w:kern w:val="0"/>
          <w:sz w:val="28"/>
          <w:szCs w:val="28"/>
          <w:lang w:val="zh-CN"/>
        </w:rPr>
        <w:t>★效率要求：</w:t>
      </w:r>
      <w:r>
        <w:rPr>
          <w:rFonts w:hint="eastAsia" w:ascii="仿宋" w:hAnsi="仿宋" w:eastAsia="仿宋" w:cs="仿宋"/>
          <w:b/>
          <w:sz w:val="28"/>
          <w:szCs w:val="28"/>
        </w:rPr>
        <w:t>正常模式时, ≥93%（满负荷），≥93.5%（50%负荷），经济模式时效率不低于98%，提供TLC报告证明在线模式下的效率值。</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静态开关指标</w:t>
      </w:r>
    </w:p>
    <w:p>
      <w:pPr>
        <w:pageBreakBefore w:val="0"/>
        <w:numPr>
          <w:ilvl w:val="0"/>
          <w:numId w:val="0"/>
        </w:numPr>
        <w:kinsoku/>
        <w:wordWrap/>
        <w:topLinePunct w:val="0"/>
        <w:autoSpaceDE w:val="0"/>
        <w:autoSpaceDN w:val="0"/>
        <w:bidi w:val="0"/>
        <w:adjustRightInd w:val="0"/>
        <w:snapToGrid w:val="0"/>
        <w:spacing w:line="24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转换时间：≤1ms</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301" w:leftChars="0" w:hanging="301" w:hangingChars="107"/>
        <w:jc w:val="left"/>
        <w:rPr>
          <w:rFonts w:hint="eastAsia" w:ascii="仿宋" w:hAnsi="仿宋" w:eastAsia="仿宋" w:cs="仿宋"/>
          <w:b/>
          <w:kern w:val="0"/>
          <w:sz w:val="28"/>
          <w:szCs w:val="28"/>
          <w:lang w:val="zh-CN"/>
        </w:rPr>
      </w:pPr>
      <w:r>
        <w:rPr>
          <w:rFonts w:hint="eastAsia" w:ascii="仿宋" w:hAnsi="仿宋" w:eastAsia="仿宋" w:cs="仿宋"/>
          <w:b/>
          <w:sz w:val="28"/>
          <w:szCs w:val="28"/>
        </w:rPr>
        <w:t>▲</w:t>
      </w:r>
      <w:r>
        <w:rPr>
          <w:rFonts w:hint="eastAsia" w:ascii="仿宋" w:hAnsi="仿宋" w:eastAsia="仿宋" w:cs="仿宋"/>
          <w:b/>
          <w:kern w:val="0"/>
          <w:sz w:val="28"/>
          <w:szCs w:val="28"/>
          <w:lang w:val="zh-CN"/>
        </w:rPr>
        <w:t>电磁干扰：符合IEC 62040-2标准要求，需提供EMC测试报告证明。</w:t>
      </w:r>
    </w:p>
    <w:p>
      <w:pPr>
        <w:pageBreakBefore w:val="0"/>
        <w:numPr>
          <w:ilvl w:val="1"/>
          <w:numId w:val="4"/>
        </w:numPr>
        <w:tabs>
          <w:tab w:val="clear" w:pos="1107"/>
        </w:tabs>
        <w:kinsoku/>
        <w:wordWrap/>
        <w:topLinePunct w:val="0"/>
        <w:autoSpaceDE w:val="0"/>
        <w:autoSpaceDN w:val="0"/>
        <w:bidi w:val="0"/>
        <w:adjustRightInd w:val="0"/>
        <w:snapToGrid w:val="0"/>
        <w:spacing w:line="240" w:lineRule="auto"/>
        <w:ind w:left="299" w:leftChars="0" w:hanging="299" w:hangingChars="107"/>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UPS应具有遥控、遥信、遥测功能，具有电池监测及保护系统。</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遥信内容包括：输入电源故障、整流器故障、 逆变器故障、工作方式（整流器、逆变器、旁路）、同步方式（内同步、外同步）、直流电压低、直流电压高。</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提供干接点接口和MODBUS</w:t>
      </w:r>
      <w:r>
        <w:rPr>
          <w:rFonts w:hint="eastAsia" w:ascii="仿宋" w:hAnsi="仿宋" w:eastAsia="仿宋" w:cs="仿宋"/>
          <w:kern w:val="0"/>
          <w:sz w:val="28"/>
          <w:szCs w:val="28"/>
          <w:highlight w:val="none"/>
          <w:lang w:val="zh-CN"/>
        </w:rPr>
        <w:t>通讯接口</w:t>
      </w:r>
      <w:r>
        <w:rPr>
          <w:rFonts w:hint="eastAsia" w:ascii="仿宋" w:hAnsi="仿宋" w:eastAsia="仿宋" w:cs="仿宋"/>
          <w:kern w:val="0"/>
          <w:sz w:val="28"/>
          <w:szCs w:val="28"/>
          <w:lang w:val="zh-CN"/>
        </w:rPr>
        <w:t>，以便进行设备集中监控。</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具有电池监测功能，可连续监测电池组，使其维持在能保护重要负载的良好状态。</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设备运行条件：</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环境温度：0-35℃</w:t>
      </w:r>
    </w:p>
    <w:p>
      <w:pPr>
        <w:pageBreakBefore w:val="0"/>
        <w:numPr>
          <w:ilvl w:val="2"/>
          <w:numId w:val="4"/>
        </w:numPr>
        <w:tabs>
          <w:tab w:val="clear" w:pos="1814"/>
        </w:tabs>
        <w:kinsoku/>
        <w:wordWrap/>
        <w:topLinePunct w:val="0"/>
        <w:autoSpaceDE w:val="0"/>
        <w:autoSpaceDN w:val="0"/>
        <w:bidi w:val="0"/>
        <w:adjustRightInd w:val="0"/>
        <w:snapToGrid w:val="0"/>
        <w:spacing w:line="240" w:lineRule="auto"/>
        <w:ind w:left="223" w:leftChars="106" w:firstLine="820" w:firstLineChars="293"/>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相对湿度：0%-95%（25℃，无凝露）</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bCs/>
          <w:sz w:val="28"/>
          <w:szCs w:val="28"/>
        </w:rPr>
      </w:pPr>
      <w:r>
        <w:rPr>
          <w:rFonts w:hint="eastAsia" w:ascii="仿宋" w:hAnsi="仿宋" w:eastAsia="仿宋" w:cs="仿宋"/>
          <w:bCs/>
          <w:sz w:val="28"/>
          <w:szCs w:val="28"/>
        </w:rPr>
        <w:t>UPS采用DSP全数字控制方式。</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UPS具有独立的控制系统，采用LED和LCD组合显示单元，便于使用及维修。</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UPS自带静态旁路和市电维修旁路，标准内置独立的输入开关和输出开关。</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647" w:leftChars="0" w:hanging="647" w:firstLineChars="0"/>
        <w:textAlignment w:val="baseline"/>
        <w:rPr>
          <w:rFonts w:hint="eastAsia" w:ascii="仿宋" w:hAnsi="仿宋" w:eastAsia="仿宋" w:cs="仿宋"/>
          <w:kern w:val="0"/>
          <w:sz w:val="28"/>
          <w:szCs w:val="28"/>
          <w:lang w:val="zh-CN"/>
        </w:rPr>
      </w:pPr>
      <w:r>
        <w:rPr>
          <w:rFonts w:hint="eastAsia" w:ascii="仿宋" w:hAnsi="仿宋" w:eastAsia="仿宋" w:cs="仿宋"/>
          <w:b/>
          <w:kern w:val="0"/>
          <w:sz w:val="28"/>
          <w:szCs w:val="28"/>
          <w:lang w:val="zh-CN"/>
        </w:rPr>
        <w:t>★</w:t>
      </w:r>
      <w:r>
        <w:rPr>
          <w:rFonts w:hint="eastAsia" w:ascii="仿宋" w:hAnsi="仿宋" w:eastAsia="仿宋" w:cs="仿宋"/>
          <w:b/>
          <w:bCs/>
          <w:kern w:val="0"/>
          <w:sz w:val="28"/>
          <w:szCs w:val="28"/>
          <w:lang w:val="zh-CN"/>
        </w:rPr>
        <w:t>UPS标配内置输出隔离变压器，不接受高频机输出接隔离变压器方式</w:t>
      </w:r>
      <w:r>
        <w:rPr>
          <w:rFonts w:hint="eastAsia" w:ascii="仿宋" w:hAnsi="仿宋" w:eastAsia="仿宋" w:cs="仿宋"/>
          <w:b/>
          <w:kern w:val="0"/>
          <w:sz w:val="28"/>
          <w:szCs w:val="28"/>
          <w:lang w:val="zh-CN"/>
        </w:rPr>
        <w:t>，提供原理拓扑图并盖章证明。</w:t>
      </w:r>
    </w:p>
    <w:p>
      <w:pPr>
        <w:pageBreakBefore w:val="0"/>
        <w:widowControl/>
        <w:numPr>
          <w:ilvl w:val="1"/>
          <w:numId w:val="4"/>
        </w:numPr>
        <w:tabs>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647" w:leftChars="0" w:hanging="647" w:firstLineChars="0"/>
        <w:textAlignment w:val="baseline"/>
        <w:rPr>
          <w:rFonts w:hint="eastAsia" w:ascii="仿宋" w:hAnsi="仿宋" w:eastAsia="仿宋" w:cs="仿宋"/>
          <w:bCs/>
          <w:kern w:val="0"/>
          <w:sz w:val="28"/>
          <w:szCs w:val="28"/>
          <w:lang w:val="zh-CN"/>
        </w:rPr>
      </w:pPr>
      <w:r>
        <w:rPr>
          <w:rFonts w:hint="eastAsia" w:ascii="仿宋" w:hAnsi="仿宋" w:eastAsia="仿宋" w:cs="仿宋"/>
          <w:kern w:val="0"/>
          <w:sz w:val="28"/>
          <w:szCs w:val="28"/>
          <w:lang w:val="zh-CN"/>
        </w:rPr>
        <w:t>采用模块化、板块化结构，便于维修、维护。</w:t>
      </w:r>
    </w:p>
    <w:p>
      <w:pPr>
        <w:pageBreakBefore w:val="0"/>
        <w:widowControl/>
        <w:numPr>
          <w:ilvl w:val="1"/>
          <w:numId w:val="4"/>
        </w:numPr>
        <w:tabs>
          <w:tab w:val="left" w:pos="640"/>
          <w:tab w:val="clear" w:pos="1107"/>
        </w:tabs>
        <w:kinsoku/>
        <w:wordWrap/>
        <w:overflowPunct w:val="0"/>
        <w:topLinePunct w:val="0"/>
        <w:autoSpaceDE w:val="0"/>
        <w:autoSpaceDN w:val="0"/>
        <w:bidi w:val="0"/>
        <w:adjustRightInd w:val="0"/>
        <w:snapToGrid w:val="0"/>
        <w:spacing w:before="100" w:beforeAutospacing="1" w:after="100" w:afterAutospacing="1" w:line="240" w:lineRule="auto"/>
        <w:ind w:left="299" w:leftChars="0" w:hanging="299" w:hangingChars="107"/>
        <w:textAlignment w:val="baseline"/>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保护功能：过压保护、低压保护、温度监控、过载、电池低压、断电等均由微处理器监控，自动进行处理。</w:t>
      </w:r>
    </w:p>
    <w:p>
      <w:pPr>
        <w:pStyle w:val="4"/>
        <w:pageBreakBefore w:val="0"/>
        <w:numPr>
          <w:ilvl w:val="0"/>
          <w:numId w:val="0"/>
        </w:numPr>
        <w:kinsoku/>
        <w:wordWrap/>
        <w:topLinePunct w:val="0"/>
        <w:bidi w:val="0"/>
        <w:adjustRightInd w:val="0"/>
        <w:snapToGrid w:val="0"/>
        <w:spacing w:line="24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2、蓄电池及电池柜（架）要求：</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.1蓄电池要求：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为保障UPS电源设备及负载安全可靠运行，对所选蓄电池的品牌做如下要求：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品牌为：汤浅、松下、施耐德、理士，配置的电池容量以满足UPS所带负载不低于</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0</w:t>
      </w:r>
      <w:r>
        <w:rPr>
          <w:rFonts w:hint="eastAsia" w:ascii="仿宋" w:hAnsi="仿宋" w:eastAsia="仿宋" w:cs="仿宋"/>
          <w:sz w:val="28"/>
          <w:szCs w:val="28"/>
        </w:rPr>
        <w:t>分钟。安装调试完成后，需对其进行带载放电试验，以满足其设计要求。每节蓄电池需要对其进行编号，电池两端需要安装绝缘帽。</w:t>
      </w:r>
      <w:r>
        <w:rPr>
          <w:rFonts w:hint="eastAsia" w:ascii="仿宋" w:hAnsi="仿宋" w:eastAsia="仿宋" w:cs="仿宋"/>
          <w:sz w:val="28"/>
          <w:szCs w:val="28"/>
          <w:lang w:val="en-US" w:eastAsia="zh-CN"/>
        </w:rPr>
        <w:t>蓄电池间的连接线缆采用铜排方式连接，蓄电池</w:t>
      </w:r>
      <w:r>
        <w:rPr>
          <w:rFonts w:hint="eastAsia" w:ascii="仿宋" w:hAnsi="仿宋" w:eastAsia="仿宋" w:cs="仿宋"/>
          <w:sz w:val="28"/>
          <w:szCs w:val="28"/>
          <w:highlight w:val="none"/>
          <w:lang w:val="en-US" w:eastAsia="zh-CN"/>
        </w:rPr>
        <w:t>组至</w:t>
      </w:r>
      <w:r>
        <w:rPr>
          <w:rFonts w:hint="eastAsia" w:ascii="仿宋" w:hAnsi="仿宋" w:eastAsia="仿宋" w:cs="仿宋"/>
          <w:sz w:val="28"/>
          <w:szCs w:val="28"/>
          <w:lang w:val="en-US" w:eastAsia="zh-CN"/>
        </w:rPr>
        <w:t>电池直流开关至UPS主机系统间采用线缆的连接方式。</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2.2电池柜（架）要求：</w:t>
      </w:r>
    </w:p>
    <w:p>
      <w:pPr>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 xml:space="preserve">    电池柜（架）需要根据现场空间进行定制，为解决日常的运行维护，电池柜（架）的层高必须满足足够的维护空间，能</w:t>
      </w:r>
      <w:r>
        <w:rPr>
          <w:rFonts w:hint="eastAsia" w:ascii="仿宋" w:hAnsi="仿宋" w:eastAsia="仿宋" w:cs="仿宋"/>
          <w:sz w:val="28"/>
          <w:szCs w:val="28"/>
          <w:lang w:val="en-US" w:eastAsia="zh-CN"/>
        </w:rPr>
        <w:t>安全</w:t>
      </w:r>
      <w:r>
        <w:rPr>
          <w:rFonts w:hint="eastAsia" w:ascii="仿宋" w:hAnsi="仿宋" w:eastAsia="仿宋" w:cs="仿宋"/>
          <w:sz w:val="28"/>
          <w:szCs w:val="28"/>
        </w:rPr>
        <w:t>实现对每节电池进行测量及维护。</w:t>
      </w:r>
    </w:p>
    <w:p>
      <w:pPr>
        <w:pStyle w:val="4"/>
        <w:pageBreakBefore w:val="0"/>
        <w:numPr>
          <w:ilvl w:val="0"/>
          <w:numId w:val="0"/>
        </w:numPr>
        <w:kinsoku/>
        <w:wordWrap/>
        <w:topLinePunct w:val="0"/>
        <w:bidi w:val="0"/>
        <w:adjustRightInd w:val="0"/>
        <w:snapToGrid w:val="0"/>
        <w:spacing w:line="24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3、配电产品要求：</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输入/输出配电箱、电池开关箱要求：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UPS系统设置机外维修旁路，以保障UPS系统故障、报废更换，负载能真正实现不停电运行操作。配电产品的开关均采用施耐德NSX系列开关。电池组开关必须采用施耐德直流开关。</w:t>
      </w:r>
    </w:p>
    <w:p>
      <w:pPr>
        <w:pStyle w:val="5"/>
        <w:pageBreakBefore w:val="0"/>
        <w:kinsoku/>
        <w:wordWrap/>
        <w:topLinePunct w:val="0"/>
        <w:bidi w:val="0"/>
        <w:adjustRightInd w:val="0"/>
        <w:snapToGrid w:val="0"/>
        <w:spacing w:line="24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UPS配线要求：</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UPS输入/输出电缆必须采用广州电缆厂等YJV型号的电力电缆。</w:t>
      </w:r>
    </w:p>
    <w:p>
      <w:pPr>
        <w:pStyle w:val="14"/>
        <w:pageBreakBefore w:val="0"/>
        <w:kinsoku/>
        <w:wordWrap/>
        <w:topLinePunct w:val="0"/>
        <w:bidi w:val="0"/>
        <w:adjustRightInd w:val="0"/>
        <w:snapToGrid w:val="0"/>
        <w:spacing w:line="240" w:lineRule="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（四）安装实施、质保及售后服务要求：</w:t>
      </w:r>
    </w:p>
    <w:p>
      <w:pPr>
        <w:pStyle w:val="4"/>
        <w:pageBreakBefore w:val="0"/>
        <w:kinsoku/>
        <w:wordWrap/>
        <w:topLinePunct w:val="0"/>
        <w:bidi w:val="0"/>
        <w:adjustRightInd w:val="0"/>
        <w:snapToGrid w:val="0"/>
        <w:spacing w:line="240" w:lineRule="auto"/>
        <w:ind w:left="0" w:leftChars="0" w:firstLine="492" w:firstLineChars="17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.1 </w:t>
      </w:r>
      <w:r>
        <w:rPr>
          <w:rFonts w:hint="eastAsia" w:ascii="仿宋" w:hAnsi="仿宋" w:eastAsia="仿宋" w:cs="仿宋"/>
          <w:sz w:val="28"/>
          <w:szCs w:val="28"/>
          <w:lang w:val="en-US" w:eastAsia="zh-CN"/>
        </w:rPr>
        <w:t>安装实施方案</w:t>
      </w:r>
    </w:p>
    <w:p>
      <w:pPr>
        <w:pStyle w:val="14"/>
        <w:pageBreakBefore w:val="0"/>
        <w:kinsoku/>
        <w:wordWrap/>
        <w:topLinePunct w:val="0"/>
        <w:bidi w:val="0"/>
        <w:adjustRightInd w:val="0"/>
        <w:snapToGrid w:val="0"/>
        <w:spacing w:line="24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供应商必须提供该项目完善的实施方案，包括但不限于对本项目涉及的设备安装、场地要求、设备承重、设备运输、设备搬运、设备的供配电等相关信息方案。供应商</w:t>
      </w:r>
      <w:r>
        <w:rPr>
          <w:rFonts w:hint="eastAsia" w:ascii="仿宋" w:hAnsi="仿宋" w:eastAsia="仿宋" w:cs="仿宋"/>
          <w:sz w:val="28"/>
          <w:szCs w:val="28"/>
        </w:rPr>
        <w:t>必须持有专业技术人员或厂家授权的工程师到现场安装，施工人员必须持有电工作业证。所有施工及安装必须符合国家标准或行业规范。安装调试好必须出具现场的安装调试报告，并由现场项目负责人签字并存档。调试报告必须包含UPS运行的各个参数记录，运行状态，并提供现场的工作图片存档，以便查验。</w:t>
      </w:r>
      <w:r>
        <w:rPr>
          <w:rFonts w:hint="eastAsia" w:ascii="仿宋" w:hAnsi="仿宋" w:eastAsia="仿宋" w:cs="仿宋"/>
          <w:sz w:val="28"/>
          <w:szCs w:val="28"/>
          <w:lang w:val="en-US" w:eastAsia="zh-CN"/>
        </w:rPr>
        <w:t>蓄电池必须提供现场测试的各个单体电池在的内阻、电压，包括蓄电池在UPS系统中不同工作状态（UPS系统放电状态中、UPS系统对蓄电池充电状态中、浮充状态中）的参数。</w:t>
      </w:r>
    </w:p>
    <w:p>
      <w:pPr>
        <w:pStyle w:val="4"/>
        <w:pageBreakBefore w:val="0"/>
        <w:kinsoku/>
        <w:wordWrap/>
        <w:topLinePunct w:val="0"/>
        <w:bidi w:val="0"/>
        <w:adjustRightInd w:val="0"/>
        <w:snapToGrid w:val="0"/>
        <w:spacing w:line="240" w:lineRule="auto"/>
        <w:ind w:left="0" w:leftChars="0" w:firstLine="492" w:firstLineChars="17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5.2质保及售后</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.2.1 保修及质保</w:t>
      </w:r>
    </w:p>
    <w:p>
      <w:pPr>
        <w:pageBreakBefore w:val="0"/>
        <w:kinsoku/>
        <w:wordWrap/>
        <w:topLinePunct w:val="0"/>
        <w:bidi w:val="0"/>
        <w:adjustRightInd w:val="0"/>
        <w:snapToGrid w:val="0"/>
        <w:spacing w:line="240" w:lineRule="auto"/>
        <w:ind w:firstLine="420"/>
        <w:rPr>
          <w:rFonts w:hint="eastAsia" w:ascii="仿宋" w:hAnsi="仿宋" w:eastAsia="仿宋" w:cs="仿宋"/>
          <w:sz w:val="28"/>
          <w:szCs w:val="28"/>
        </w:rPr>
      </w:pPr>
      <w:r>
        <w:rPr>
          <w:rFonts w:hint="eastAsia" w:ascii="仿宋" w:hAnsi="仿宋" w:eastAsia="仿宋" w:cs="仿宋"/>
          <w:sz w:val="28"/>
          <w:szCs w:val="28"/>
          <w:lang w:val="en-US" w:eastAsia="zh-CN"/>
        </w:rPr>
        <w:t>供应商必须提供</w:t>
      </w:r>
      <w:r>
        <w:rPr>
          <w:rFonts w:hint="eastAsia" w:ascii="仿宋" w:hAnsi="仿宋" w:eastAsia="仿宋" w:cs="仿宋"/>
          <w:sz w:val="28"/>
          <w:szCs w:val="28"/>
        </w:rPr>
        <w:t>UPS主机三年质保服务，</w:t>
      </w:r>
      <w:r>
        <w:rPr>
          <w:rFonts w:hint="eastAsia" w:ascii="仿宋" w:hAnsi="仿宋" w:eastAsia="仿宋" w:cs="仿宋"/>
          <w:sz w:val="28"/>
          <w:szCs w:val="28"/>
          <w:lang w:val="en-US" w:eastAsia="zh-CN"/>
        </w:rPr>
        <w:t>必须提供原厂质保承诺函或通过厂家官网、售后服务电话等方式查询确认三年质保服务为原厂质保服务。</w:t>
      </w:r>
      <w:r>
        <w:rPr>
          <w:rFonts w:hint="eastAsia" w:ascii="仿宋" w:hAnsi="仿宋" w:eastAsia="仿宋" w:cs="仿宋"/>
          <w:sz w:val="28"/>
          <w:szCs w:val="28"/>
        </w:rPr>
        <w:t>提供7*24小时的服务。每次的服务需要提供现场的工作照片存档，以便查验。</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5.2.2月度巡检</w:t>
      </w:r>
    </w:p>
    <w:p>
      <w:pPr>
        <w:pageBreakBefore w:val="0"/>
        <w:kinsoku/>
        <w:wordWrap/>
        <w:topLinePunct w:val="0"/>
        <w:bidi w:val="0"/>
        <w:adjustRightInd w:val="0"/>
        <w:snapToGrid w:val="0"/>
        <w:spacing w:line="240" w:lineRule="auto"/>
        <w:ind w:firstLine="420"/>
        <w:rPr>
          <w:rFonts w:hint="eastAsia" w:ascii="仿宋" w:hAnsi="仿宋" w:eastAsia="仿宋" w:cs="仿宋"/>
          <w:sz w:val="28"/>
          <w:szCs w:val="28"/>
        </w:rPr>
      </w:pPr>
      <w:r>
        <w:rPr>
          <w:rFonts w:hint="eastAsia" w:ascii="仿宋" w:hAnsi="仿宋" w:eastAsia="仿宋" w:cs="仿宋"/>
          <w:sz w:val="28"/>
          <w:szCs w:val="28"/>
        </w:rPr>
        <w:t>质保期内，</w:t>
      </w:r>
      <w:r>
        <w:rPr>
          <w:rFonts w:hint="eastAsia" w:ascii="仿宋" w:hAnsi="仿宋" w:eastAsia="仿宋" w:cs="仿宋"/>
          <w:sz w:val="28"/>
          <w:szCs w:val="28"/>
          <w:lang w:val="en-US" w:eastAsia="zh-CN"/>
        </w:rPr>
        <w:t>供应</w:t>
      </w:r>
      <w:r>
        <w:rPr>
          <w:rFonts w:hint="eastAsia" w:ascii="仿宋" w:hAnsi="仿宋" w:eastAsia="仿宋" w:cs="仿宋"/>
          <w:sz w:val="28"/>
          <w:szCs w:val="28"/>
        </w:rPr>
        <w:t>商需自设备开机投入运行之日起，每月对UPS运行状态及运行参数进行查看并记录，包括UPS的输入输出电压、频率、电流、负载电流，负载量变化等相关信息，以确保设备的正常运行。每月巡检服务需提供现场的工作照片存档，以便查验。</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5.2.3 季度巡检</w:t>
      </w:r>
    </w:p>
    <w:p>
      <w:pPr>
        <w:pageBreakBefore w:val="0"/>
        <w:kinsoku/>
        <w:wordWrap/>
        <w:topLinePunct w:val="0"/>
        <w:bidi w:val="0"/>
        <w:adjustRightInd w:val="0"/>
        <w:snapToGrid w:val="0"/>
        <w:spacing w:line="240" w:lineRule="auto"/>
        <w:ind w:firstLine="420"/>
        <w:rPr>
          <w:rFonts w:hint="eastAsia" w:ascii="仿宋" w:hAnsi="仿宋" w:eastAsia="仿宋" w:cs="仿宋"/>
          <w:sz w:val="28"/>
          <w:szCs w:val="28"/>
        </w:rPr>
      </w:pPr>
      <w:r>
        <w:rPr>
          <w:rFonts w:hint="eastAsia" w:ascii="仿宋" w:hAnsi="仿宋" w:eastAsia="仿宋" w:cs="仿宋"/>
          <w:sz w:val="28"/>
          <w:szCs w:val="28"/>
        </w:rPr>
        <w:t>质保期内，</w:t>
      </w:r>
      <w:r>
        <w:rPr>
          <w:rFonts w:hint="eastAsia" w:ascii="仿宋" w:hAnsi="仿宋" w:eastAsia="仿宋" w:cs="仿宋"/>
          <w:sz w:val="28"/>
          <w:szCs w:val="28"/>
          <w:lang w:val="en-US" w:eastAsia="zh-CN"/>
        </w:rPr>
        <w:t>供应</w:t>
      </w:r>
      <w:r>
        <w:rPr>
          <w:rFonts w:hint="eastAsia" w:ascii="仿宋" w:hAnsi="仿宋" w:eastAsia="仿宋" w:cs="仿宋"/>
          <w:sz w:val="28"/>
          <w:szCs w:val="28"/>
        </w:rPr>
        <w:t>商需自设备开机投入运行之日起，每三个月（每季度）需对UPS系统、蓄电池进行预防性巡检维保服务，包括对UPS主机进行检查、除尘、测量各运行参数、检查散热风扇；对UPS蓄电池进行各电池单体进行端电压、内阻、运行温度进行测量并记录形成报告。季度巡检工作需提供现场工作照片存档，以便查验。</w:t>
      </w:r>
    </w:p>
    <w:p>
      <w:pPr>
        <w:pStyle w:val="5"/>
        <w:pageBreakBefore w:val="0"/>
        <w:kinsoku/>
        <w:wordWrap/>
        <w:topLinePunct w:val="0"/>
        <w:bidi w:val="0"/>
        <w:adjustRightInd w:val="0"/>
        <w:snapToGrid w:val="0"/>
        <w:spacing w:line="240" w:lineRule="auto"/>
        <w:ind w:left="0" w:leftChars="0" w:firstLine="855" w:firstLineChars="3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5.2.4 年度维保</w:t>
      </w:r>
    </w:p>
    <w:p>
      <w:pPr>
        <w:pageBreakBefore w:val="0"/>
        <w:kinsoku/>
        <w:wordWrap/>
        <w:topLinePunct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 xml:space="preserve">    质保期内，</w:t>
      </w:r>
      <w:r>
        <w:rPr>
          <w:rFonts w:hint="eastAsia" w:ascii="仿宋" w:hAnsi="仿宋" w:eastAsia="仿宋" w:cs="仿宋"/>
          <w:sz w:val="28"/>
          <w:szCs w:val="28"/>
          <w:lang w:val="en-US" w:eastAsia="zh-CN"/>
        </w:rPr>
        <w:t>供应</w:t>
      </w:r>
      <w:r>
        <w:rPr>
          <w:rFonts w:hint="eastAsia" w:ascii="仿宋" w:hAnsi="仿宋" w:eastAsia="仿宋" w:cs="仿宋"/>
          <w:sz w:val="28"/>
          <w:szCs w:val="28"/>
        </w:rPr>
        <w:t>商需自设备开机投入运行之日起，每年需对UPS设备进行一次大的维保服务，停机转维修/机外旁路，对UPS主机的各连接线缆接头、蓄电池的连接等进行检查并紧固，并利用假负载对UPS主机系统及蓄电池进行核对性的带载放电试验，以保障UPS主机及蓄电池工作在最佳状态。放电试验必须提供各个单体蓄电池的内阻、电压以及运行温度等相关测试报告提交并存档。年度维保工作需提供现场工作照片存档，以便查验。</w:t>
      </w:r>
    </w:p>
    <w:p>
      <w:pPr>
        <w:pageBreakBefore w:val="0"/>
        <w:kinsoku/>
        <w:wordWrap/>
        <w:topLinePunct w:val="0"/>
        <w:bidi w:val="0"/>
        <w:adjustRightInd w:val="0"/>
        <w:snapToGrid w:val="0"/>
        <w:spacing w:line="240" w:lineRule="auto"/>
        <w:rPr>
          <w:rFonts w:hint="eastAsia" w:ascii="仿宋" w:hAnsi="仿宋" w:eastAsia="仿宋" w:cs="仿宋"/>
          <w:color w:val="FF0000"/>
          <w:sz w:val="28"/>
          <w:szCs w:val="28"/>
        </w:rPr>
      </w:pPr>
      <w:r>
        <w:rPr>
          <w:rFonts w:hint="eastAsia" w:ascii="仿宋" w:hAnsi="仿宋" w:eastAsia="仿宋" w:cs="仿宋"/>
          <w:color w:val="FF0000"/>
          <w:sz w:val="28"/>
          <w:szCs w:val="28"/>
        </w:rPr>
        <w:t>备注：技术参数中，</w:t>
      </w:r>
      <w:r>
        <w:rPr>
          <w:rFonts w:hint="eastAsia" w:ascii="仿宋" w:hAnsi="仿宋" w:eastAsia="仿宋" w:cs="仿宋"/>
          <w:color w:val="FF0000"/>
          <w:kern w:val="0"/>
          <w:sz w:val="28"/>
          <w:szCs w:val="28"/>
        </w:rPr>
        <w:t>★部分指标</w:t>
      </w:r>
      <w:r>
        <w:rPr>
          <w:rFonts w:hint="eastAsia" w:ascii="仿宋" w:hAnsi="仿宋" w:eastAsia="仿宋" w:cs="仿宋"/>
          <w:color w:val="FF0000"/>
          <w:kern w:val="0"/>
          <w:sz w:val="28"/>
          <w:szCs w:val="28"/>
          <w:highlight w:val="none"/>
        </w:rPr>
        <w:t>必须要</w:t>
      </w:r>
      <w:r>
        <w:rPr>
          <w:rFonts w:hint="eastAsia" w:ascii="仿宋" w:hAnsi="仿宋" w:eastAsia="仿宋" w:cs="仿宋"/>
          <w:color w:val="FF0000"/>
          <w:kern w:val="0"/>
          <w:sz w:val="28"/>
          <w:szCs w:val="28"/>
        </w:rPr>
        <w:t>满足；</w:t>
      </w:r>
      <w:r>
        <w:rPr>
          <w:rFonts w:hint="eastAsia" w:ascii="仿宋" w:hAnsi="仿宋" w:eastAsia="仿宋" w:cs="仿宋"/>
          <w:color w:val="FF0000"/>
          <w:sz w:val="28"/>
          <w:szCs w:val="28"/>
        </w:rPr>
        <w:t>▲部分指标为加分项。</w:t>
      </w: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pageBreakBefore w:val="0"/>
        <w:kinsoku/>
        <w:wordWrap/>
        <w:topLinePunct w:val="0"/>
        <w:bidi w:val="0"/>
        <w:adjustRightInd w:val="0"/>
        <w:snapToGrid w:val="0"/>
        <w:spacing w:line="240" w:lineRule="auto"/>
        <w:rPr>
          <w:rFonts w:hint="eastAsia" w:ascii="仿宋" w:hAnsi="仿宋" w:eastAsia="仿宋" w:cs="仿宋"/>
          <w:sz w:val="28"/>
          <w:szCs w:val="28"/>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工程量清单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bCs/>
          <w:i w:val="0"/>
          <w:caps w:val="0"/>
          <w:color w:val="000000"/>
          <w:spacing w:val="0"/>
          <w:sz w:val="32"/>
          <w:szCs w:val="32"/>
          <w:shd w:val="clear" w:fill="FFFFFF"/>
          <w:lang w:val="en-US" w:eastAsia="zh-CN"/>
        </w:rPr>
      </w:pPr>
    </w:p>
    <w:tbl>
      <w:tblPr>
        <w:tblStyle w:val="10"/>
        <w:tblW w:w="9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1990"/>
        <w:gridCol w:w="2408"/>
        <w:gridCol w:w="920"/>
        <w:gridCol w:w="720"/>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2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9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240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参考型号</w:t>
            </w:r>
          </w:p>
        </w:tc>
        <w:tc>
          <w:tcPr>
            <w:tcW w:w="92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225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990"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160KVA UPS主机</w:t>
            </w:r>
          </w:p>
        </w:tc>
        <w:tc>
          <w:tcPr>
            <w:tcW w:w="2408" w:type="dxa"/>
          </w:tcPr>
          <w:p>
            <w:pPr>
              <w:rPr>
                <w:rFonts w:hint="eastAsia" w:ascii="仿宋" w:hAnsi="仿宋" w:eastAsia="仿宋" w:cs="仿宋"/>
                <w:sz w:val="24"/>
                <w:szCs w:val="24"/>
              </w:rPr>
            </w:pPr>
            <w:r>
              <w:rPr>
                <w:rFonts w:hint="eastAsia" w:ascii="仿宋" w:hAnsi="仿宋" w:eastAsia="仿宋" w:cs="仿宋"/>
                <w:sz w:val="24"/>
                <w:szCs w:val="24"/>
                <w:lang w:val="en-US" w:eastAsia="zh-CN"/>
              </w:rPr>
              <w:t>D</w:t>
            </w:r>
            <w:r>
              <w:rPr>
                <w:rFonts w:hint="eastAsia" w:ascii="仿宋" w:hAnsi="仿宋" w:eastAsia="仿宋" w:cs="仿宋"/>
                <w:sz w:val="24"/>
                <w:szCs w:val="24"/>
              </w:rPr>
              <w:t>MP-160KVA/Hiplus-160KVA/</w:t>
            </w:r>
            <w:r>
              <w:rPr>
                <w:rFonts w:hint="eastAsia" w:ascii="仿宋" w:hAnsi="仿宋" w:eastAsia="仿宋" w:cs="仿宋"/>
                <w:sz w:val="24"/>
                <w:szCs w:val="24"/>
                <w:lang w:val="en-US" w:eastAsia="zh-CN"/>
              </w:rPr>
              <w:t>PWI</w:t>
            </w:r>
            <w:r>
              <w:rPr>
                <w:rFonts w:hint="eastAsia" w:ascii="仿宋" w:hAnsi="仿宋" w:eastAsia="仿宋" w:cs="仿宋"/>
                <w:sz w:val="24"/>
                <w:szCs w:val="24"/>
              </w:rPr>
              <w:t>-160KVA</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工业级工频机</w:t>
            </w:r>
          </w:p>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蓄电池</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汤浅NP系列/施耐德M2AL12系列/松下LC系列/理士DJM系列</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7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225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数量供参考，具体电池数量可根据UPS主机自行进行配置，需满足至少</w:t>
            </w:r>
            <w:r>
              <w:rPr>
                <w:rFonts w:hint="eastAsia" w:ascii="仿宋" w:hAnsi="仿宋" w:eastAsia="仿宋" w:cs="仿宋"/>
                <w:sz w:val="24"/>
                <w:szCs w:val="24"/>
                <w:lang w:val="en-US" w:eastAsia="zh-CN"/>
              </w:rPr>
              <w:t>30分钟</w:t>
            </w:r>
            <w:r>
              <w:rPr>
                <w:rFonts w:hint="eastAsia" w:ascii="仿宋" w:hAnsi="仿宋" w:eastAsia="仿宋" w:cs="仿宋"/>
                <w:sz w:val="24"/>
                <w:szCs w:val="24"/>
              </w:rPr>
              <w:t>的后备时间。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电池柜（架）</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根据现场空间进行定制</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需满足有足够的维护空间。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电池连线</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根据技术要求进行配置，电池需配置绝缘帽、电池编号等措施。</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电池间必须采用铜排连接方式。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8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90" w:type="dxa"/>
            <w:vAlign w:val="center"/>
          </w:tcPr>
          <w:p>
            <w:pPr>
              <w:ind w:firstLine="480" w:firstLineChars="200"/>
              <w:rPr>
                <w:rFonts w:hint="eastAsia" w:ascii="仿宋" w:hAnsi="仿宋" w:eastAsia="仿宋" w:cs="仿宋"/>
                <w:sz w:val="24"/>
                <w:szCs w:val="24"/>
              </w:rPr>
            </w:pPr>
            <w:r>
              <w:rPr>
                <w:rFonts w:hint="eastAsia" w:ascii="仿宋" w:hAnsi="仿宋" w:eastAsia="仿宋" w:cs="仿宋"/>
                <w:sz w:val="24"/>
                <w:szCs w:val="24"/>
              </w:rPr>
              <w:t>电池开关</w:t>
            </w:r>
          </w:p>
          <w:p>
            <w:pPr>
              <w:jc w:val="center"/>
              <w:rPr>
                <w:rFonts w:hint="eastAsia" w:ascii="仿宋" w:hAnsi="仿宋" w:eastAsia="仿宋" w:cs="仿宋"/>
                <w:sz w:val="24"/>
                <w:szCs w:val="24"/>
              </w:rPr>
            </w:pPr>
            <w:r>
              <w:rPr>
                <w:rFonts w:hint="eastAsia" w:ascii="仿宋" w:hAnsi="仿宋" w:eastAsia="仿宋" w:cs="仿宋"/>
                <w:sz w:val="24"/>
                <w:szCs w:val="24"/>
              </w:rPr>
              <w:t>（带开关箱）</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lang w:val="en-US" w:eastAsia="zh-CN"/>
              </w:rPr>
              <w:t>500</w:t>
            </w:r>
            <w:r>
              <w:rPr>
                <w:rFonts w:hint="eastAsia" w:ascii="仿宋" w:hAnsi="仿宋" w:eastAsia="仿宋" w:cs="仿宋"/>
                <w:sz w:val="24"/>
                <w:szCs w:val="24"/>
              </w:rPr>
              <w:t>A/3P*</w:t>
            </w:r>
            <w:r>
              <w:rPr>
                <w:rFonts w:hint="eastAsia" w:ascii="仿宋" w:hAnsi="仿宋" w:eastAsia="仿宋" w:cs="仿宋"/>
                <w:sz w:val="24"/>
                <w:szCs w:val="24"/>
                <w:lang w:val="en-US" w:eastAsia="zh-CN"/>
              </w:rPr>
              <w:t>1</w:t>
            </w:r>
            <w:r>
              <w:rPr>
                <w:rFonts w:hint="eastAsia" w:ascii="仿宋" w:hAnsi="仿宋" w:eastAsia="仿宋" w:cs="仿宋"/>
                <w:sz w:val="24"/>
                <w:szCs w:val="24"/>
              </w:rPr>
              <w:t>只直流</w:t>
            </w:r>
          </w:p>
          <w:p>
            <w:pPr>
              <w:jc w:val="left"/>
              <w:rPr>
                <w:rFonts w:hint="eastAsia" w:ascii="仿宋" w:hAnsi="仿宋" w:eastAsia="仿宋" w:cs="仿宋"/>
                <w:sz w:val="24"/>
                <w:szCs w:val="24"/>
              </w:rPr>
            </w:pPr>
            <w:r>
              <w:rPr>
                <w:rFonts w:hint="eastAsia" w:ascii="仿宋" w:hAnsi="仿宋" w:eastAsia="仿宋" w:cs="仿宋"/>
                <w:sz w:val="24"/>
                <w:szCs w:val="24"/>
              </w:rPr>
              <w:t>开关（施耐德NXS系列或ABB）</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必须为直流开关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9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辅材</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镀锌铁线槽、五金电工材料。</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990" w:type="dxa"/>
            <w:vAlign w:val="center"/>
          </w:tcPr>
          <w:p>
            <w:pPr>
              <w:rPr>
                <w:rFonts w:hint="eastAsia" w:ascii="仿宋" w:hAnsi="仿宋" w:eastAsia="仿宋" w:cs="仿宋"/>
                <w:sz w:val="24"/>
                <w:szCs w:val="24"/>
              </w:rPr>
            </w:pPr>
            <w:r>
              <w:rPr>
                <w:rFonts w:hint="eastAsia" w:ascii="仿宋" w:hAnsi="仿宋" w:eastAsia="仿宋" w:cs="仿宋"/>
                <w:sz w:val="24"/>
                <w:szCs w:val="24"/>
              </w:rPr>
              <w:t>质保期内维保服务</w:t>
            </w:r>
          </w:p>
        </w:tc>
        <w:tc>
          <w:tcPr>
            <w:tcW w:w="240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质保期内月度巡查、季度巡检、年度维护服务，确保UPS及其负载设备的安全稳定运行。</w:t>
            </w: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990" w:type="dxa"/>
            <w:vAlign w:val="center"/>
          </w:tcPr>
          <w:p>
            <w:pPr>
              <w:rPr>
                <w:rFonts w:hint="eastAsia" w:ascii="仿宋" w:hAnsi="仿宋" w:eastAsia="仿宋" w:cs="仿宋"/>
                <w:sz w:val="24"/>
                <w:szCs w:val="24"/>
              </w:rPr>
            </w:pPr>
            <w:r>
              <w:rPr>
                <w:rFonts w:hint="eastAsia" w:ascii="仿宋" w:hAnsi="仿宋" w:eastAsia="仿宋" w:cs="仿宋"/>
                <w:sz w:val="24"/>
                <w:szCs w:val="24"/>
              </w:rPr>
              <w:t>其他</w:t>
            </w:r>
          </w:p>
        </w:tc>
        <w:tc>
          <w:tcPr>
            <w:tcW w:w="2408" w:type="dxa"/>
            <w:vAlign w:val="center"/>
          </w:tcPr>
          <w:p>
            <w:pPr>
              <w:jc w:val="left"/>
              <w:rPr>
                <w:rFonts w:hint="eastAsia" w:ascii="仿宋" w:hAnsi="仿宋" w:eastAsia="仿宋" w:cs="仿宋"/>
                <w:sz w:val="24"/>
                <w:szCs w:val="24"/>
              </w:rPr>
            </w:pPr>
          </w:p>
        </w:tc>
        <w:tc>
          <w:tcPr>
            <w:tcW w:w="9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7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center"/>
              <w:rPr>
                <w:rFonts w:hint="eastAsia" w:ascii="仿宋" w:hAnsi="仿宋" w:eastAsia="仿宋" w:cs="仿宋"/>
                <w:sz w:val="24"/>
                <w:szCs w:val="24"/>
              </w:rPr>
            </w:pPr>
          </w:p>
        </w:tc>
      </w:tr>
    </w:tbl>
    <w:p>
      <w:pPr>
        <w:pageBreakBefore w:val="0"/>
        <w:kinsoku/>
        <w:wordWrap/>
        <w:topLinePunct w:val="0"/>
        <w:bidi w:val="0"/>
        <w:adjustRightInd w:val="0"/>
        <w:snapToGrid w:val="0"/>
        <w:spacing w:line="240" w:lineRule="auto"/>
        <w:ind w:firstLine="560" w:firstLineChars="200"/>
        <w:rPr>
          <w:rFonts w:hint="eastAsia" w:ascii="仿宋" w:hAnsi="仿宋" w:eastAsia="仿宋" w:cs="仿宋"/>
          <w:sz w:val="28"/>
          <w:szCs w:val="28"/>
        </w:rPr>
      </w:pPr>
    </w:p>
    <w:p>
      <w:pPr>
        <w:pageBreakBefore w:val="0"/>
        <w:kinsoku/>
        <w:wordWrap/>
        <w:topLinePunct w:val="0"/>
        <w:bidi w:val="0"/>
        <w:adjustRightInd w:val="0"/>
        <w:snapToGrid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以上工程量清单供参考，各供应商根据选型不同进行调整，但必须满足相关技术要求及现场实际安装、使用环境要求。</w:t>
      </w: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b/>
          <w:bCs/>
          <w:sz w:val="28"/>
          <w:szCs w:val="28"/>
          <w:lang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Chars="0"/>
        <w:jc w:val="center"/>
        <w:textAlignment w:val="auto"/>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工程类合同模板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i w:val="0"/>
          <w:caps w:val="0"/>
          <w:color w:val="000000"/>
          <w:spacing w:val="0"/>
          <w:sz w:val="32"/>
          <w:szCs w:val="32"/>
          <w:shd w:val="clear" w:fill="FFFFFF"/>
          <w:lang w:val="en-US" w:eastAsia="zh-CN"/>
        </w:rPr>
      </w:pPr>
    </w:p>
    <w:p>
      <w:pPr>
        <w:spacing w:line="500" w:lineRule="atLeast"/>
        <w:jc w:val="center"/>
        <w:rPr>
          <w:b/>
          <w:sz w:val="44"/>
        </w:rPr>
      </w:pPr>
      <w:r>
        <w:rPr>
          <w:rFonts w:hint="eastAsia"/>
          <w:b/>
          <w:sz w:val="44"/>
        </w:rPr>
        <w:t>工程施工合同</w:t>
      </w:r>
    </w:p>
    <w:p>
      <w:pPr>
        <w:spacing w:line="500" w:lineRule="atLeast"/>
        <w:ind w:right="1440"/>
        <w:jc w:val="center"/>
        <w:rPr>
          <w:sz w:val="24"/>
        </w:rPr>
      </w:pPr>
      <w:r>
        <w:rPr>
          <w:rFonts w:hint="eastAsia"/>
          <w:sz w:val="24"/>
        </w:rPr>
        <w:t>编号：</w:t>
      </w:r>
    </w:p>
    <w:p>
      <w:pPr>
        <w:spacing w:line="360" w:lineRule="auto"/>
        <w:rPr>
          <w:sz w:val="24"/>
        </w:rPr>
      </w:pPr>
      <w:r>
        <w:rPr>
          <w:rFonts w:hint="eastAsia"/>
          <w:b/>
          <w:sz w:val="24"/>
        </w:rPr>
        <w:t>发包人：</w:t>
      </w:r>
      <w:r>
        <w:rPr>
          <w:rFonts w:hint="eastAsia"/>
          <w:color w:val="000000"/>
          <w:sz w:val="24"/>
          <w:u w:val="single"/>
        </w:rPr>
        <w:t>广东省人民医院</w:t>
      </w:r>
      <w:r>
        <w:rPr>
          <w:rFonts w:hint="eastAsia"/>
          <w:sz w:val="24"/>
        </w:rPr>
        <w:t>（以下简称甲方）</w:t>
      </w:r>
    </w:p>
    <w:p>
      <w:pPr>
        <w:spacing w:line="360" w:lineRule="auto"/>
        <w:rPr>
          <w:sz w:val="24"/>
        </w:rPr>
      </w:pPr>
      <w:r>
        <w:rPr>
          <w:rFonts w:hint="eastAsia"/>
          <w:b/>
          <w:sz w:val="24"/>
        </w:rPr>
        <w:t>承包人：</w:t>
      </w:r>
      <w:r>
        <w:rPr>
          <w:rFonts w:hint="eastAsia"/>
          <w:sz w:val="24"/>
        </w:rPr>
        <w:t>（以下简称乙方）</w:t>
      </w:r>
    </w:p>
    <w:p>
      <w:pPr>
        <w:spacing w:line="360" w:lineRule="auto"/>
        <w:ind w:firstLine="480" w:firstLineChars="200"/>
        <w:rPr>
          <w:sz w:val="24"/>
        </w:rPr>
      </w:pPr>
    </w:p>
    <w:p>
      <w:pPr>
        <w:spacing w:line="360" w:lineRule="auto"/>
        <w:ind w:firstLine="480" w:firstLineChars="200"/>
        <w:rPr>
          <w:sz w:val="24"/>
        </w:rPr>
      </w:pPr>
      <w:r>
        <w:rPr>
          <w:rFonts w:hint="eastAsia"/>
          <w:sz w:val="24"/>
        </w:rPr>
        <w:t>甲、乙双方根据广东省人民医院项目发包给乙方进行施工、调试。为保障双方的权益，确保工程的施工质量和工程进度，使之尽快竣工投产，经过友好协商，按照《中华人民共和国合同法》等有关规定，结合本工程的具体情况，就本合同规定的</w:t>
      </w:r>
      <w:r>
        <w:rPr>
          <w:rFonts w:hint="eastAsia" w:eastAsia="文鼎CS楷体"/>
          <w:sz w:val="24"/>
        </w:rPr>
        <w:t>系统</w:t>
      </w:r>
      <w:r>
        <w:rPr>
          <w:rFonts w:hint="eastAsia"/>
          <w:sz w:val="24"/>
        </w:rPr>
        <w:t>工程项目达成一致，同意签订本合同。</w:t>
      </w:r>
    </w:p>
    <w:p>
      <w:pPr>
        <w:numPr>
          <w:ilvl w:val="0"/>
          <w:numId w:val="5"/>
        </w:numPr>
        <w:spacing w:line="500" w:lineRule="atLeast"/>
        <w:rPr>
          <w:b/>
          <w:sz w:val="24"/>
        </w:rPr>
      </w:pPr>
      <w:r>
        <w:rPr>
          <w:rFonts w:hint="eastAsia"/>
          <w:b/>
          <w:sz w:val="24"/>
        </w:rPr>
        <w:t>工程名称及地点</w:t>
      </w:r>
    </w:p>
    <w:p>
      <w:pPr>
        <w:numPr>
          <w:ilvl w:val="1"/>
          <w:numId w:val="5"/>
        </w:numPr>
        <w:spacing w:line="500" w:lineRule="atLeast"/>
        <w:rPr>
          <w:sz w:val="24"/>
        </w:rPr>
      </w:pPr>
      <w:r>
        <w:rPr>
          <w:rFonts w:hint="eastAsia"/>
          <w:sz w:val="24"/>
        </w:rPr>
        <w:t>工程名称：。</w:t>
      </w:r>
    </w:p>
    <w:p>
      <w:pPr>
        <w:numPr>
          <w:ilvl w:val="1"/>
          <w:numId w:val="5"/>
        </w:numPr>
        <w:spacing w:line="500" w:lineRule="atLeast"/>
        <w:rPr>
          <w:b/>
          <w:sz w:val="24"/>
        </w:rPr>
      </w:pPr>
      <w:r>
        <w:rPr>
          <w:rFonts w:hint="eastAsia"/>
          <w:sz w:val="24"/>
        </w:rPr>
        <w:t>工程地点：。</w:t>
      </w:r>
    </w:p>
    <w:p>
      <w:pPr>
        <w:numPr>
          <w:ilvl w:val="0"/>
          <w:numId w:val="5"/>
        </w:numPr>
        <w:spacing w:line="360" w:lineRule="auto"/>
        <w:rPr>
          <w:b/>
          <w:sz w:val="24"/>
        </w:rPr>
      </w:pPr>
      <w:r>
        <w:rPr>
          <w:rFonts w:hint="eastAsia"/>
          <w:b/>
          <w:sz w:val="24"/>
        </w:rPr>
        <w:t>工程范围、内容</w:t>
      </w:r>
    </w:p>
    <w:p>
      <w:pPr>
        <w:spacing w:line="360" w:lineRule="auto"/>
        <w:ind w:firstLine="480" w:firstLineChars="200"/>
        <w:rPr>
          <w:sz w:val="24"/>
        </w:rPr>
      </w:pPr>
      <w:r>
        <w:rPr>
          <w:rFonts w:hint="eastAsia"/>
          <w:sz w:val="24"/>
        </w:rPr>
        <w:t>工程范围工程内容：</w:t>
      </w:r>
    </w:p>
    <w:p>
      <w:pPr>
        <w:spacing w:line="360" w:lineRule="auto"/>
        <w:ind w:firstLine="480" w:firstLineChars="200"/>
        <w:rPr>
          <w:sz w:val="24"/>
        </w:rPr>
      </w:pPr>
      <w:r>
        <w:rPr>
          <w:rFonts w:hint="eastAsia"/>
          <w:sz w:val="24"/>
        </w:rPr>
        <w:t>1、详见附表清单；</w:t>
      </w:r>
      <w:r>
        <w:rPr>
          <w:b/>
          <w:sz w:val="24"/>
        </w:rPr>
        <w:tab/>
      </w:r>
    </w:p>
    <w:p>
      <w:pPr>
        <w:numPr>
          <w:ilvl w:val="0"/>
          <w:numId w:val="5"/>
        </w:numPr>
        <w:spacing w:line="500" w:lineRule="atLeast"/>
        <w:rPr>
          <w:b/>
          <w:sz w:val="24"/>
        </w:rPr>
      </w:pPr>
      <w:r>
        <w:rPr>
          <w:rFonts w:hint="eastAsia"/>
          <w:b/>
          <w:sz w:val="24"/>
        </w:rPr>
        <w:t>合同价款</w:t>
      </w:r>
    </w:p>
    <w:p>
      <w:pPr>
        <w:numPr>
          <w:ilvl w:val="1"/>
          <w:numId w:val="5"/>
        </w:numPr>
        <w:tabs>
          <w:tab w:val="left" w:pos="851"/>
          <w:tab w:val="clear" w:pos="1140"/>
        </w:tabs>
        <w:spacing w:line="500" w:lineRule="atLeast"/>
        <w:ind w:left="851" w:hanging="431"/>
        <w:rPr>
          <w:sz w:val="24"/>
        </w:rPr>
      </w:pPr>
      <w:r>
        <w:rPr>
          <w:rFonts w:hint="eastAsia"/>
          <w:sz w:val="24"/>
        </w:rPr>
        <w:t>工程暂定总价为人民币元 （大写：），具体价格见附件（所列单价已包括供货、运输、安装、调试、人工、税费等一切费用）。合同价款包括双方议定的预算中的所有工作，工程结算时按发包人审定的实际发生量乘以单价结算。</w:t>
      </w:r>
    </w:p>
    <w:p>
      <w:pPr>
        <w:numPr>
          <w:ilvl w:val="1"/>
          <w:numId w:val="5"/>
        </w:numPr>
        <w:tabs>
          <w:tab w:val="left" w:pos="851"/>
          <w:tab w:val="clear" w:pos="1140"/>
        </w:tabs>
        <w:spacing w:line="500" w:lineRule="atLeast"/>
        <w:ind w:left="851" w:hanging="431"/>
        <w:rPr>
          <w:sz w:val="24"/>
        </w:rPr>
      </w:pPr>
      <w:r>
        <w:rPr>
          <w:rFonts w:hint="eastAsia"/>
          <w:sz w:val="24"/>
        </w:rPr>
        <w:t>工程结算时，因甲方要求，产生合同以外的工程量或出现部分工程内容变更的，按甲方结算审核价予以结算，原则上工程结算价不得超出原工程预算价（合同总价）的1</w:t>
      </w:r>
      <w:r>
        <w:rPr>
          <w:sz w:val="24"/>
        </w:rPr>
        <w:t>0</w:t>
      </w:r>
      <w:r>
        <w:rPr>
          <w:rFonts w:hint="eastAsia"/>
          <w:sz w:val="24"/>
        </w:rPr>
        <w:t>%。变更项目合同中有单价的（或经甲方审批的报价单中有单价的），套用合同单价（或经甲方审批的报价单中的单价）；变更项目合同中没有单价的，双方可按材料认证单或双方议定的单价或计价方法进行定价。</w:t>
      </w:r>
    </w:p>
    <w:p>
      <w:pPr>
        <w:numPr>
          <w:ilvl w:val="0"/>
          <w:numId w:val="5"/>
        </w:numPr>
        <w:spacing w:line="500" w:lineRule="atLeast"/>
        <w:rPr>
          <w:b/>
          <w:sz w:val="24"/>
        </w:rPr>
      </w:pPr>
      <w:r>
        <w:rPr>
          <w:rFonts w:hint="eastAsia"/>
          <w:b/>
          <w:sz w:val="24"/>
        </w:rPr>
        <w:t>工期</w:t>
      </w:r>
    </w:p>
    <w:p>
      <w:pPr>
        <w:numPr>
          <w:ilvl w:val="1"/>
          <w:numId w:val="6"/>
        </w:numPr>
        <w:tabs>
          <w:tab w:val="left" w:pos="851"/>
        </w:tabs>
        <w:spacing w:line="500" w:lineRule="atLeast"/>
        <w:ind w:left="851" w:hanging="431"/>
        <w:rPr>
          <w:sz w:val="24"/>
        </w:rPr>
      </w:pPr>
      <w:r>
        <w:rPr>
          <w:rFonts w:hint="eastAsia"/>
          <w:sz w:val="24"/>
          <w:szCs w:val="22"/>
        </w:rPr>
        <w:t>工期：甲方发出施工指令后个日历日，施工人完成包括清单中所涉及的所有硬件设备、材料的供货、运</w:t>
      </w:r>
      <w:r>
        <w:rPr>
          <w:rFonts w:hint="eastAsia"/>
          <w:sz w:val="24"/>
        </w:rPr>
        <w:t>输、安装、调试等全部工作</w:t>
      </w:r>
      <w:r>
        <w:rPr>
          <w:rFonts w:hint="eastAsia"/>
          <w:sz w:val="24"/>
          <w:szCs w:val="22"/>
        </w:rPr>
        <w:t>）</w:t>
      </w:r>
      <w:r>
        <w:rPr>
          <w:rFonts w:hint="eastAsia"/>
          <w:sz w:val="24"/>
        </w:rPr>
        <w:t>；</w:t>
      </w:r>
    </w:p>
    <w:p>
      <w:pPr>
        <w:numPr>
          <w:ilvl w:val="1"/>
          <w:numId w:val="6"/>
        </w:numPr>
        <w:tabs>
          <w:tab w:val="left" w:pos="851"/>
          <w:tab w:val="clear" w:pos="1140"/>
        </w:tabs>
        <w:spacing w:line="500" w:lineRule="atLeast"/>
        <w:ind w:left="851" w:hanging="431"/>
        <w:rPr>
          <w:sz w:val="24"/>
        </w:rPr>
      </w:pPr>
      <w:r>
        <w:rPr>
          <w:rFonts w:hint="eastAsia"/>
          <w:sz w:val="24"/>
        </w:rPr>
        <w:t>验收日期；整体验收不迟于工程竣工后10个工作日；</w:t>
      </w:r>
    </w:p>
    <w:p>
      <w:pPr>
        <w:numPr>
          <w:ilvl w:val="1"/>
          <w:numId w:val="6"/>
        </w:numPr>
        <w:tabs>
          <w:tab w:val="left" w:pos="851"/>
          <w:tab w:val="clear" w:pos="1140"/>
        </w:tabs>
        <w:spacing w:line="500" w:lineRule="atLeast"/>
        <w:ind w:left="851" w:hanging="431"/>
        <w:rPr>
          <w:sz w:val="24"/>
        </w:rPr>
      </w:pPr>
      <w:r>
        <w:rPr>
          <w:rFonts w:hint="eastAsia"/>
          <w:sz w:val="24"/>
        </w:rPr>
        <w:t>如工程项目增加或发生大的变更，双方可重新议定工期，该议定的日期以甲乙双方书面确定为准。</w:t>
      </w:r>
    </w:p>
    <w:p>
      <w:pPr>
        <w:numPr>
          <w:ilvl w:val="0"/>
          <w:numId w:val="5"/>
        </w:numPr>
        <w:spacing w:line="500" w:lineRule="atLeast"/>
        <w:rPr>
          <w:b/>
          <w:sz w:val="24"/>
        </w:rPr>
      </w:pPr>
      <w:r>
        <w:rPr>
          <w:rFonts w:hint="eastAsia"/>
          <w:b/>
          <w:sz w:val="24"/>
        </w:rPr>
        <w:t>工程质量</w:t>
      </w:r>
    </w:p>
    <w:p>
      <w:pPr>
        <w:spacing w:line="500" w:lineRule="atLeast"/>
        <w:rPr>
          <w:sz w:val="24"/>
        </w:rPr>
      </w:pPr>
      <w:r>
        <w:rPr>
          <w:rFonts w:hint="eastAsia"/>
          <w:sz w:val="24"/>
        </w:rPr>
        <w:t xml:space="preserve">   本工程的质量等级为合格，乙方提供的产品需满足甲方的技术参数要求，必须与现有设备配套，严格按照清单要求供货，并保证本项目验收合格。</w:t>
      </w:r>
    </w:p>
    <w:p>
      <w:pPr>
        <w:spacing w:line="500" w:lineRule="atLeast"/>
        <w:ind w:firstLine="480" w:firstLineChars="200"/>
        <w:rPr>
          <w:sz w:val="24"/>
          <w:szCs w:val="22"/>
        </w:rPr>
      </w:pPr>
      <w:r>
        <w:rPr>
          <w:rFonts w:hint="eastAsia"/>
          <w:sz w:val="24"/>
          <w:szCs w:val="22"/>
        </w:rPr>
        <w:t>施工人应严格遵守国家、省有关工程质量和施工安全的法律、标准与规范等规定，认真履行合同约定的工程质量和施工安全的职责和义务。</w:t>
      </w:r>
    </w:p>
    <w:p>
      <w:pPr>
        <w:spacing w:line="500" w:lineRule="atLeast"/>
        <w:rPr>
          <w:sz w:val="24"/>
          <w:szCs w:val="22"/>
        </w:rPr>
      </w:pPr>
      <w:r>
        <w:rPr>
          <w:rFonts w:hint="eastAsia"/>
          <w:sz w:val="24"/>
          <w:szCs w:val="22"/>
        </w:rPr>
        <w:t xml:space="preserve">    乙方应对合同工程质量和施工安全负责，严格执行国家、省有关工程质量和施工安全的操作规程及管理要求，按照施工设计图纸和施工技术标准施工，不得偷工减料，不得擅自修改施工设计图纸，确保合同工程质量和施工安全。工程质量验收，按照国家或行业的质量验收标准执行。</w:t>
      </w:r>
    </w:p>
    <w:p>
      <w:pPr>
        <w:spacing w:line="500" w:lineRule="atLeast"/>
        <w:rPr>
          <w:sz w:val="24"/>
          <w:szCs w:val="22"/>
        </w:rPr>
      </w:pPr>
      <w:r>
        <w:rPr>
          <w:rFonts w:hint="eastAsia"/>
          <w:sz w:val="24"/>
          <w:szCs w:val="22"/>
        </w:rPr>
        <w:t xml:space="preserve">    乙方负责采购材料和工程设备的，应按照标准与规范、设计要求和合同约定的要求采购，乙方采购招标工程的材料和工程设备，应与其提交的投标文件相应内容一致。材料及设备进场，应根据甲方要求，提交材料设备进场报审表（附产品质量合格证明文件），由甲方审核后方可使用。</w:t>
      </w:r>
    </w:p>
    <w:p>
      <w:pPr>
        <w:spacing w:line="500" w:lineRule="atLeast"/>
        <w:rPr>
          <w:sz w:val="24"/>
        </w:rPr>
      </w:pPr>
    </w:p>
    <w:p>
      <w:pPr>
        <w:numPr>
          <w:ilvl w:val="0"/>
          <w:numId w:val="5"/>
        </w:numPr>
        <w:spacing w:line="500" w:lineRule="atLeast"/>
        <w:rPr>
          <w:b/>
          <w:sz w:val="24"/>
        </w:rPr>
      </w:pPr>
      <w:r>
        <w:rPr>
          <w:rFonts w:hint="eastAsia"/>
          <w:b/>
          <w:sz w:val="24"/>
        </w:rPr>
        <w:t>甲方权利、义务</w:t>
      </w:r>
    </w:p>
    <w:p>
      <w:pPr>
        <w:numPr>
          <w:ilvl w:val="0"/>
          <w:numId w:val="7"/>
        </w:numPr>
        <w:tabs>
          <w:tab w:val="left" w:pos="851"/>
          <w:tab w:val="clear" w:pos="1140"/>
        </w:tabs>
        <w:spacing w:line="500" w:lineRule="atLeast"/>
        <w:rPr>
          <w:sz w:val="24"/>
          <w:u w:val="single"/>
        </w:rPr>
      </w:pPr>
      <w:r>
        <w:rPr>
          <w:rFonts w:hint="eastAsia"/>
          <w:sz w:val="24"/>
        </w:rPr>
        <w:t>指定工地代表协调工程的有关事宜，办理有关手续，监督工程质量和进度。</w:t>
      </w:r>
    </w:p>
    <w:p>
      <w:pPr>
        <w:numPr>
          <w:ilvl w:val="0"/>
          <w:numId w:val="7"/>
        </w:numPr>
        <w:tabs>
          <w:tab w:val="left" w:pos="851"/>
          <w:tab w:val="clear" w:pos="1140"/>
        </w:tabs>
        <w:spacing w:line="500" w:lineRule="atLeast"/>
        <w:rPr>
          <w:sz w:val="24"/>
          <w:u w:val="single"/>
        </w:rPr>
      </w:pPr>
      <w:r>
        <w:rPr>
          <w:rFonts w:hint="eastAsia"/>
          <w:sz w:val="24"/>
        </w:rPr>
        <w:t>向乙方提供工地现场的用电用水等必要条件；</w:t>
      </w:r>
    </w:p>
    <w:p>
      <w:pPr>
        <w:numPr>
          <w:ilvl w:val="0"/>
          <w:numId w:val="7"/>
        </w:numPr>
        <w:tabs>
          <w:tab w:val="left" w:pos="851"/>
          <w:tab w:val="clear" w:pos="1140"/>
        </w:tabs>
        <w:spacing w:line="500" w:lineRule="atLeast"/>
        <w:rPr>
          <w:sz w:val="24"/>
        </w:rPr>
      </w:pPr>
      <w:r>
        <w:rPr>
          <w:rFonts w:hint="eastAsia"/>
          <w:sz w:val="24"/>
        </w:rPr>
        <w:t>协助乙方进行调试、试运行及验收工作；</w:t>
      </w:r>
    </w:p>
    <w:p>
      <w:pPr>
        <w:numPr>
          <w:ilvl w:val="0"/>
          <w:numId w:val="7"/>
        </w:numPr>
        <w:tabs>
          <w:tab w:val="left" w:pos="851"/>
          <w:tab w:val="clear" w:pos="1140"/>
        </w:tabs>
        <w:spacing w:line="500" w:lineRule="atLeast"/>
        <w:rPr>
          <w:sz w:val="24"/>
          <w:u w:val="single"/>
        </w:rPr>
      </w:pPr>
      <w:r>
        <w:rPr>
          <w:rFonts w:hint="eastAsia"/>
          <w:sz w:val="24"/>
        </w:rPr>
        <w:t>按时向乙方支付工程款项。</w:t>
      </w:r>
    </w:p>
    <w:p>
      <w:pPr>
        <w:numPr>
          <w:ilvl w:val="0"/>
          <w:numId w:val="5"/>
        </w:numPr>
        <w:spacing w:line="500" w:lineRule="atLeast"/>
        <w:rPr>
          <w:b/>
          <w:sz w:val="24"/>
        </w:rPr>
      </w:pPr>
      <w:r>
        <w:rPr>
          <w:rFonts w:hint="eastAsia"/>
          <w:b/>
          <w:sz w:val="24"/>
        </w:rPr>
        <w:t>乙方权利、义务</w:t>
      </w:r>
    </w:p>
    <w:p>
      <w:pPr>
        <w:numPr>
          <w:ilvl w:val="0"/>
          <w:numId w:val="8"/>
        </w:numPr>
        <w:tabs>
          <w:tab w:val="left" w:pos="851"/>
          <w:tab w:val="clear" w:pos="1140"/>
        </w:tabs>
        <w:spacing w:line="500" w:lineRule="atLeast"/>
        <w:ind w:left="851" w:hanging="431"/>
        <w:rPr>
          <w:sz w:val="24"/>
        </w:rPr>
      </w:pPr>
      <w:r>
        <w:rPr>
          <w:rFonts w:hint="eastAsia"/>
          <w:sz w:val="24"/>
        </w:rPr>
        <w:t xml:space="preserve">按要求完成设备材料的供货、安装、调试、验收工作； </w:t>
      </w:r>
    </w:p>
    <w:p>
      <w:pPr>
        <w:numPr>
          <w:ilvl w:val="0"/>
          <w:numId w:val="8"/>
        </w:numPr>
        <w:tabs>
          <w:tab w:val="left" w:pos="851"/>
          <w:tab w:val="clear" w:pos="1140"/>
        </w:tabs>
        <w:spacing w:line="500" w:lineRule="atLeast"/>
        <w:ind w:left="851" w:hanging="431"/>
        <w:rPr>
          <w:sz w:val="24"/>
        </w:rPr>
      </w:pPr>
      <w:r>
        <w:rPr>
          <w:rFonts w:hint="eastAsia"/>
          <w:sz w:val="24"/>
        </w:rPr>
        <w:t>由乙方提供的设备、材料必须按有关规定提供质量合格证书和样品（如甲方明确表示不必要可不提供），由于材料的质量原因造成的工程质量不合格，由乙方负全部责任，并承担返工的费用；</w:t>
      </w:r>
    </w:p>
    <w:p>
      <w:pPr>
        <w:numPr>
          <w:ilvl w:val="0"/>
          <w:numId w:val="8"/>
        </w:numPr>
        <w:tabs>
          <w:tab w:val="left" w:pos="851"/>
          <w:tab w:val="clear" w:pos="1140"/>
        </w:tabs>
        <w:spacing w:line="500" w:lineRule="atLeast"/>
        <w:ind w:left="851" w:hanging="431"/>
        <w:rPr>
          <w:sz w:val="24"/>
        </w:rPr>
      </w:pPr>
      <w:r>
        <w:rPr>
          <w:rFonts w:hint="eastAsia"/>
          <w:sz w:val="24"/>
        </w:rPr>
        <w:t>承担工程保修责任。</w:t>
      </w:r>
    </w:p>
    <w:p>
      <w:pPr>
        <w:numPr>
          <w:ilvl w:val="0"/>
          <w:numId w:val="8"/>
        </w:numPr>
        <w:tabs>
          <w:tab w:val="left" w:pos="851"/>
          <w:tab w:val="clear" w:pos="1140"/>
        </w:tabs>
        <w:spacing w:line="500" w:lineRule="atLeast"/>
        <w:ind w:left="851" w:hanging="431"/>
        <w:rPr>
          <w:sz w:val="24"/>
          <w:szCs w:val="22"/>
        </w:rPr>
      </w:pPr>
      <w:r>
        <w:rPr>
          <w:rFonts w:hint="eastAsia"/>
          <w:sz w:val="24"/>
          <w:szCs w:val="22"/>
        </w:rPr>
        <w:t>开工前，乙方需编制施工方案、质量及安全保障体系方案、工程进度计划方案，明确人员、职责、制度、措施及要求；乙方须与甲方指定项目负责人提前沟通工程开工前相关准备事宜，得到许可（开工通知）后方可入场施工。</w:t>
      </w:r>
    </w:p>
    <w:p>
      <w:pPr>
        <w:numPr>
          <w:ilvl w:val="0"/>
          <w:numId w:val="8"/>
        </w:numPr>
        <w:tabs>
          <w:tab w:val="left" w:pos="851"/>
          <w:tab w:val="clear" w:pos="1140"/>
        </w:tabs>
        <w:spacing w:line="500" w:lineRule="atLeast"/>
        <w:ind w:left="851" w:hanging="431"/>
        <w:rPr>
          <w:sz w:val="24"/>
          <w:szCs w:val="22"/>
        </w:rPr>
      </w:pPr>
      <w:r>
        <w:rPr>
          <w:rFonts w:hint="eastAsia"/>
          <w:sz w:val="24"/>
          <w:szCs w:val="22"/>
        </w:rPr>
        <w:t>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工程变更须按照甲方要求提前办理报审手续，变更确认后及时办理签证手续。</w:t>
      </w:r>
    </w:p>
    <w:p>
      <w:pPr>
        <w:numPr>
          <w:ilvl w:val="0"/>
          <w:numId w:val="8"/>
        </w:numPr>
        <w:tabs>
          <w:tab w:val="left" w:pos="851"/>
          <w:tab w:val="clear" w:pos="1140"/>
        </w:tabs>
        <w:spacing w:line="500" w:lineRule="atLeast"/>
        <w:ind w:left="851" w:hanging="431"/>
        <w:rPr>
          <w:sz w:val="24"/>
          <w:szCs w:val="22"/>
        </w:rPr>
      </w:pPr>
      <w:r>
        <w:rPr>
          <w:rFonts w:hint="eastAsia"/>
          <w:sz w:val="24"/>
          <w:szCs w:val="22"/>
        </w:rPr>
        <w:t>工程完工后，乙方需要按照甲方质量及时间要求提交工程施工竣工验收文件及结算资料，配合甲方做好相关工程项目验收（环保、卫生、消防、规划等）及移交手续。</w:t>
      </w:r>
    </w:p>
    <w:p>
      <w:pPr>
        <w:numPr>
          <w:ilvl w:val="0"/>
          <w:numId w:val="8"/>
        </w:numPr>
        <w:tabs>
          <w:tab w:val="left" w:pos="851"/>
          <w:tab w:val="clear" w:pos="1140"/>
        </w:tabs>
        <w:spacing w:line="500" w:lineRule="atLeast"/>
        <w:ind w:left="851" w:hanging="431"/>
        <w:rPr>
          <w:sz w:val="24"/>
          <w:szCs w:val="22"/>
        </w:rPr>
      </w:pPr>
      <w:r>
        <w:rPr>
          <w:rFonts w:hint="eastAsia"/>
          <w:sz w:val="24"/>
          <w:szCs w:val="22"/>
        </w:rPr>
        <w:t>未经甲方同意，乙方不得将工程转分包。乙方未经同意进行转分包的，甲方有权解除本合同，已进行的工程量按80%结算，并要求乙方支付合同总价款30%的违约金。</w:t>
      </w:r>
    </w:p>
    <w:p>
      <w:pPr>
        <w:numPr>
          <w:ilvl w:val="0"/>
          <w:numId w:val="5"/>
        </w:numPr>
        <w:spacing w:line="500" w:lineRule="atLeast"/>
        <w:rPr>
          <w:b/>
          <w:sz w:val="24"/>
        </w:rPr>
      </w:pPr>
      <w:r>
        <w:rPr>
          <w:rFonts w:hint="eastAsia"/>
          <w:b/>
          <w:sz w:val="24"/>
        </w:rPr>
        <w:t>合同价款支付</w:t>
      </w:r>
      <w:r>
        <w:rPr>
          <w:rFonts w:hint="eastAsia"/>
          <w:sz w:val="24"/>
        </w:rPr>
        <w:t>；</w:t>
      </w:r>
    </w:p>
    <w:p>
      <w:pPr>
        <w:tabs>
          <w:tab w:val="left" w:pos="851"/>
        </w:tabs>
        <w:spacing w:line="500" w:lineRule="atLeast"/>
        <w:ind w:firstLine="480" w:firstLineChars="200"/>
        <w:rPr>
          <w:sz w:val="24"/>
          <w:szCs w:val="22"/>
        </w:rPr>
      </w:pPr>
      <w:r>
        <w:rPr>
          <w:rFonts w:hint="eastAsia"/>
          <w:sz w:val="24"/>
          <w:szCs w:val="22"/>
          <w:lang w:val="hr-HR"/>
        </w:rPr>
        <w:t>双方协商选择下列工程款支付方式：</w:t>
      </w:r>
      <w:r>
        <w:rPr>
          <w:rFonts w:hint="eastAsia"/>
          <w:sz w:val="24"/>
          <w:szCs w:val="22"/>
        </w:rPr>
        <w:t>方式。甲方每次支付前，乙方应提交请款函和合格的等额发票。</w:t>
      </w:r>
    </w:p>
    <w:p>
      <w:pPr>
        <w:spacing w:line="540" w:lineRule="exact"/>
        <w:ind w:left="359" w:leftChars="171"/>
        <w:rPr>
          <w:sz w:val="24"/>
        </w:rPr>
      </w:pPr>
      <w:r>
        <w:rPr>
          <w:rFonts w:hint="eastAsia"/>
          <w:sz w:val="24"/>
        </w:rPr>
        <w:t>方式一</w:t>
      </w:r>
    </w:p>
    <w:p>
      <w:pPr>
        <w:spacing w:line="540" w:lineRule="exact"/>
        <w:ind w:left="359" w:leftChars="171"/>
        <w:rPr>
          <w:sz w:val="24"/>
        </w:rPr>
      </w:pPr>
      <w:r>
        <w:rPr>
          <w:sz w:val="24"/>
        </w:rPr>
        <w:t>1</w:t>
      </w:r>
      <w:r>
        <w:rPr>
          <w:rFonts w:hint="eastAsia"/>
          <w:sz w:val="24"/>
          <w:highlight w:val="none"/>
        </w:rPr>
        <w:t>、</w:t>
      </w:r>
      <w:r>
        <w:rPr>
          <w:sz w:val="24"/>
          <w:highlight w:val="none"/>
        </w:rPr>
        <w:tab/>
      </w:r>
      <w:r>
        <w:rPr>
          <w:rFonts w:hint="eastAsia"/>
          <w:sz w:val="24"/>
        </w:rPr>
        <w:t>工程预付款：合同签订后60天内支付合同总价的</w:t>
      </w:r>
      <w:r>
        <w:rPr>
          <w:sz w:val="24"/>
        </w:rPr>
        <w:t>30%</w:t>
      </w:r>
      <w:r>
        <w:rPr>
          <w:rFonts w:hint="eastAsia"/>
          <w:sz w:val="24"/>
        </w:rPr>
        <w:t>；</w:t>
      </w:r>
    </w:p>
    <w:p>
      <w:pPr>
        <w:spacing w:line="540" w:lineRule="exact"/>
        <w:ind w:left="359" w:leftChars="171"/>
        <w:rPr>
          <w:sz w:val="24"/>
        </w:rPr>
      </w:pPr>
      <w:r>
        <w:rPr>
          <w:sz w:val="24"/>
        </w:rPr>
        <w:t>2</w:t>
      </w:r>
      <w:r>
        <w:rPr>
          <w:rFonts w:hint="eastAsia"/>
          <w:sz w:val="24"/>
        </w:rPr>
        <w:t>、本工程完成后，经甲方组织的相关人员验收合格后支付到合同总价的70%</w:t>
      </w:r>
      <w:r>
        <w:rPr>
          <w:sz w:val="24"/>
        </w:rPr>
        <w:tab/>
      </w:r>
    </w:p>
    <w:p>
      <w:pPr>
        <w:spacing w:line="540" w:lineRule="exact"/>
        <w:ind w:left="359" w:leftChars="171"/>
        <w:rPr>
          <w:sz w:val="24"/>
        </w:rPr>
      </w:pPr>
      <w:r>
        <w:rPr>
          <w:rFonts w:hint="eastAsia"/>
          <w:sz w:val="24"/>
        </w:rPr>
        <w:t>3、本工程完成后，经甲方组织的相关人员验收合格后支付到结算审核价的</w:t>
      </w:r>
      <w:r>
        <w:rPr>
          <w:sz w:val="24"/>
        </w:rPr>
        <w:t>9</w:t>
      </w:r>
      <w:r>
        <w:rPr>
          <w:rFonts w:hint="eastAsia"/>
          <w:sz w:val="24"/>
        </w:rPr>
        <w:t>7</w:t>
      </w:r>
      <w:r>
        <w:rPr>
          <w:sz w:val="24"/>
        </w:rPr>
        <w:t>%</w:t>
      </w:r>
      <w:r>
        <w:rPr>
          <w:rFonts w:hint="eastAsia"/>
          <w:sz w:val="24"/>
        </w:rPr>
        <w:t>，保</w:t>
      </w:r>
    </w:p>
    <w:p>
      <w:pPr>
        <w:spacing w:line="540" w:lineRule="exact"/>
        <w:ind w:left="359" w:leftChars="171" w:firstLine="480"/>
        <w:rPr>
          <w:sz w:val="24"/>
        </w:rPr>
      </w:pPr>
      <w:r>
        <w:rPr>
          <w:rFonts w:hint="eastAsia"/>
          <w:sz w:val="24"/>
        </w:rPr>
        <w:t>修期结束后一次性付清余款。</w:t>
      </w:r>
    </w:p>
    <w:p>
      <w:pPr>
        <w:spacing w:line="540" w:lineRule="exact"/>
        <w:ind w:left="359" w:leftChars="171"/>
        <w:rPr>
          <w:sz w:val="24"/>
        </w:rPr>
      </w:pPr>
      <w:r>
        <w:rPr>
          <w:rFonts w:hint="eastAsia"/>
          <w:sz w:val="24"/>
        </w:rPr>
        <w:t>方式二：</w:t>
      </w:r>
    </w:p>
    <w:p>
      <w:pPr>
        <w:spacing w:line="540" w:lineRule="exact"/>
        <w:ind w:left="359" w:leftChars="171"/>
        <w:rPr>
          <w:sz w:val="24"/>
        </w:rPr>
      </w:pPr>
      <w:r>
        <w:rPr>
          <w:rFonts w:hint="eastAsia"/>
          <w:sz w:val="24"/>
        </w:rPr>
        <w:t>1、本工程完成后，经甲方组织的相关人员验收合格后支付到合同总价的70%</w:t>
      </w:r>
      <w:r>
        <w:rPr>
          <w:sz w:val="24"/>
        </w:rPr>
        <w:tab/>
      </w:r>
    </w:p>
    <w:p>
      <w:pPr>
        <w:spacing w:line="540" w:lineRule="exact"/>
        <w:ind w:left="359" w:leftChars="171"/>
        <w:rPr>
          <w:sz w:val="24"/>
        </w:rPr>
      </w:pPr>
      <w:r>
        <w:rPr>
          <w:rFonts w:hint="eastAsia"/>
          <w:sz w:val="24"/>
        </w:rPr>
        <w:t>2、办理工程结算后，支付到结算审核价的</w:t>
      </w:r>
      <w:r>
        <w:rPr>
          <w:sz w:val="24"/>
        </w:rPr>
        <w:t>9</w:t>
      </w:r>
      <w:r>
        <w:rPr>
          <w:rFonts w:hint="eastAsia"/>
          <w:sz w:val="24"/>
        </w:rPr>
        <w:t>7</w:t>
      </w:r>
      <w:r>
        <w:rPr>
          <w:sz w:val="24"/>
        </w:rPr>
        <w:t>%</w:t>
      </w:r>
      <w:r>
        <w:rPr>
          <w:rFonts w:hint="eastAsia"/>
          <w:sz w:val="24"/>
        </w:rPr>
        <w:t>，保修期结束后一次性付清余款。</w:t>
      </w:r>
    </w:p>
    <w:p>
      <w:pPr>
        <w:numPr>
          <w:ilvl w:val="0"/>
          <w:numId w:val="5"/>
        </w:numPr>
        <w:spacing w:line="500" w:lineRule="atLeast"/>
        <w:rPr>
          <w:b/>
          <w:sz w:val="24"/>
        </w:rPr>
      </w:pPr>
      <w:r>
        <w:rPr>
          <w:rFonts w:hint="eastAsia"/>
          <w:b/>
          <w:sz w:val="24"/>
        </w:rPr>
        <w:t>工程质量检查与验收</w:t>
      </w:r>
    </w:p>
    <w:p>
      <w:pPr>
        <w:spacing w:line="500" w:lineRule="atLeast"/>
        <w:ind w:left="1260" w:leftChars="200" w:hanging="840" w:hangingChars="350"/>
        <w:rPr>
          <w:color w:val="000000"/>
          <w:sz w:val="24"/>
        </w:rPr>
      </w:pPr>
      <w:r>
        <w:rPr>
          <w:rFonts w:hint="eastAsia"/>
          <w:color w:val="000000"/>
          <w:sz w:val="24"/>
        </w:rPr>
        <w:t>1、    乙方必须严格按施工图纸、说明文件和国家相关部门颁发的有关工程施工规范 及验收技术规范进行施工，接受甲方现场监理工程师和工程师代表的监督检查。</w:t>
      </w:r>
    </w:p>
    <w:p>
      <w:pPr>
        <w:numPr>
          <w:ilvl w:val="0"/>
          <w:numId w:val="9"/>
        </w:numPr>
        <w:spacing w:line="500" w:lineRule="atLeast"/>
        <w:rPr>
          <w:sz w:val="24"/>
        </w:rPr>
      </w:pPr>
      <w:r>
        <w:rPr>
          <w:rFonts w:hint="eastAsia"/>
          <w:sz w:val="24"/>
        </w:rPr>
        <w:t>工程调试完毕自检合格后，乙方按规定整理提供完整的技术档案资料移交甲方，并发出竣工通知书，由甲方组织相关人员进行竣工验收。</w:t>
      </w:r>
    </w:p>
    <w:p>
      <w:pPr>
        <w:numPr>
          <w:ilvl w:val="0"/>
          <w:numId w:val="9"/>
        </w:numPr>
        <w:spacing w:line="500" w:lineRule="atLeast"/>
        <w:rPr>
          <w:color w:val="000000"/>
          <w:sz w:val="24"/>
        </w:rPr>
      </w:pPr>
      <w:r>
        <w:rPr>
          <w:rFonts w:hint="eastAsia"/>
          <w:color w:val="000000"/>
          <w:sz w:val="24"/>
        </w:rPr>
        <w:t>工程验收：工程验收以</w:t>
      </w:r>
      <w:r>
        <w:rPr>
          <w:rFonts w:hint="eastAsia"/>
          <w:sz w:val="24"/>
        </w:rPr>
        <w:t>满足招标文件全部设计要求</w:t>
      </w:r>
      <w:r>
        <w:rPr>
          <w:rFonts w:hint="eastAsia"/>
          <w:color w:val="000000"/>
          <w:sz w:val="24"/>
        </w:rPr>
        <w:t>和国家有关部门制定的竣工验收规定为标准。</w:t>
      </w:r>
    </w:p>
    <w:p>
      <w:pPr>
        <w:numPr>
          <w:ilvl w:val="0"/>
          <w:numId w:val="9"/>
        </w:numPr>
        <w:spacing w:line="500" w:lineRule="atLeast"/>
        <w:rPr>
          <w:color w:val="000000"/>
          <w:sz w:val="24"/>
        </w:rPr>
      </w:pPr>
      <w:r>
        <w:rPr>
          <w:rFonts w:hint="eastAsia"/>
          <w:color w:val="000000"/>
          <w:sz w:val="24"/>
        </w:rPr>
        <w:t>工程验收中如发现有不符合质量要求，需要返工的工程，应分清责任。属施工原因造成的，按双方验收时商定的时间，由乙方负责返工好再进行检验。竣工日期以最后检验合格日期的日期为准。</w:t>
      </w:r>
    </w:p>
    <w:p>
      <w:pPr>
        <w:numPr>
          <w:ilvl w:val="0"/>
          <w:numId w:val="9"/>
        </w:numPr>
        <w:spacing w:line="500" w:lineRule="atLeast"/>
        <w:rPr>
          <w:color w:val="000000"/>
          <w:sz w:val="24"/>
        </w:rPr>
      </w:pPr>
      <w:r>
        <w:rPr>
          <w:rFonts w:hint="eastAsia"/>
          <w:color w:val="000000"/>
          <w:sz w:val="24"/>
        </w:rPr>
        <w:t>验收合格后，双方签署竣工验收报告证书，当日进入质量保证期。</w:t>
      </w:r>
    </w:p>
    <w:p>
      <w:pPr>
        <w:numPr>
          <w:ilvl w:val="0"/>
          <w:numId w:val="5"/>
        </w:numPr>
        <w:spacing w:line="500" w:lineRule="atLeast"/>
        <w:rPr>
          <w:b/>
          <w:sz w:val="24"/>
        </w:rPr>
      </w:pPr>
      <w:r>
        <w:rPr>
          <w:rFonts w:hint="eastAsia"/>
          <w:b/>
          <w:sz w:val="24"/>
        </w:rPr>
        <w:t>保证</w:t>
      </w:r>
    </w:p>
    <w:p>
      <w:pPr>
        <w:numPr>
          <w:ilvl w:val="0"/>
          <w:numId w:val="10"/>
        </w:numPr>
        <w:spacing w:line="500" w:lineRule="atLeast"/>
        <w:rPr>
          <w:color w:val="000000"/>
          <w:sz w:val="24"/>
        </w:rPr>
      </w:pPr>
      <w:r>
        <w:rPr>
          <w:rFonts w:hint="eastAsia"/>
          <w:color w:val="000000"/>
          <w:sz w:val="24"/>
        </w:rPr>
        <w:t>乙方应按采购文件规定的货物性能、技术要求、质量标准向甲方提供未经使用的全新产品；</w:t>
      </w:r>
    </w:p>
    <w:p>
      <w:pPr>
        <w:numPr>
          <w:ilvl w:val="0"/>
          <w:numId w:val="10"/>
        </w:numPr>
        <w:spacing w:line="500" w:lineRule="atLeast"/>
        <w:rPr>
          <w:color w:val="000000"/>
          <w:sz w:val="24"/>
        </w:rPr>
      </w:pPr>
      <w:r>
        <w:rPr>
          <w:rFonts w:hint="eastAsia"/>
          <w:color w:val="000000"/>
          <w:sz w:val="24"/>
        </w:rPr>
        <w:t>如在使用过程中发生质量问题，乙方在接到甲方通知后在24小时内到达甲方现场，负责维修直至修复；</w:t>
      </w:r>
    </w:p>
    <w:p>
      <w:pPr>
        <w:numPr>
          <w:ilvl w:val="0"/>
          <w:numId w:val="10"/>
        </w:numPr>
        <w:spacing w:line="500" w:lineRule="atLeast"/>
        <w:rPr>
          <w:color w:val="000000"/>
          <w:sz w:val="24"/>
        </w:rPr>
      </w:pPr>
      <w:r>
        <w:rPr>
          <w:rFonts w:hint="eastAsia"/>
          <w:color w:val="000000"/>
          <w:sz w:val="24"/>
        </w:rPr>
        <w:t>在质保期内，乙方应对货物出现的质量及安全问题负责处理解决并承担一切费用；</w:t>
      </w:r>
    </w:p>
    <w:p>
      <w:pPr>
        <w:numPr>
          <w:ilvl w:val="0"/>
          <w:numId w:val="10"/>
        </w:numPr>
        <w:spacing w:line="500" w:lineRule="atLeast"/>
        <w:rPr>
          <w:sz w:val="24"/>
        </w:rPr>
      </w:pPr>
      <w:r>
        <w:rPr>
          <w:rFonts w:hint="eastAsia"/>
          <w:sz w:val="24"/>
        </w:rPr>
        <w:t>合同清单中的货物及工程质保期为</w:t>
      </w:r>
      <w:r>
        <w:rPr>
          <w:rFonts w:hint="eastAsia"/>
          <w:sz w:val="24"/>
          <w:u w:val="single"/>
        </w:rPr>
        <w:t xml:space="preserve">   </w:t>
      </w:r>
      <w:r>
        <w:rPr>
          <w:rFonts w:hint="eastAsia"/>
          <w:sz w:val="24"/>
        </w:rPr>
        <w:t>年，工程自验收之日起</w:t>
      </w:r>
      <w:r>
        <w:rPr>
          <w:rFonts w:hint="eastAsia"/>
          <w:color w:val="FF0000"/>
          <w:sz w:val="24"/>
          <w:u w:val="single"/>
        </w:rPr>
        <w:t xml:space="preserve">   </w:t>
      </w:r>
      <w:r>
        <w:rPr>
          <w:rFonts w:hint="eastAsia"/>
          <w:sz w:val="24"/>
        </w:rPr>
        <w:t>年内全免费保修，人为因素导致的故障不在免费保修范围内。</w:t>
      </w:r>
    </w:p>
    <w:p>
      <w:pPr>
        <w:numPr>
          <w:ilvl w:val="0"/>
          <w:numId w:val="5"/>
        </w:numPr>
        <w:spacing w:line="500" w:lineRule="atLeast"/>
        <w:rPr>
          <w:b/>
          <w:sz w:val="24"/>
        </w:rPr>
      </w:pPr>
      <w:r>
        <w:rPr>
          <w:rFonts w:hint="eastAsia"/>
          <w:b/>
          <w:sz w:val="24"/>
        </w:rPr>
        <w:t>违约责任</w:t>
      </w:r>
    </w:p>
    <w:p>
      <w:pPr>
        <w:numPr>
          <w:ilvl w:val="0"/>
          <w:numId w:val="11"/>
        </w:numPr>
        <w:spacing w:line="500" w:lineRule="atLeast"/>
        <w:rPr>
          <w:color w:val="000000"/>
          <w:sz w:val="24"/>
        </w:rPr>
      </w:pPr>
      <w:r>
        <w:rPr>
          <w:rFonts w:hint="eastAsia"/>
          <w:color w:val="000000"/>
          <w:sz w:val="24"/>
        </w:rPr>
        <w:t>当乙方提供的产品出现质量或缺陷时，乙方一个月内无条件换货，若乙方逾期不进行换货或换货后仍存在质量问题的，甲方有权解除合同，已进行的工程量按80%进行结算；</w:t>
      </w:r>
    </w:p>
    <w:p>
      <w:pPr>
        <w:numPr>
          <w:ilvl w:val="0"/>
          <w:numId w:val="11"/>
        </w:numPr>
        <w:spacing w:line="500" w:lineRule="atLeast"/>
        <w:rPr>
          <w:color w:val="000000"/>
          <w:sz w:val="24"/>
        </w:rPr>
      </w:pPr>
      <w:r>
        <w:rPr>
          <w:rFonts w:hint="eastAsia"/>
          <w:color w:val="000000"/>
          <w:sz w:val="24"/>
        </w:rPr>
        <w:t>甲方无正当理由拒收货物、拒付货物款的，甲方向乙方偿付货物总值的30%违约金；</w:t>
      </w:r>
    </w:p>
    <w:p>
      <w:pPr>
        <w:numPr>
          <w:ilvl w:val="0"/>
          <w:numId w:val="11"/>
        </w:numPr>
        <w:spacing w:line="500" w:lineRule="atLeast"/>
        <w:rPr>
          <w:color w:val="000000"/>
          <w:sz w:val="24"/>
        </w:rPr>
      </w:pPr>
      <w:r>
        <w:rPr>
          <w:rFonts w:hint="eastAsia"/>
          <w:color w:val="000000"/>
          <w:sz w:val="24"/>
        </w:rPr>
        <w:t>因货物的质量问题发生争议，由国家和市政府指定的技术单位进行质量鉴定，该鉴定结论是终局的，甲、乙双方应当接受。</w:t>
      </w:r>
    </w:p>
    <w:p>
      <w:pPr>
        <w:numPr>
          <w:ilvl w:val="0"/>
          <w:numId w:val="11"/>
        </w:numPr>
        <w:spacing w:line="500" w:lineRule="atLeast"/>
        <w:rPr>
          <w:color w:val="000000"/>
          <w:sz w:val="24"/>
        </w:rPr>
      </w:pPr>
      <w:r>
        <w:rPr>
          <w:rFonts w:hint="eastAsia"/>
          <w:color w:val="000000"/>
          <w:sz w:val="24"/>
        </w:rPr>
        <w:t>乙方因自身原因逾期竣工的，每逾期一日，甲方有权收取合同总价款千分之一的违约金。逾期超过30日的，甲方除收取违约金外，有权解除合同，已进行的工程量按80%进行结算。</w:t>
      </w:r>
    </w:p>
    <w:p>
      <w:pPr>
        <w:numPr>
          <w:ilvl w:val="0"/>
          <w:numId w:val="5"/>
        </w:numPr>
        <w:spacing w:line="500" w:lineRule="atLeast"/>
        <w:rPr>
          <w:b/>
          <w:sz w:val="24"/>
        </w:rPr>
      </w:pPr>
      <w:r>
        <w:rPr>
          <w:rFonts w:hint="eastAsia"/>
          <w:b/>
          <w:sz w:val="24"/>
        </w:rPr>
        <w:t>争议解决</w:t>
      </w:r>
    </w:p>
    <w:p>
      <w:pPr>
        <w:spacing w:line="500" w:lineRule="atLeast"/>
        <w:ind w:left="346" w:leftChars="133" w:hanging="67" w:hangingChars="28"/>
        <w:rPr>
          <w:sz w:val="24"/>
        </w:rPr>
      </w:pPr>
      <w:r>
        <w:rPr>
          <w:rFonts w:hint="eastAsia"/>
          <w:sz w:val="24"/>
        </w:rPr>
        <w:t xml:space="preserve">     因本合同发生的争议，甲乙双方可协商解决；协商不成，可向工程所在地法院提起诉讼，对双方当事人均有约束力。</w:t>
      </w:r>
    </w:p>
    <w:p>
      <w:pPr>
        <w:numPr>
          <w:ilvl w:val="0"/>
          <w:numId w:val="5"/>
        </w:numPr>
        <w:spacing w:line="500" w:lineRule="atLeast"/>
        <w:rPr>
          <w:b/>
          <w:sz w:val="24"/>
        </w:rPr>
      </w:pPr>
      <w:r>
        <w:rPr>
          <w:rFonts w:hint="eastAsia"/>
          <w:b/>
          <w:sz w:val="24"/>
          <w:highlight w:val="none"/>
        </w:rPr>
        <w:t>其它</w:t>
      </w:r>
    </w:p>
    <w:p>
      <w:pPr>
        <w:numPr>
          <w:ilvl w:val="0"/>
          <w:numId w:val="12"/>
        </w:numPr>
        <w:spacing w:line="500" w:lineRule="atLeast"/>
        <w:rPr>
          <w:color w:val="000000"/>
          <w:sz w:val="24"/>
        </w:rPr>
      </w:pPr>
      <w:r>
        <w:rPr>
          <w:rFonts w:hint="eastAsia"/>
          <w:color w:val="000000"/>
          <w:sz w:val="24"/>
        </w:rPr>
        <w:t>乙方在施工期间的安全责任由乙方自行负责，并遵守甲方的文明施工和作息时间。</w:t>
      </w:r>
    </w:p>
    <w:p>
      <w:pPr>
        <w:numPr>
          <w:ilvl w:val="0"/>
          <w:numId w:val="12"/>
        </w:numPr>
        <w:spacing w:line="500" w:lineRule="atLeast"/>
        <w:rPr>
          <w:color w:val="000000"/>
          <w:sz w:val="24"/>
        </w:rPr>
      </w:pPr>
      <w:r>
        <w:rPr>
          <w:rFonts w:hint="eastAsia"/>
          <w:color w:val="000000"/>
          <w:sz w:val="24"/>
        </w:rPr>
        <w:t>本合同未尽事宜，由双方协商解决。</w:t>
      </w:r>
    </w:p>
    <w:p>
      <w:pPr>
        <w:numPr>
          <w:ilvl w:val="0"/>
          <w:numId w:val="12"/>
        </w:numPr>
        <w:spacing w:line="500" w:lineRule="atLeast"/>
        <w:rPr>
          <w:color w:val="000000"/>
          <w:sz w:val="24"/>
        </w:rPr>
      </w:pPr>
      <w:r>
        <w:rPr>
          <w:rFonts w:hint="eastAsia"/>
          <w:color w:val="000000"/>
          <w:sz w:val="24"/>
        </w:rPr>
        <w:t>本工程第三方检测验收第一次费用由业主支付，如第一次检测不合格余下的检测费用由乙方支付，直至检测合格。</w:t>
      </w:r>
    </w:p>
    <w:p>
      <w:pPr>
        <w:numPr>
          <w:ilvl w:val="0"/>
          <w:numId w:val="12"/>
        </w:numPr>
        <w:spacing w:line="500" w:lineRule="atLeast"/>
        <w:rPr>
          <w:color w:val="000000"/>
          <w:sz w:val="24"/>
        </w:rPr>
      </w:pPr>
      <w:r>
        <w:rPr>
          <w:rFonts w:hint="eastAsia"/>
          <w:color w:val="000000"/>
          <w:sz w:val="24"/>
        </w:rPr>
        <w:t>本合同由下列文件组成：</w:t>
      </w:r>
    </w:p>
    <w:p>
      <w:pPr>
        <w:spacing w:line="500" w:lineRule="atLeast"/>
        <w:ind w:left="1140"/>
        <w:rPr>
          <w:rFonts w:ascii="宋体" w:hAnsi="宋体"/>
          <w:sz w:val="24"/>
        </w:rPr>
      </w:pPr>
      <w:r>
        <w:rPr>
          <w:rFonts w:hint="eastAsia" w:ascii="宋体" w:hAnsi="宋体"/>
          <w:sz w:val="24"/>
        </w:rPr>
        <w:t>（1） 合同书；</w:t>
      </w:r>
    </w:p>
    <w:p>
      <w:pPr>
        <w:spacing w:line="500" w:lineRule="atLeast"/>
        <w:ind w:left="1272" w:leftChars="133" w:hanging="993" w:hangingChars="414"/>
        <w:rPr>
          <w:sz w:val="24"/>
        </w:rPr>
      </w:pPr>
      <w:r>
        <w:rPr>
          <w:rFonts w:hint="eastAsia" w:ascii="宋体" w:hAnsi="宋体"/>
          <w:sz w:val="24"/>
        </w:rPr>
        <w:t xml:space="preserve">（2） </w:t>
      </w:r>
      <w:r>
        <w:rPr>
          <w:rFonts w:hint="eastAsia"/>
          <w:sz w:val="24"/>
        </w:rPr>
        <w:t>附件：（工程设备清单及报价）；</w:t>
      </w:r>
    </w:p>
    <w:p>
      <w:pPr>
        <w:spacing w:line="500" w:lineRule="atLeast"/>
        <w:ind w:firstLine="1080" w:firstLineChars="450"/>
        <w:rPr>
          <w:rFonts w:ascii="宋体" w:hAnsi="宋体"/>
          <w:sz w:val="24"/>
        </w:rPr>
      </w:pPr>
      <w:r>
        <w:rPr>
          <w:rFonts w:hint="eastAsia" w:ascii="宋体" w:hAnsi="宋体"/>
          <w:sz w:val="24"/>
        </w:rPr>
        <w:t xml:space="preserve">（3） </w:t>
      </w:r>
      <w:r>
        <w:rPr>
          <w:rFonts w:hint="eastAsia" w:ascii="宋体" w:hAnsi="宋体"/>
          <w:sz w:val="24"/>
          <w:highlight w:val="none"/>
        </w:rPr>
        <w:t>其它</w:t>
      </w:r>
      <w:r>
        <w:rPr>
          <w:rFonts w:hint="eastAsia" w:ascii="宋体" w:hAnsi="宋体"/>
          <w:sz w:val="24"/>
        </w:rPr>
        <w:t>双方签订的与之相关的文件；</w:t>
      </w:r>
    </w:p>
    <w:p>
      <w:pPr>
        <w:spacing w:line="500" w:lineRule="atLeast"/>
        <w:ind w:firstLine="1080" w:firstLineChars="450"/>
        <w:rPr>
          <w:sz w:val="24"/>
        </w:rPr>
      </w:pPr>
      <w:r>
        <w:rPr>
          <w:rFonts w:hint="eastAsia" w:ascii="宋体" w:hAnsi="宋体"/>
          <w:sz w:val="24"/>
        </w:rPr>
        <w:t>（4）  一次线路图。</w:t>
      </w:r>
    </w:p>
    <w:p>
      <w:pPr>
        <w:spacing w:line="500" w:lineRule="atLeast"/>
        <w:ind w:left="759" w:leftChars="133" w:hanging="480" w:hangingChars="200"/>
        <w:rPr>
          <w:sz w:val="24"/>
        </w:rPr>
      </w:pPr>
      <w:r>
        <w:rPr>
          <w:rFonts w:hint="eastAsia"/>
          <w:sz w:val="24"/>
        </w:rPr>
        <w:t xml:space="preserve">    上述所有文件具有同等法律效力，如有相互矛盾，则按上述顺序解释。</w:t>
      </w:r>
    </w:p>
    <w:p>
      <w:pPr>
        <w:numPr>
          <w:ilvl w:val="0"/>
          <w:numId w:val="12"/>
        </w:numPr>
        <w:spacing w:line="500" w:lineRule="atLeast"/>
        <w:rPr>
          <w:color w:val="000000"/>
          <w:sz w:val="24"/>
        </w:rPr>
      </w:pPr>
      <w:r>
        <w:rPr>
          <w:rFonts w:hint="eastAsia"/>
          <w:color w:val="000000"/>
          <w:sz w:val="24"/>
        </w:rPr>
        <w:t>本合同自双方授权代表签字并加盖公章后生效。</w:t>
      </w:r>
    </w:p>
    <w:p>
      <w:pPr>
        <w:numPr>
          <w:ilvl w:val="0"/>
          <w:numId w:val="12"/>
        </w:numPr>
        <w:spacing w:line="500" w:lineRule="atLeast"/>
        <w:rPr>
          <w:color w:val="000000"/>
          <w:sz w:val="24"/>
        </w:rPr>
      </w:pPr>
      <w:r>
        <w:rPr>
          <w:rFonts w:hint="eastAsia"/>
          <w:color w:val="000000"/>
          <w:sz w:val="24"/>
        </w:rPr>
        <w:t>本合同</w:t>
      </w:r>
      <w:r>
        <w:rPr>
          <w:rFonts w:hint="eastAsia"/>
          <w:color w:val="000000"/>
          <w:sz w:val="24"/>
          <w:highlight w:val="none"/>
        </w:rPr>
        <w:t>一式肆份</w:t>
      </w:r>
      <w:r>
        <w:rPr>
          <w:rFonts w:hint="eastAsia"/>
          <w:color w:val="000000"/>
          <w:sz w:val="24"/>
        </w:rPr>
        <w:t>，甲方执贰份，乙方执贰份，每份具有同等效力。</w:t>
      </w:r>
    </w:p>
    <w:p>
      <w:pPr>
        <w:spacing w:line="360" w:lineRule="auto"/>
        <w:rPr>
          <w:sz w:val="24"/>
        </w:rPr>
      </w:pPr>
    </w:p>
    <w:p>
      <w:pPr>
        <w:spacing w:line="360" w:lineRule="auto"/>
        <w:rPr>
          <w:sz w:val="24"/>
        </w:rPr>
      </w:pPr>
      <w:r>
        <w:rPr>
          <w:rFonts w:hint="eastAsia"/>
          <w:sz w:val="24"/>
        </w:rPr>
        <w:t>甲方：</w:t>
      </w:r>
      <w:r>
        <w:rPr>
          <w:rFonts w:hint="eastAsia"/>
          <w:color w:val="000000"/>
          <w:sz w:val="24"/>
        </w:rPr>
        <w:t>广东省人民医院</w:t>
      </w:r>
      <w:r>
        <w:rPr>
          <w:rFonts w:hint="eastAsia"/>
          <w:sz w:val="24"/>
        </w:rPr>
        <w:t>（章）</w:t>
      </w:r>
    </w:p>
    <w:p>
      <w:pPr>
        <w:spacing w:line="360" w:lineRule="auto"/>
        <w:rPr>
          <w:sz w:val="24"/>
        </w:rPr>
      </w:pPr>
      <w:r>
        <w:rPr>
          <w:rFonts w:hint="eastAsia"/>
          <w:sz w:val="24"/>
          <w:highlight w:val="none"/>
        </w:rPr>
        <w:t>法人代表</w:t>
      </w:r>
      <w:r>
        <w:rPr>
          <w:rFonts w:hint="eastAsia"/>
          <w:sz w:val="24"/>
        </w:rPr>
        <w:t>：</w:t>
      </w:r>
    </w:p>
    <w:p>
      <w:pPr>
        <w:spacing w:line="360" w:lineRule="auto"/>
        <w:rPr>
          <w:sz w:val="24"/>
        </w:rPr>
      </w:pPr>
      <w:r>
        <w:rPr>
          <w:rFonts w:hint="eastAsia"/>
          <w:sz w:val="24"/>
        </w:rPr>
        <w:t>委托代理人：</w:t>
      </w:r>
    </w:p>
    <w:p>
      <w:pPr>
        <w:spacing w:line="360" w:lineRule="auto"/>
        <w:rPr>
          <w:sz w:val="24"/>
        </w:rPr>
      </w:pPr>
      <w:r>
        <w:rPr>
          <w:rFonts w:hint="eastAsia"/>
          <w:sz w:val="24"/>
        </w:rPr>
        <w:t>联系电话：</w:t>
      </w:r>
    </w:p>
    <w:p>
      <w:pPr>
        <w:spacing w:line="360" w:lineRule="auto"/>
        <w:rPr>
          <w:sz w:val="24"/>
        </w:rPr>
      </w:pPr>
      <w:r>
        <w:rPr>
          <w:rFonts w:hint="eastAsia"/>
          <w:sz w:val="24"/>
        </w:rPr>
        <w:t xml:space="preserve">传    真： </w:t>
      </w:r>
    </w:p>
    <w:p>
      <w:pPr>
        <w:spacing w:line="360" w:lineRule="auto"/>
        <w:rPr>
          <w:sz w:val="24"/>
        </w:rPr>
      </w:pPr>
    </w:p>
    <w:p>
      <w:pPr>
        <w:spacing w:line="360" w:lineRule="auto"/>
        <w:rPr>
          <w:b/>
          <w:sz w:val="24"/>
        </w:rPr>
      </w:pPr>
      <w:r>
        <w:rPr>
          <w:rFonts w:hint="eastAsia"/>
          <w:sz w:val="24"/>
        </w:rPr>
        <w:t xml:space="preserve">乙方：（章） </w:t>
      </w:r>
    </w:p>
    <w:p>
      <w:pPr>
        <w:spacing w:line="360" w:lineRule="auto"/>
        <w:rPr>
          <w:sz w:val="24"/>
        </w:rPr>
      </w:pPr>
      <w:r>
        <w:rPr>
          <w:rFonts w:hint="eastAsia"/>
          <w:sz w:val="24"/>
          <w:highlight w:val="none"/>
        </w:rPr>
        <w:t>法人代表</w:t>
      </w:r>
      <w:r>
        <w:rPr>
          <w:rFonts w:hint="eastAsia"/>
          <w:sz w:val="24"/>
        </w:rPr>
        <w:t>：</w:t>
      </w:r>
    </w:p>
    <w:p>
      <w:pPr>
        <w:spacing w:line="360" w:lineRule="auto"/>
        <w:rPr>
          <w:sz w:val="24"/>
        </w:rPr>
      </w:pPr>
      <w:r>
        <w:rPr>
          <w:rFonts w:hint="eastAsia"/>
          <w:sz w:val="24"/>
        </w:rPr>
        <w:t>委托代理人：</w:t>
      </w:r>
    </w:p>
    <w:p>
      <w:pPr>
        <w:spacing w:line="360" w:lineRule="auto"/>
        <w:rPr>
          <w:sz w:val="24"/>
        </w:rPr>
      </w:pPr>
      <w:r>
        <w:rPr>
          <w:rFonts w:hint="eastAsia"/>
          <w:sz w:val="24"/>
        </w:rPr>
        <w:t>联系电话：</w:t>
      </w:r>
    </w:p>
    <w:p>
      <w:pPr>
        <w:spacing w:line="360" w:lineRule="auto"/>
        <w:rPr>
          <w:sz w:val="24"/>
        </w:rPr>
      </w:pPr>
      <w:r>
        <w:rPr>
          <w:rFonts w:hint="eastAsia"/>
          <w:sz w:val="24"/>
        </w:rPr>
        <w:t>传    真：</w:t>
      </w:r>
    </w:p>
    <w:p>
      <w:pPr>
        <w:spacing w:line="360" w:lineRule="auto"/>
        <w:rPr>
          <w:sz w:val="24"/>
        </w:rPr>
      </w:pPr>
    </w:p>
    <w:p>
      <w:pPr>
        <w:spacing w:line="360" w:lineRule="auto"/>
        <w:rPr>
          <w:sz w:val="24"/>
        </w:rPr>
      </w:pPr>
      <w:r>
        <w:rPr>
          <w:rFonts w:hint="eastAsia"/>
          <w:sz w:val="24"/>
        </w:rPr>
        <w:t>合同签订时间：          年      月     日</w:t>
      </w:r>
    </w:p>
    <w:p>
      <w:pPr>
        <w:spacing w:line="360" w:lineRule="auto"/>
        <w:rPr>
          <w:b/>
          <w:sz w:val="24"/>
        </w:rPr>
      </w:pPr>
    </w:p>
    <w:p>
      <w:pPr>
        <w:pageBreakBefore w:val="0"/>
        <w:numPr>
          <w:ilvl w:val="0"/>
          <w:numId w:val="0"/>
        </w:numPr>
        <w:kinsoku/>
        <w:wordWrap/>
        <w:topLinePunct w:val="0"/>
        <w:bidi w:val="0"/>
        <w:adjustRightInd w:val="0"/>
        <w:snapToGrid w:val="0"/>
        <w:spacing w:line="240" w:lineRule="auto"/>
        <w:rPr>
          <w:rFonts w:hint="eastAsia" w:ascii="仿宋" w:hAnsi="仿宋" w:eastAsia="仿宋" w:cs="仿宋"/>
          <w:sz w:val="28"/>
          <w:szCs w:val="28"/>
          <w:lang w:eastAsia="zh-CN"/>
        </w:rPr>
      </w:pPr>
      <w:bookmarkStart w:id="1" w:name="_GoBack"/>
      <w:bookmarkEnd w:id="1"/>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ino MT">
    <w:altName w:val="Courier New"/>
    <w:panose1 w:val="00000000000000000000"/>
    <w:charset w:val="00"/>
    <w:family w:val="decorative"/>
    <w:pitch w:val="default"/>
    <w:sig w:usb0="00000000" w:usb1="00000000" w:usb2="00000000" w:usb3="00000000" w:csb0="00000001" w:csb1="00000000"/>
  </w:font>
  <w:font w:name="文鼎CS楷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decorative"/>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41BB60"/>
    <w:multiLevelType w:val="singleLevel"/>
    <w:tmpl w:val="FB41BB60"/>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5"/>
      <w:numFmt w:val="japaneseCounting"/>
      <w:lvlText w:val="第%1条"/>
      <w:lvlJc w:val="left"/>
      <w:pPr>
        <w:tabs>
          <w:tab w:val="left" w:pos="1200"/>
        </w:tabs>
        <w:ind w:left="1200" w:hanging="1200"/>
      </w:pPr>
      <w:rPr>
        <w:rFonts w:hint="eastAsia"/>
      </w:rPr>
    </w:lvl>
    <w:lvl w:ilvl="1" w:tentative="0">
      <w:start w:val="1"/>
      <w:numFmt w:val="decimal"/>
      <w:lvlText w:val="%2、"/>
      <w:lvlJc w:val="left"/>
      <w:pPr>
        <w:tabs>
          <w:tab w:val="left" w:pos="1140"/>
        </w:tabs>
        <w:ind w:left="1140" w:hanging="720"/>
      </w:pPr>
      <w:rPr>
        <w:rFonts w:hint="eastAsia"/>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multilevel"/>
    <w:tmpl w:val="00000011"/>
    <w:lvl w:ilvl="0" w:tentative="0">
      <w:start w:val="1"/>
      <w:numFmt w:val="japaneseCounting"/>
      <w:lvlText w:val="第%1条"/>
      <w:lvlJc w:val="left"/>
      <w:pPr>
        <w:tabs>
          <w:tab w:val="left" w:pos="1200"/>
        </w:tabs>
        <w:ind w:left="1200" w:hanging="120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0"/>
    <w:multiLevelType w:val="multilevel"/>
    <w:tmpl w:val="00000020"/>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6813FC4"/>
    <w:multiLevelType w:val="multilevel"/>
    <w:tmpl w:val="06813FC4"/>
    <w:lvl w:ilvl="0" w:tentative="0">
      <w:start w:val="1"/>
      <w:numFmt w:val="decimal"/>
      <w:isLgl/>
      <w:suff w:val="space"/>
      <w:lvlText w:val="%1."/>
      <w:lvlJc w:val="left"/>
      <w:pPr>
        <w:ind w:left="567" w:hanging="567"/>
      </w:pPr>
      <w:rPr>
        <w:rFonts w:hint="eastAsia"/>
      </w:rPr>
    </w:lvl>
    <w:lvl w:ilvl="1" w:tentative="0">
      <w:start w:val="1"/>
      <w:numFmt w:val="decimal"/>
      <w:lvlText w:val="%1.%2"/>
      <w:lvlJc w:val="left"/>
      <w:pPr>
        <w:tabs>
          <w:tab w:val="left" w:pos="1107"/>
        </w:tabs>
        <w:ind w:left="1107" w:hanging="567"/>
      </w:pPr>
      <w:rPr>
        <w:rFonts w:hint="eastAsia"/>
        <w:b w:val="0"/>
      </w:rPr>
    </w:lvl>
    <w:lvl w:ilvl="2" w:tentative="0">
      <w:start w:val="1"/>
      <w:numFmt w:val="decimal"/>
      <w:lvlText w:val="%1.%2.%3"/>
      <w:lvlJc w:val="left"/>
      <w:pPr>
        <w:tabs>
          <w:tab w:val="left" w:pos="1814"/>
        </w:tabs>
        <w:ind w:left="1814" w:hanging="793"/>
      </w:pPr>
      <w:rPr>
        <w:rFonts w:hint="eastAsia"/>
      </w:rPr>
    </w:lvl>
    <w:lvl w:ilvl="3" w:tentative="0">
      <w:start w:val="1"/>
      <w:numFmt w:val="decimal"/>
      <w:lvlText w:val="%1.%2.%3.%4"/>
      <w:lvlJc w:val="left"/>
      <w:pPr>
        <w:tabs>
          <w:tab w:val="left" w:pos="2668"/>
        </w:tabs>
        <w:ind w:left="2155" w:hanging="567"/>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0">
    <w:nsid w:val="14C15209"/>
    <w:multiLevelType w:val="multilevel"/>
    <w:tmpl w:val="14C15209"/>
    <w:lvl w:ilvl="0" w:tentative="0">
      <w:start w:val="1"/>
      <w:numFmt w:val="bullet"/>
      <w:lvlText w:val=""/>
      <w:lvlJc w:val="left"/>
      <w:pPr>
        <w:tabs>
          <w:tab w:val="left" w:pos="1271"/>
        </w:tabs>
        <w:ind w:left="1271" w:hanging="420"/>
      </w:pPr>
      <w:rPr>
        <w:rFonts w:hint="default" w:ascii="Wingdings" w:hAnsi="Wingdings"/>
      </w:rPr>
    </w:lvl>
    <w:lvl w:ilvl="1" w:tentative="0">
      <w:start w:val="1"/>
      <w:numFmt w:val="bullet"/>
      <w:lvlText w:val=""/>
      <w:lvlJc w:val="left"/>
      <w:pPr>
        <w:tabs>
          <w:tab w:val="left" w:pos="1691"/>
        </w:tabs>
        <w:ind w:left="1691" w:hanging="420"/>
      </w:pPr>
      <w:rPr>
        <w:rFonts w:hint="default" w:ascii="Wingdings" w:hAnsi="Wingdings"/>
      </w:rPr>
    </w:lvl>
    <w:lvl w:ilvl="2" w:tentative="0">
      <w:start w:val="1"/>
      <w:numFmt w:val="bullet"/>
      <w:lvlText w:val=""/>
      <w:lvlJc w:val="left"/>
      <w:pPr>
        <w:tabs>
          <w:tab w:val="left" w:pos="2111"/>
        </w:tabs>
        <w:ind w:left="2111" w:hanging="420"/>
      </w:pPr>
      <w:rPr>
        <w:rFonts w:hint="default" w:ascii="Wingdings" w:hAnsi="Wingdings"/>
      </w:rPr>
    </w:lvl>
    <w:lvl w:ilvl="3" w:tentative="0">
      <w:start w:val="1"/>
      <w:numFmt w:val="bullet"/>
      <w:lvlText w:val=""/>
      <w:lvlJc w:val="left"/>
      <w:pPr>
        <w:tabs>
          <w:tab w:val="left" w:pos="2531"/>
        </w:tabs>
        <w:ind w:left="2531" w:hanging="420"/>
      </w:pPr>
      <w:rPr>
        <w:rFonts w:hint="default" w:ascii="Wingdings" w:hAnsi="Wingdings"/>
      </w:rPr>
    </w:lvl>
    <w:lvl w:ilvl="4" w:tentative="0">
      <w:start w:val="1"/>
      <w:numFmt w:val="bullet"/>
      <w:lvlText w:val=""/>
      <w:lvlJc w:val="left"/>
      <w:pPr>
        <w:tabs>
          <w:tab w:val="left" w:pos="2951"/>
        </w:tabs>
        <w:ind w:left="2951" w:hanging="420"/>
      </w:pPr>
      <w:rPr>
        <w:rFonts w:hint="default" w:ascii="Wingdings" w:hAnsi="Wingdings"/>
      </w:rPr>
    </w:lvl>
    <w:lvl w:ilvl="5" w:tentative="0">
      <w:start w:val="1"/>
      <w:numFmt w:val="bullet"/>
      <w:lvlText w:val=""/>
      <w:lvlJc w:val="left"/>
      <w:pPr>
        <w:tabs>
          <w:tab w:val="left" w:pos="3371"/>
        </w:tabs>
        <w:ind w:left="3371" w:hanging="420"/>
      </w:pPr>
      <w:rPr>
        <w:rFonts w:hint="default" w:ascii="Wingdings" w:hAnsi="Wingdings"/>
      </w:rPr>
    </w:lvl>
    <w:lvl w:ilvl="6" w:tentative="0">
      <w:start w:val="1"/>
      <w:numFmt w:val="bullet"/>
      <w:lvlText w:val=""/>
      <w:lvlJc w:val="left"/>
      <w:pPr>
        <w:tabs>
          <w:tab w:val="left" w:pos="3791"/>
        </w:tabs>
        <w:ind w:left="3791" w:hanging="420"/>
      </w:pPr>
      <w:rPr>
        <w:rFonts w:hint="default" w:ascii="Wingdings" w:hAnsi="Wingdings"/>
      </w:rPr>
    </w:lvl>
    <w:lvl w:ilvl="7" w:tentative="0">
      <w:start w:val="1"/>
      <w:numFmt w:val="bullet"/>
      <w:lvlText w:val=""/>
      <w:lvlJc w:val="left"/>
      <w:pPr>
        <w:tabs>
          <w:tab w:val="left" w:pos="4211"/>
        </w:tabs>
        <w:ind w:left="4211" w:hanging="420"/>
      </w:pPr>
      <w:rPr>
        <w:rFonts w:hint="default" w:ascii="Wingdings" w:hAnsi="Wingdings"/>
      </w:rPr>
    </w:lvl>
    <w:lvl w:ilvl="8" w:tentative="0">
      <w:start w:val="1"/>
      <w:numFmt w:val="bullet"/>
      <w:lvlText w:val=""/>
      <w:lvlJc w:val="left"/>
      <w:pPr>
        <w:tabs>
          <w:tab w:val="left" w:pos="4631"/>
        </w:tabs>
        <w:ind w:left="4631" w:hanging="420"/>
      </w:pPr>
      <w:rPr>
        <w:rFonts w:hint="default" w:ascii="Wingdings" w:hAnsi="Wingdings"/>
      </w:rPr>
    </w:lvl>
  </w:abstractNum>
  <w:abstractNum w:abstractNumId="11">
    <w:nsid w:val="406BB89E"/>
    <w:multiLevelType w:val="singleLevel"/>
    <w:tmpl w:val="406BB89E"/>
    <w:lvl w:ilvl="0" w:tentative="0">
      <w:start w:val="1"/>
      <w:numFmt w:val="decimal"/>
      <w:lvlText w:val="%1."/>
      <w:lvlJc w:val="left"/>
      <w:pPr>
        <w:ind w:left="425" w:hanging="425"/>
      </w:pPr>
      <w:rPr>
        <w:rFonts w:hint="default"/>
      </w:rPr>
    </w:lvl>
  </w:abstractNum>
  <w:num w:numId="1">
    <w:abstractNumId w:val="0"/>
  </w:num>
  <w:num w:numId="2">
    <w:abstractNumId w:val="11"/>
  </w:num>
  <w:num w:numId="3">
    <w:abstractNumId w:val="10"/>
  </w:num>
  <w:num w:numId="4">
    <w:abstractNumId w:val="9"/>
  </w:num>
  <w:num w:numId="5">
    <w:abstractNumId w:val="5"/>
  </w:num>
  <w:num w:numId="6">
    <w:abstractNumId w:val="4"/>
  </w:num>
  <w:num w:numId="7">
    <w:abstractNumId w:val="2"/>
  </w:num>
  <w:num w:numId="8">
    <w:abstractNumId w:val="7"/>
  </w:num>
  <w:num w:numId="9">
    <w:abstractNumId w:val="6"/>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C3"/>
    <w:rsid w:val="000902D9"/>
    <w:rsid w:val="001007C5"/>
    <w:rsid w:val="0015789C"/>
    <w:rsid w:val="00210929"/>
    <w:rsid w:val="00285156"/>
    <w:rsid w:val="002F0807"/>
    <w:rsid w:val="0042479A"/>
    <w:rsid w:val="004F265D"/>
    <w:rsid w:val="00511D66"/>
    <w:rsid w:val="005315AB"/>
    <w:rsid w:val="00532F99"/>
    <w:rsid w:val="00594CC3"/>
    <w:rsid w:val="00686E83"/>
    <w:rsid w:val="006B167A"/>
    <w:rsid w:val="008760E0"/>
    <w:rsid w:val="0097766C"/>
    <w:rsid w:val="009F3953"/>
    <w:rsid w:val="00A02730"/>
    <w:rsid w:val="00B60FF9"/>
    <w:rsid w:val="00BD349D"/>
    <w:rsid w:val="00C0606F"/>
    <w:rsid w:val="00C735EF"/>
    <w:rsid w:val="00C74978"/>
    <w:rsid w:val="00C9469B"/>
    <w:rsid w:val="00CE3820"/>
    <w:rsid w:val="00D60A8F"/>
    <w:rsid w:val="00D97067"/>
    <w:rsid w:val="00DE05BF"/>
    <w:rsid w:val="00F17CCC"/>
    <w:rsid w:val="00F97D43"/>
    <w:rsid w:val="01081F47"/>
    <w:rsid w:val="02726C19"/>
    <w:rsid w:val="07410F25"/>
    <w:rsid w:val="09BC55CF"/>
    <w:rsid w:val="102F00F6"/>
    <w:rsid w:val="11833BFA"/>
    <w:rsid w:val="1F5B5511"/>
    <w:rsid w:val="2774024A"/>
    <w:rsid w:val="30573886"/>
    <w:rsid w:val="30AC3A08"/>
    <w:rsid w:val="396C4FD7"/>
    <w:rsid w:val="430C6F47"/>
    <w:rsid w:val="497C7356"/>
    <w:rsid w:val="49D00052"/>
    <w:rsid w:val="4C8A36CB"/>
    <w:rsid w:val="4D2477AF"/>
    <w:rsid w:val="53767408"/>
    <w:rsid w:val="550851E3"/>
    <w:rsid w:val="668C08CC"/>
    <w:rsid w:val="694D3B13"/>
    <w:rsid w:val="69647861"/>
    <w:rsid w:val="6A315B87"/>
    <w:rsid w:val="6C654268"/>
    <w:rsid w:val="748B119F"/>
    <w:rsid w:val="76C02BEC"/>
    <w:rsid w:val="7A0B3DFB"/>
    <w:rsid w:val="7F1C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5"/>
    <w:qFormat/>
    <w:uiPriority w:val="9"/>
    <w:pPr>
      <w:keepNext/>
      <w:keepLines/>
      <w:spacing w:before="100" w:after="90" w:line="578" w:lineRule="auto"/>
      <w:outlineLvl w:val="0"/>
    </w:pPr>
    <w:rPr>
      <w:rFonts w:eastAsia="宋体" w:asciiTheme="minorAscii" w:hAnsiTheme="minorAscii"/>
      <w:b/>
      <w:bCs/>
      <w:kern w:val="44"/>
      <w:sz w:val="24"/>
      <w:szCs w:val="44"/>
    </w:rPr>
  </w:style>
  <w:style w:type="paragraph" w:styleId="4">
    <w:name w:val="heading 2"/>
    <w:basedOn w:val="3"/>
    <w:next w:val="1"/>
    <w:link w:val="16"/>
    <w:unhideWhenUsed/>
    <w:qFormat/>
    <w:uiPriority w:val="9"/>
    <w:pPr>
      <w:keepNext/>
      <w:keepLines/>
      <w:spacing w:before="260" w:after="260" w:line="416" w:lineRule="auto"/>
      <w:jc w:val="left"/>
      <w:outlineLvl w:val="1"/>
    </w:pPr>
    <w:rPr>
      <w:rFonts w:eastAsia="宋体" w:asciiTheme="majorAscii" w:hAnsiTheme="majorAscii" w:cstheme="majorBidi"/>
      <w:b/>
      <w:bCs/>
      <w:szCs w:val="32"/>
    </w:rPr>
  </w:style>
  <w:style w:type="paragraph" w:styleId="5">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8"/>
    <w:unhideWhenUsed/>
    <w:qFormat/>
    <w:uiPriority w:val="9"/>
    <w:pPr>
      <w:keepNext/>
      <w:keepLines/>
      <w:spacing w:before="280" w:after="290" w:line="376" w:lineRule="auto"/>
      <w:outlineLvl w:val="3"/>
    </w:pPr>
    <w:rPr>
      <w:rFonts w:eastAsia="宋体" w:asciiTheme="majorHAnsi" w:hAnsiTheme="majorHAnsi"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semiHidden/>
    <w:unhideWhenUsed/>
    <w:qFormat/>
    <w:uiPriority w:val="99"/>
    <w:pPr>
      <w:ind w:left="420" w:leftChars="200"/>
    </w:p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styleId="14">
    <w:name w:val="List Paragraph"/>
    <w:basedOn w:val="1"/>
    <w:qFormat/>
    <w:uiPriority w:val="34"/>
    <w:pPr>
      <w:ind w:firstLine="420" w:firstLineChars="200"/>
    </w:pPr>
  </w:style>
  <w:style w:type="character" w:customStyle="1" w:styleId="15">
    <w:name w:val="标题 1 字符"/>
    <w:basedOn w:val="12"/>
    <w:link w:val="2"/>
    <w:qFormat/>
    <w:uiPriority w:val="9"/>
    <w:rPr>
      <w:rFonts w:eastAsia="宋体" w:asciiTheme="minorAscii" w:hAnsiTheme="minorAscii"/>
      <w:b/>
      <w:bCs/>
      <w:kern w:val="44"/>
      <w:sz w:val="24"/>
      <w:szCs w:val="44"/>
    </w:rPr>
  </w:style>
  <w:style w:type="character" w:customStyle="1" w:styleId="16">
    <w:name w:val="标题 2 字符"/>
    <w:basedOn w:val="12"/>
    <w:link w:val="4"/>
    <w:qFormat/>
    <w:uiPriority w:val="9"/>
    <w:rPr>
      <w:rFonts w:eastAsia="宋体" w:asciiTheme="majorAscii" w:hAnsiTheme="majorAscii" w:cstheme="majorBidi"/>
      <w:b/>
      <w:bCs/>
      <w:sz w:val="21"/>
      <w:szCs w:val="32"/>
    </w:rPr>
  </w:style>
  <w:style w:type="character" w:customStyle="1" w:styleId="17">
    <w:name w:val="标题 3 字符"/>
    <w:basedOn w:val="12"/>
    <w:link w:val="5"/>
    <w:qFormat/>
    <w:uiPriority w:val="9"/>
    <w:rPr>
      <w:b/>
      <w:bCs/>
      <w:sz w:val="32"/>
      <w:szCs w:val="32"/>
    </w:rPr>
  </w:style>
  <w:style w:type="character" w:customStyle="1" w:styleId="18">
    <w:name w:val="标题 4 字符"/>
    <w:basedOn w:val="12"/>
    <w:link w:val="6"/>
    <w:qFormat/>
    <w:uiPriority w:val="9"/>
    <w:rPr>
      <w:rFonts w:eastAsia="宋体" w:asciiTheme="majorHAnsi" w:hAnsiTheme="majorHAnsi" w:cstheme="majorBidi"/>
      <w:b/>
      <w:bCs/>
      <w:szCs w:val="28"/>
    </w:rPr>
  </w:style>
  <w:style w:type="paragraph" w:customStyle="1" w:styleId="19">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618</Words>
  <Characters>3523</Characters>
  <Lines>29</Lines>
  <Paragraphs>8</Paragraphs>
  <TotalTime>49</TotalTime>
  <ScaleCrop>false</ScaleCrop>
  <LinksUpToDate>false</LinksUpToDate>
  <CharactersWithSpaces>4133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2020-03-25T13:29:00Z</dcterms:created>
  <dc:creator>Administrator</dc:creator>
  <cp:lastModifiedBy>frins</cp:lastModifiedBy>
  <dcterms:modified xsi:type="dcterms:W3CDTF">2020-04-26T10:06:23Z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