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5F" w:rsidRPr="0017575F" w:rsidRDefault="0017575F" w:rsidP="0017575F">
      <w:pPr>
        <w:pStyle w:val="ac"/>
        <w:adjustRightInd w:val="0"/>
        <w:snapToGrid w:val="0"/>
        <w:spacing w:beforeLines="50" w:before="156" w:afterLines="50" w:after="156" w:line="360" w:lineRule="exact"/>
        <w:ind w:firstLineChars="0" w:firstLine="0"/>
        <w:jc w:val="left"/>
        <w:rPr>
          <w:rFonts w:ascii="微软雅黑" w:eastAsia="微软雅黑" w:hAnsi="微软雅黑" w:cs="微软雅黑"/>
          <w:b/>
          <w:sz w:val="21"/>
          <w:szCs w:val="21"/>
        </w:rPr>
      </w:pPr>
      <w:r w:rsidRPr="0017575F">
        <w:rPr>
          <w:rFonts w:ascii="微软雅黑" w:eastAsia="微软雅黑" w:hAnsi="微软雅黑" w:cs="微软雅黑" w:hint="eastAsia"/>
          <w:b/>
          <w:sz w:val="21"/>
          <w:szCs w:val="21"/>
        </w:rPr>
        <w:t>附件1：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 xml:space="preserve">                        </w:t>
      </w:r>
    </w:p>
    <w:p w:rsidR="00A47C96" w:rsidRPr="0017575F" w:rsidRDefault="00F40E4A" w:rsidP="0017575F">
      <w:pPr>
        <w:pStyle w:val="ac"/>
        <w:adjustRightInd w:val="0"/>
        <w:snapToGrid w:val="0"/>
        <w:spacing w:beforeLines="50" w:before="156" w:afterLines="50" w:after="156" w:line="360" w:lineRule="exact"/>
        <w:ind w:firstLineChars="0" w:firstLine="0"/>
        <w:rPr>
          <w:rFonts w:ascii="微软雅黑" w:eastAsia="微软雅黑" w:hAnsi="微软雅黑" w:cs="微软雅黑"/>
          <w:sz w:val="21"/>
          <w:szCs w:val="21"/>
        </w:rPr>
      </w:pPr>
      <w:r w:rsidRPr="0017575F">
        <w:rPr>
          <w:rFonts w:ascii="微软雅黑" w:eastAsia="微软雅黑" w:hAnsi="微软雅黑" w:cs="微软雅黑" w:hint="eastAsia"/>
          <w:b/>
          <w:sz w:val="21"/>
          <w:szCs w:val="21"/>
        </w:rPr>
        <w:t>内镜清洗消毒可追溯系统</w:t>
      </w:r>
      <w:r w:rsidR="008A1D8C">
        <w:rPr>
          <w:rFonts w:ascii="微软雅黑" w:eastAsia="微软雅黑" w:hAnsi="微软雅黑" w:cs="微软雅黑" w:hint="eastAsia"/>
          <w:b/>
          <w:sz w:val="21"/>
          <w:szCs w:val="21"/>
        </w:rPr>
        <w:t>采购</w:t>
      </w:r>
      <w:bookmarkStart w:id="0" w:name="_GoBack"/>
      <w:bookmarkEnd w:id="0"/>
      <w:r w:rsidR="008A1D8C">
        <w:rPr>
          <w:rFonts w:ascii="微软雅黑" w:eastAsia="微软雅黑" w:hAnsi="微软雅黑" w:cs="微软雅黑" w:hint="eastAsia"/>
          <w:b/>
          <w:sz w:val="21"/>
          <w:szCs w:val="21"/>
        </w:rPr>
        <w:t>项目</w:t>
      </w:r>
      <w:r w:rsidRPr="0017575F">
        <w:rPr>
          <w:rFonts w:ascii="微软雅黑" w:eastAsia="微软雅黑" w:hAnsi="微软雅黑" w:cs="微软雅黑" w:hint="eastAsia"/>
          <w:b/>
          <w:sz w:val="21"/>
          <w:szCs w:val="21"/>
        </w:rPr>
        <w:t>需求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941"/>
        <w:gridCol w:w="519"/>
        <w:gridCol w:w="518"/>
        <w:gridCol w:w="6342"/>
      </w:tblGrid>
      <w:tr w:rsidR="00A47C96">
        <w:trPr>
          <w:trHeight w:val="404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序号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设备名称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数量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单位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技术参数及性能配置要求</w:t>
            </w:r>
          </w:p>
        </w:tc>
      </w:tr>
      <w:tr w:rsidR="00A47C96">
        <w:trPr>
          <w:trHeight w:val="605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内镜洗消追溯系统控制工作站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台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tabs>
                <w:tab w:val="left" w:pos="1102"/>
              </w:tabs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1、23.8英寸 </w:t>
            </w:r>
          </w:p>
          <w:p w:rsidR="00A47C96" w:rsidRDefault="002655E6">
            <w:pPr>
              <w:pStyle w:val="af0"/>
              <w:numPr>
                <w:ilvl w:val="0"/>
                <w:numId w:val="1"/>
              </w:numPr>
              <w:tabs>
                <w:tab w:val="left" w:pos="1102"/>
              </w:tabs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i5-10500 集显 </w:t>
            </w:r>
          </w:p>
          <w:p w:rsidR="00A47C96" w:rsidRDefault="002655E6">
            <w:pPr>
              <w:pStyle w:val="af0"/>
              <w:numPr>
                <w:ilvl w:val="0"/>
                <w:numId w:val="1"/>
              </w:numPr>
              <w:tabs>
                <w:tab w:val="left" w:pos="1102"/>
              </w:tabs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内存8G </w:t>
            </w:r>
          </w:p>
          <w:p w:rsidR="00A47C96" w:rsidRDefault="002655E6">
            <w:pPr>
              <w:pStyle w:val="af0"/>
              <w:numPr>
                <w:ilvl w:val="0"/>
                <w:numId w:val="1"/>
              </w:numPr>
              <w:tabs>
                <w:tab w:val="left" w:pos="1102"/>
              </w:tabs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512G固态 </w:t>
            </w:r>
          </w:p>
        </w:tc>
      </w:tr>
      <w:tr w:rsidR="00A47C96">
        <w:trPr>
          <w:trHeight w:val="605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内镜洗消追溯系统软件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套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1、手工洗消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1.1、记录清洗----漂洗----消毒----终末消毒----干燥等环节的开始时间、操作人员、内镜编号；可按照实际清洗流程进行实时的配置调整。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1.2、步骤审核，错误时中断并报警。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2、机器洗消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2.1、记录操作人员、内镜编号、清洗开始和结束时间。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2.2、步骤审核，错误时中断并报警。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3、检查间内镜使用管理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3.1、记录内镜使用过程信息，包括病人信息、内镜信息、护士、医生、台号、使用时间、结束时间、使用时长。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3.2、与内镜管理信息系统对接，方便操作。提供智能启动接口，供其他系统调用，启动时，同步加载病人信息。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3.3、具有修正功能：使用时，如特殊情况（比如因为病人原因或者镜子原因，临时不用这个镜子了）可及时修正内镜信息；但必须有记录和管理员权限。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3.4、床旁预处理：记录预处理的操作人员、开始结束时间、内镜编号；并根据检查的结束时间（和内镜信息管理系统对接），判断预处理是否符合要求。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4.查询追溯统计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4.1、可完整记录内镜消毒过程，包括操作人员、时间、内镜、每个清洗步骤时间等信息；可追溯每个循环的内镜使用过程，包括检查医师、时间、内镜、患者等信息。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4.2、可查询每个循环内内镜的消毒和使用信息，并支持多条件查询；可查询每个内镜当前的状态。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4.3、工作量统计、设备使用率统计、内镜数据统计、成本核算，所有数据都应支持打印、EXCEL导出。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4.4、支持实时内镜状态主动监测，可在大屏中滚动播放。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4.5、测漏管理，每次或每日登记手工洗消流程的测漏结果，汇总自动洗消机测漏结果。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5.信息相关功能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5.1、同其他系统对接支持。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5.2、具有独立的备份与恢复程序。备份数据可自动刻录存储于硬盘中。当数据损坏或者丢失时，可将备份数据导入存储服务器中。备份数据可在任意一台计算机上打开浏览。</w:t>
            </w:r>
          </w:p>
        </w:tc>
      </w:tr>
      <w:tr w:rsidR="00A47C96">
        <w:trPr>
          <w:trHeight w:val="605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RFID智能识别器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50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个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1、尺寸:105"70*12mm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2、工作温度:-10t +85℃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3、供电电源:5V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4、读卡距离:3-10m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5、存诸温度:-20 t +85℃</w:t>
            </w:r>
          </w:p>
        </w:tc>
      </w:tr>
      <w:tr w:rsidR="00A47C96">
        <w:trPr>
          <w:trHeight w:val="605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lastRenderedPageBreak/>
              <w:t>4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RFID智能识别卡（设备卡）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120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个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6、频率:860~960Mhz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7、协议:ISO18000-6Type B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8、容量:96-128位EPC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9、编码64bitsUID 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10、内存:2048Bits</w:t>
            </w:r>
          </w:p>
        </w:tc>
      </w:tr>
      <w:tr w:rsidR="00A47C96">
        <w:trPr>
          <w:trHeight w:val="605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RFID智能识别卡（人员卡）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个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1、封装材质：ABS/PVC+进口滴胶（硬胶/软胶） 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br/>
              <w:t>2、读写距离：2-10cm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br/>
              <w:t>3、工作温度：-20°C~55°C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br/>
              <w:t>4、擦写寿命：10万次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br/>
              <w:t>5、封装工艺：超声波自动植线/自动碰焊</w:t>
            </w:r>
          </w:p>
        </w:tc>
      </w:tr>
      <w:tr w:rsidR="00A47C96">
        <w:trPr>
          <w:trHeight w:val="605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6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内镜洗消追溯系统硬件（串口盒）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7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个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1、即插即用，自动选择IRQ和I/O地址，PCI转8S扩展卡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2、支持PCI IRQ共享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3、支持1个以上的卡系统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4、可连接多个串口</w:t>
            </w:r>
          </w:p>
        </w:tc>
      </w:tr>
      <w:tr w:rsidR="00A47C96">
        <w:trPr>
          <w:trHeight w:val="605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7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读卡器集中供电器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个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1、充电器适用形式: 直充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2、充电协议: DCP BC1.2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3、输出功率：18w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4、多口供电</w:t>
            </w:r>
          </w:p>
        </w:tc>
      </w:tr>
      <w:tr w:rsidR="00A47C96">
        <w:trPr>
          <w:trHeight w:val="605"/>
          <w:jc w:val="center"/>
        </w:trPr>
        <w:tc>
          <w:tcPr>
            <w:tcW w:w="43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</w:t>
            </w:r>
          </w:p>
        </w:tc>
        <w:tc>
          <w:tcPr>
            <w:tcW w:w="941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读卡器单一供电器</w:t>
            </w:r>
          </w:p>
        </w:tc>
        <w:tc>
          <w:tcPr>
            <w:tcW w:w="519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15</w:t>
            </w:r>
          </w:p>
        </w:tc>
        <w:tc>
          <w:tcPr>
            <w:tcW w:w="518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center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个</w:t>
            </w:r>
          </w:p>
        </w:tc>
        <w:tc>
          <w:tcPr>
            <w:tcW w:w="6342" w:type="dxa"/>
            <w:vAlign w:val="center"/>
          </w:tcPr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1、充电协议： QC2.0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2、输出功率：18w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3、单口供电</w:t>
            </w:r>
          </w:p>
        </w:tc>
      </w:tr>
      <w:tr w:rsidR="00A47C96">
        <w:trPr>
          <w:trHeight w:val="605"/>
          <w:jc w:val="center"/>
        </w:trPr>
        <w:tc>
          <w:tcPr>
            <w:tcW w:w="8759" w:type="dxa"/>
            <w:gridSpan w:val="5"/>
            <w:vAlign w:val="center"/>
          </w:tcPr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其他要求：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1、乙方应提供现场技术培训，保证使用人员正常操作设备的各种功能。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2、软件质保期限贰年，硬件质保期限叁年，质保期内免费保修，系统终身维护。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3、交货期：自签订合同之后起 30天。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4、交货地点：广东省人民医院</w:t>
            </w:r>
          </w:p>
          <w:p w:rsidR="00A47C96" w:rsidRDefault="002655E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5、保修服务要求：</w:t>
            </w:r>
          </w:p>
          <w:tbl>
            <w:tblPr>
              <w:tblW w:w="767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2438"/>
              <w:gridCol w:w="1787"/>
              <w:gridCol w:w="2281"/>
            </w:tblGrid>
            <w:tr w:rsidR="00A47C96">
              <w:trPr>
                <w:trHeight w:val="274"/>
                <w:jc w:val="center"/>
              </w:trPr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项目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关键控制点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衡量内容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目标</w:t>
                  </w:r>
                </w:p>
              </w:tc>
            </w:tr>
            <w:tr w:rsidR="00A47C96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服务响应时间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现场响应能力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工作时间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7x24（0:00AM--23：59PM）</w:t>
                  </w:r>
                </w:p>
              </w:tc>
            </w:tr>
            <w:tr w:rsidR="00A47C96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A47C9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紧急故障（系统瘫痪）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&lt;=2小时</w:t>
                  </w:r>
                </w:p>
              </w:tc>
            </w:tr>
            <w:tr w:rsidR="00A47C96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A47C9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严重故障（系统性能受损）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&lt;=4小时</w:t>
                  </w:r>
                </w:p>
              </w:tc>
            </w:tr>
            <w:tr w:rsidR="00A47C96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A47C9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一般故障（系统运行正常）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响应时间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&lt;=8小时</w:t>
                  </w:r>
                </w:p>
              </w:tc>
            </w:tr>
            <w:tr w:rsidR="00A47C96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服务周期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硬件故障恢复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工作时间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7x24（0:00AM--23：59PM）</w:t>
                  </w:r>
                </w:p>
              </w:tc>
            </w:tr>
            <w:tr w:rsidR="00A47C96">
              <w:trPr>
                <w:cantSplit/>
                <w:trHeight w:val="548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A47C9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紧急故障（系统瘫痪）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&lt;=24小时</w:t>
                  </w:r>
                </w:p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超过24小时提供配件备机</w:t>
                  </w:r>
                </w:p>
              </w:tc>
            </w:tr>
            <w:tr w:rsidR="00A47C96">
              <w:trPr>
                <w:cantSplit/>
                <w:trHeight w:val="279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A47C9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严重故障（系统性能受损）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&lt;=48小时</w:t>
                  </w:r>
                </w:p>
              </w:tc>
            </w:tr>
            <w:tr w:rsidR="00A47C96">
              <w:trPr>
                <w:cantSplit/>
                <w:trHeight w:val="287"/>
                <w:jc w:val="center"/>
              </w:trPr>
              <w:tc>
                <w:tcPr>
                  <w:tcW w:w="11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A47C9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一般故障（系统运行正常）</w:t>
                  </w:r>
                </w:p>
              </w:tc>
              <w:tc>
                <w:tcPr>
                  <w:tcW w:w="1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硬件故障恢复周期</w:t>
                  </w:r>
                </w:p>
              </w:tc>
              <w:tc>
                <w:tcPr>
                  <w:tcW w:w="2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7C96" w:rsidRDefault="002655E6">
                  <w:pPr>
                    <w:pStyle w:val="af0"/>
                    <w:ind w:firstLineChars="0" w:firstLine="0"/>
                    <w:jc w:val="left"/>
                    <w:rPr>
                      <w:rFonts w:ascii="微软雅黑" w:eastAsia="微软雅黑" w:hAnsi="微软雅黑" w:cs="微软雅黑"/>
                      <w:sz w:val="15"/>
                      <w:szCs w:val="15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15"/>
                      <w:szCs w:val="15"/>
                    </w:rPr>
                    <w:t>&lt;=72小时</w:t>
                  </w:r>
                </w:p>
              </w:tc>
            </w:tr>
          </w:tbl>
          <w:p w:rsidR="00A47C96" w:rsidRDefault="00A47C96">
            <w:pPr>
              <w:pStyle w:val="af0"/>
              <w:ind w:firstLineChars="0" w:firstLine="0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</w:p>
        </w:tc>
      </w:tr>
    </w:tbl>
    <w:p w:rsidR="00A47C96" w:rsidRDefault="00A47C96">
      <w:pPr>
        <w:rPr>
          <w:rFonts w:ascii="微软雅黑" w:eastAsia="微软雅黑" w:hAnsi="微软雅黑" w:cs="微软雅黑"/>
        </w:rPr>
      </w:pPr>
    </w:p>
    <w:p w:rsidR="00A47C96" w:rsidRDefault="00A47C96">
      <w:pPr>
        <w:rPr>
          <w:rFonts w:ascii="微软雅黑" w:eastAsia="微软雅黑" w:hAnsi="微软雅黑" w:cs="微软雅黑"/>
        </w:rPr>
      </w:pPr>
    </w:p>
    <w:sectPr w:rsidR="00A47C96" w:rsidSect="00A4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E0" w:rsidRDefault="00B22CE0" w:rsidP="00F40E4A">
      <w:r>
        <w:separator/>
      </w:r>
    </w:p>
  </w:endnote>
  <w:endnote w:type="continuationSeparator" w:id="0">
    <w:p w:rsidR="00B22CE0" w:rsidRDefault="00B22CE0" w:rsidP="00F4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E0" w:rsidRDefault="00B22CE0" w:rsidP="00F40E4A">
      <w:r>
        <w:separator/>
      </w:r>
    </w:p>
  </w:footnote>
  <w:footnote w:type="continuationSeparator" w:id="0">
    <w:p w:rsidR="00B22CE0" w:rsidRDefault="00B22CE0" w:rsidP="00F4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F6E5"/>
    <w:multiLevelType w:val="singleLevel"/>
    <w:tmpl w:val="1251F6E5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7E61"/>
    <w:rsid w:val="00024221"/>
    <w:rsid w:val="0017575F"/>
    <w:rsid w:val="001B0B9F"/>
    <w:rsid w:val="00253217"/>
    <w:rsid w:val="002655E6"/>
    <w:rsid w:val="003F7E61"/>
    <w:rsid w:val="0042612A"/>
    <w:rsid w:val="004C7F95"/>
    <w:rsid w:val="00656839"/>
    <w:rsid w:val="00684A9E"/>
    <w:rsid w:val="006D3539"/>
    <w:rsid w:val="0078025C"/>
    <w:rsid w:val="00817052"/>
    <w:rsid w:val="008A1D8C"/>
    <w:rsid w:val="008B08E1"/>
    <w:rsid w:val="009D263F"/>
    <w:rsid w:val="00A47C96"/>
    <w:rsid w:val="00AA2F95"/>
    <w:rsid w:val="00AC3486"/>
    <w:rsid w:val="00B22CE0"/>
    <w:rsid w:val="00C2775E"/>
    <w:rsid w:val="00C74377"/>
    <w:rsid w:val="00CA471D"/>
    <w:rsid w:val="00CB4910"/>
    <w:rsid w:val="00E35E75"/>
    <w:rsid w:val="00E536AC"/>
    <w:rsid w:val="00F40E4A"/>
    <w:rsid w:val="00FD02C0"/>
    <w:rsid w:val="0259009E"/>
    <w:rsid w:val="08C67DB2"/>
    <w:rsid w:val="1309740C"/>
    <w:rsid w:val="14350F18"/>
    <w:rsid w:val="158D308D"/>
    <w:rsid w:val="1AAE5C7E"/>
    <w:rsid w:val="1D820791"/>
    <w:rsid w:val="1F504B2A"/>
    <w:rsid w:val="21507E82"/>
    <w:rsid w:val="26B351DB"/>
    <w:rsid w:val="2BE55B7B"/>
    <w:rsid w:val="322E25EB"/>
    <w:rsid w:val="35C020FA"/>
    <w:rsid w:val="3643759F"/>
    <w:rsid w:val="3A9B5DDC"/>
    <w:rsid w:val="3B9B1E14"/>
    <w:rsid w:val="3DB66DED"/>
    <w:rsid w:val="3E983F7B"/>
    <w:rsid w:val="432718F1"/>
    <w:rsid w:val="47EB6DBB"/>
    <w:rsid w:val="48DF2D0C"/>
    <w:rsid w:val="4AA0500F"/>
    <w:rsid w:val="4C993BFA"/>
    <w:rsid w:val="544C1C21"/>
    <w:rsid w:val="54B04192"/>
    <w:rsid w:val="55D71EF5"/>
    <w:rsid w:val="59AF014B"/>
    <w:rsid w:val="5D6072CA"/>
    <w:rsid w:val="5DB8101B"/>
    <w:rsid w:val="5E731B81"/>
    <w:rsid w:val="63B71FAC"/>
    <w:rsid w:val="667334E8"/>
    <w:rsid w:val="6A695295"/>
    <w:rsid w:val="6B0D5785"/>
    <w:rsid w:val="6B155BDC"/>
    <w:rsid w:val="6CE548A6"/>
    <w:rsid w:val="6EE4393F"/>
    <w:rsid w:val="71195113"/>
    <w:rsid w:val="7422138B"/>
    <w:rsid w:val="7E35369A"/>
    <w:rsid w:val="7F0B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3F6285"/>
  <w15:docId w15:val="{839E957C-CB47-45EC-8720-B2C6036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C9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A47C96"/>
    <w:pPr>
      <w:jc w:val="left"/>
    </w:pPr>
  </w:style>
  <w:style w:type="paragraph" w:styleId="a5">
    <w:name w:val="Balloon Text"/>
    <w:basedOn w:val="a"/>
    <w:link w:val="a6"/>
    <w:qFormat/>
    <w:rsid w:val="00A47C96"/>
    <w:rPr>
      <w:sz w:val="18"/>
      <w:szCs w:val="18"/>
    </w:rPr>
  </w:style>
  <w:style w:type="paragraph" w:styleId="a7">
    <w:name w:val="footer"/>
    <w:basedOn w:val="a"/>
    <w:link w:val="a8"/>
    <w:qFormat/>
    <w:rsid w:val="00A4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A4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A47C96"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next w:val="a"/>
    <w:qFormat/>
    <w:rsid w:val="00A47C96"/>
    <w:pPr>
      <w:spacing w:line="360" w:lineRule="auto"/>
      <w:ind w:firstLineChars="200" w:firstLine="200"/>
      <w:jc w:val="center"/>
      <w:outlineLvl w:val="0"/>
    </w:pPr>
    <w:rPr>
      <w:rFonts w:ascii="Cambria" w:hAnsi="Cambria"/>
      <w:bCs/>
      <w:color w:val="000000"/>
      <w:sz w:val="32"/>
      <w:szCs w:val="32"/>
    </w:rPr>
  </w:style>
  <w:style w:type="paragraph" w:styleId="ad">
    <w:name w:val="annotation subject"/>
    <w:basedOn w:val="a3"/>
    <w:next w:val="a3"/>
    <w:link w:val="ae"/>
    <w:qFormat/>
    <w:rsid w:val="00A47C96"/>
    <w:rPr>
      <w:b/>
      <w:bCs/>
    </w:rPr>
  </w:style>
  <w:style w:type="character" w:styleId="af">
    <w:name w:val="annotation reference"/>
    <w:basedOn w:val="a0"/>
    <w:qFormat/>
    <w:rsid w:val="00A47C96"/>
    <w:rPr>
      <w:sz w:val="21"/>
      <w:szCs w:val="21"/>
    </w:rPr>
  </w:style>
  <w:style w:type="paragraph" w:styleId="af0">
    <w:name w:val="List Paragraph"/>
    <w:basedOn w:val="a"/>
    <w:uiPriority w:val="34"/>
    <w:qFormat/>
    <w:rsid w:val="00A47C96"/>
    <w:pPr>
      <w:ind w:firstLineChars="200" w:firstLine="420"/>
    </w:pPr>
  </w:style>
  <w:style w:type="character" w:customStyle="1" w:styleId="aa">
    <w:name w:val="页眉 字符"/>
    <w:basedOn w:val="a0"/>
    <w:link w:val="a9"/>
    <w:qFormat/>
    <w:rsid w:val="00A47C96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A47C96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sid w:val="00A47C96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A47C96"/>
    <w:rPr>
      <w:kern w:val="2"/>
      <w:sz w:val="21"/>
    </w:rPr>
  </w:style>
  <w:style w:type="character" w:customStyle="1" w:styleId="ae">
    <w:name w:val="批注主题 字符"/>
    <w:basedOn w:val="a4"/>
    <w:link w:val="ad"/>
    <w:qFormat/>
    <w:rsid w:val="00A47C96"/>
    <w:rPr>
      <w:b/>
      <w:bCs/>
      <w:kern w:val="2"/>
      <w:sz w:val="21"/>
    </w:rPr>
  </w:style>
  <w:style w:type="paragraph" w:customStyle="1" w:styleId="1">
    <w:name w:val="修订1"/>
    <w:hidden/>
    <w:uiPriority w:val="99"/>
    <w:unhideWhenUsed/>
    <w:qFormat/>
    <w:rsid w:val="00A47C9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飞鱼</dc:creator>
  <cp:lastModifiedBy>netuser</cp:lastModifiedBy>
  <cp:revision>5</cp:revision>
  <cp:lastPrinted>2020-07-09T02:17:00Z</cp:lastPrinted>
  <dcterms:created xsi:type="dcterms:W3CDTF">2020-07-15T09:50:00Z</dcterms:created>
  <dcterms:modified xsi:type="dcterms:W3CDTF">2020-08-26T03:56:00Z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