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_GB2312" w:hAnsi="仿宋" w:eastAsia="仿宋_GB2312"/>
          <w:sz w:val="30"/>
          <w:szCs w:val="30"/>
          <w:u w:val="single"/>
        </w:rPr>
        <w:t>广东省工人医院转型发展项目</w:t>
      </w:r>
      <w:r>
        <w:rPr>
          <w:rFonts w:hint="eastAsia" w:ascii="仿宋_GB2312" w:hAnsi="仿宋" w:eastAsia="仿宋_GB2312"/>
          <w:sz w:val="30"/>
          <w:szCs w:val="30"/>
          <w:u w:val="single"/>
          <w:lang w:eastAsia="zh-CN"/>
        </w:rPr>
        <w:t>项目建议书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default" w:ascii="仿宋_GB2312" w:hAnsi="仿宋" w:eastAsia="仿宋_GB2312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    万元整（小写：XXXX元）。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eastAsia="zh-CN"/>
        </w:rPr>
        <w:t>工期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>XXXX天。</w:t>
      </w:r>
      <w:bookmarkStart w:id="0" w:name="_GoBack"/>
      <w:bookmarkEnd w:id="0"/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报价依据：</w:t>
      </w:r>
    </w:p>
    <w:p>
      <w:pPr>
        <w:snapToGrid w:val="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原国家计委“计价格[1999</w:t>
      </w:r>
      <w:r>
        <w:rPr>
          <w:rFonts w:ascii="黑体" w:eastAsia="黑体"/>
          <w:sz w:val="28"/>
          <w:szCs w:val="28"/>
        </w:rPr>
        <w:t>]</w:t>
      </w:r>
      <w:r>
        <w:rPr>
          <w:rFonts w:hint="eastAsia" w:ascii="黑体" w:eastAsia="黑体"/>
          <w:sz w:val="28"/>
          <w:szCs w:val="28"/>
        </w:rPr>
        <w:t>1283号”文</w:t>
      </w:r>
    </w:p>
    <w:p>
      <w:pPr>
        <w:snapToGrid w:val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28"/>
          <w:szCs w:val="28"/>
        </w:rPr>
        <w:t>按建设项目估算投资额分档收费标准</w:t>
      </w:r>
    </w:p>
    <w:p>
      <w:pPr>
        <w:ind w:right="315"/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286"/>
        <w:gridCol w:w="1286"/>
        <w:gridCol w:w="1286"/>
        <w:gridCol w:w="1287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634" w:type="dxa"/>
            <w:tcBorders>
              <w:top w:val="single" w:color="auto" w:sz="12" w:space="0"/>
              <w:left w:val="nil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估算投资额</w:t>
            </w:r>
          </w:p>
          <w:p>
            <w:pPr>
              <w:ind w:left="13" w:hanging="12" w:hangingChars="6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咨询评估项目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3000万元</w:t>
            </w:r>
          </w:p>
          <w:p>
            <w:pPr>
              <w:ind w:right="-107" w:rightChars="-51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～1亿元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1亿元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～5亿元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5亿元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～10亿元</w:t>
            </w:r>
          </w:p>
        </w:tc>
        <w:tc>
          <w:tcPr>
            <w:tcW w:w="128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10亿元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～50亿元</w:t>
            </w:r>
          </w:p>
        </w:tc>
        <w:tc>
          <w:tcPr>
            <w:tcW w:w="1245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ind w:left="-73" w:leftChars="-35" w:right="-130" w:rightChars="-62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50亿元</w:t>
            </w:r>
          </w:p>
          <w:p>
            <w:pPr>
              <w:ind w:left="-73" w:leftChars="-35" w:right="-130" w:rightChars="-62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34" w:type="dxa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一、编制项目建议书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6～14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14～37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37～55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55～100</w:t>
            </w:r>
          </w:p>
        </w:tc>
        <w:tc>
          <w:tcPr>
            <w:tcW w:w="1245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100～125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34" w:type="dxa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二、编制可行性研究报告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12～28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28～75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75～110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110～200</w:t>
            </w:r>
          </w:p>
        </w:tc>
        <w:tc>
          <w:tcPr>
            <w:tcW w:w="1245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200～250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34" w:type="dxa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三、评估项目建议书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4～8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8～12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12～15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15～17</w:t>
            </w:r>
          </w:p>
        </w:tc>
        <w:tc>
          <w:tcPr>
            <w:tcW w:w="1245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17～20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634" w:type="dxa"/>
            <w:tcBorders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四、评估可行性研究报告</w:t>
            </w:r>
          </w:p>
        </w:tc>
        <w:tc>
          <w:tcPr>
            <w:tcW w:w="128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5～10</w:t>
            </w:r>
          </w:p>
        </w:tc>
        <w:tc>
          <w:tcPr>
            <w:tcW w:w="128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10～15</w:t>
            </w:r>
          </w:p>
        </w:tc>
        <w:tc>
          <w:tcPr>
            <w:tcW w:w="128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15～20</w:t>
            </w:r>
          </w:p>
        </w:tc>
        <w:tc>
          <w:tcPr>
            <w:tcW w:w="128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20～25</w:t>
            </w:r>
          </w:p>
        </w:tc>
        <w:tc>
          <w:tcPr>
            <w:tcW w:w="1245" w:type="dxa"/>
            <w:tcBorders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25～35</w:t>
            </w:r>
          </w:p>
        </w:tc>
      </w:tr>
    </w:tbl>
    <w:p>
      <w:pPr>
        <w:ind w:firstLine="210" w:firstLineChars="100"/>
        <w:rPr>
          <w:rFonts w:hint="eastAsia"/>
          <w:lang w:eastAsia="zh-CN"/>
        </w:rPr>
      </w:pPr>
      <w:r>
        <w:rPr>
          <w:rFonts w:hint="eastAsia"/>
        </w:rPr>
        <w:t>注：插入法计算。</w:t>
      </w:r>
    </w:p>
    <w:tbl>
      <w:tblPr>
        <w:tblStyle w:val="6"/>
        <w:tblW w:w="661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1213"/>
        <w:gridCol w:w="1648"/>
        <w:gridCol w:w="1206"/>
        <w:gridCol w:w="120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3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投资额</w:t>
            </w:r>
          </w:p>
        </w:tc>
        <w:tc>
          <w:tcPr>
            <w:tcW w:w="12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标准收费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行业调整系数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折扣系数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33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300000万元</w:t>
            </w:r>
          </w:p>
        </w:tc>
        <w:tc>
          <w:tcPr>
            <w:tcW w:w="12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77.50万元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联系人：  电话：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95ACB"/>
    <w:rsid w:val="12F71A18"/>
    <w:rsid w:val="69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Calibri" w:hAnsi="Calibri"/>
      <w:sz w:val="28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 w:eastAsia="宋体" w:cs="Times New Roman"/>
      <w:sz w:val="21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2021-01-07T07:17:00Z</dcterms:created>
  <dc:creator>鱼丫</dc:creator>
  <cp:lastModifiedBy>鱼丫</cp:lastModifiedBy>
  <dcterms:modified xsi:type="dcterms:W3CDTF">2021-01-07T07:26:24Z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