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ascii="宋体" w:hAnsi="宋体"/>
          <w:b/>
          <w:sz w:val="44"/>
          <w:szCs w:val="30"/>
        </w:rPr>
      </w:pPr>
      <w:r>
        <w:rPr>
          <w:rFonts w:hint="eastAsia" w:ascii="宋体" w:hAnsi="宋体"/>
          <w:b/>
          <w:sz w:val="44"/>
          <w:szCs w:val="30"/>
        </w:rPr>
        <w:t>麻醉科围术期智能数据应用平台及配套硬件采购项目需求</w:t>
      </w:r>
    </w:p>
    <w:p>
      <w:pPr>
        <w:pStyle w:val="2"/>
        <w:numPr>
          <w:ilvl w:val="0"/>
          <w:numId w:val="3"/>
        </w:numPr>
        <w:spacing w:before="0" w:after="0"/>
        <w:rPr>
          <w:rFonts w:ascii="宋体" w:hAnsi="宋体"/>
          <w:sz w:val="32"/>
          <w:szCs w:val="32"/>
        </w:rPr>
      </w:pPr>
      <w:r>
        <w:rPr>
          <w:rFonts w:hint="eastAsia" w:ascii="宋体" w:hAnsi="宋体"/>
          <w:sz w:val="32"/>
          <w:szCs w:val="32"/>
        </w:rPr>
        <w:t>项目名称</w:t>
      </w:r>
    </w:p>
    <w:p>
      <w:pPr>
        <w:spacing w:line="360" w:lineRule="auto"/>
        <w:ind w:left="432"/>
        <w:rPr>
          <w:rFonts w:ascii="宋体" w:hAnsi="宋体"/>
          <w:sz w:val="22"/>
        </w:rPr>
      </w:pPr>
      <w:r>
        <w:rPr>
          <w:rFonts w:hint="eastAsia" w:ascii="宋体" w:hAnsi="宋体"/>
          <w:sz w:val="22"/>
        </w:rPr>
        <w:t>项目名称：麻醉科围术期智能数据应用平台及配套硬件采购项目</w:t>
      </w:r>
    </w:p>
    <w:p>
      <w:pPr>
        <w:pStyle w:val="2"/>
        <w:numPr>
          <w:ilvl w:val="0"/>
          <w:numId w:val="3"/>
        </w:numPr>
        <w:spacing w:before="0" w:after="0"/>
        <w:rPr>
          <w:rFonts w:ascii="宋体" w:hAnsi="宋体"/>
          <w:sz w:val="32"/>
          <w:szCs w:val="32"/>
        </w:rPr>
      </w:pPr>
      <w:r>
        <w:rPr>
          <w:rFonts w:hint="eastAsia" w:ascii="宋体" w:hAnsi="宋体"/>
          <w:sz w:val="32"/>
          <w:szCs w:val="32"/>
        </w:rPr>
        <w:t>项目</w:t>
      </w:r>
      <w:r>
        <w:rPr>
          <w:rFonts w:hint="eastAsia" w:ascii="宋体" w:hAnsi="宋体"/>
          <w:sz w:val="32"/>
          <w:szCs w:val="32"/>
          <w:lang w:val="en-US"/>
        </w:rPr>
        <w:t>建设内容及采购清单</w:t>
      </w:r>
    </w:p>
    <w:p>
      <w:pPr>
        <w:spacing w:line="360" w:lineRule="auto"/>
        <w:ind w:left="432"/>
        <w:rPr>
          <w:rFonts w:ascii="宋体" w:hAnsi="宋体"/>
          <w:sz w:val="22"/>
        </w:rPr>
      </w:pPr>
      <w:r>
        <w:rPr>
          <w:rFonts w:hint="eastAsia" w:ascii="宋体" w:hAnsi="宋体"/>
          <w:sz w:val="22"/>
        </w:rPr>
        <w:t xml:space="preserve">该项目建设内容主要为： </w:t>
      </w:r>
    </w:p>
    <w:p>
      <w:pPr>
        <w:spacing w:line="360" w:lineRule="auto"/>
        <w:ind w:left="432"/>
        <w:rPr>
          <w:rFonts w:ascii="宋体" w:hAnsi="宋体"/>
          <w:sz w:val="22"/>
        </w:rPr>
      </w:pPr>
      <w:r>
        <w:rPr>
          <w:rFonts w:hint="eastAsia" w:ascii="宋体" w:hAnsi="宋体"/>
          <w:sz w:val="22"/>
        </w:rPr>
        <w:t>（一）项目</w:t>
      </w:r>
      <w:r>
        <w:rPr>
          <w:rFonts w:ascii="宋体" w:hAnsi="宋体"/>
          <w:sz w:val="22"/>
        </w:rPr>
        <w:t>功能</w:t>
      </w:r>
      <w:r>
        <w:rPr>
          <w:rFonts w:hint="eastAsia" w:ascii="宋体" w:hAnsi="宋体"/>
          <w:sz w:val="22"/>
        </w:rPr>
        <w:t>模块如下：</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6"/>
        <w:gridCol w:w="4017"/>
        <w:gridCol w:w="1986"/>
        <w:gridCol w:w="24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6" w:type="dxa"/>
            <w:vAlign w:val="center"/>
          </w:tcPr>
          <w:p>
            <w:pPr>
              <w:jc w:val="center"/>
            </w:pPr>
            <w:r>
              <w:rPr>
                <w:rFonts w:hint="eastAsia"/>
              </w:rPr>
              <w:t>序号</w:t>
            </w:r>
          </w:p>
        </w:tc>
        <w:tc>
          <w:tcPr>
            <w:tcW w:w="4017" w:type="dxa"/>
            <w:vAlign w:val="center"/>
          </w:tcPr>
          <w:p>
            <w:pPr>
              <w:jc w:val="center"/>
            </w:pPr>
            <w:r>
              <w:rPr>
                <w:rFonts w:hint="eastAsia"/>
              </w:rPr>
              <w:t>系统名称</w:t>
            </w:r>
          </w:p>
        </w:tc>
        <w:tc>
          <w:tcPr>
            <w:tcW w:w="1986" w:type="dxa"/>
            <w:vAlign w:val="center"/>
          </w:tcPr>
          <w:p>
            <w:pPr>
              <w:jc w:val="center"/>
            </w:pPr>
            <w:r>
              <w:rPr>
                <w:rFonts w:hint="eastAsia"/>
              </w:rPr>
              <w:t>功能模块</w:t>
            </w:r>
          </w:p>
        </w:tc>
        <w:tc>
          <w:tcPr>
            <w:tcW w:w="2401" w:type="dxa"/>
          </w:tcPr>
          <w:p>
            <w:pPr>
              <w:jc w:val="center"/>
            </w:pPr>
            <w:r>
              <w:rPr>
                <w:rFonts w:hint="eastAsia"/>
              </w:rPr>
              <w:t>数量及单位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6" w:type="dxa"/>
          </w:tcPr>
          <w:p>
            <w:pPr>
              <w:jc w:val="center"/>
            </w:pPr>
            <w:r>
              <w:t>1</w:t>
            </w:r>
          </w:p>
        </w:tc>
        <w:tc>
          <w:tcPr>
            <w:tcW w:w="4017" w:type="dxa"/>
          </w:tcPr>
          <w:p>
            <w:pPr>
              <w:jc w:val="center"/>
            </w:pPr>
            <w:r>
              <w:rPr>
                <w:rFonts w:hint="eastAsia"/>
              </w:rPr>
              <w:t>围术期专科数据汇聚与深度治理平台</w:t>
            </w:r>
          </w:p>
        </w:tc>
        <w:tc>
          <w:tcPr>
            <w:tcW w:w="1986" w:type="dxa"/>
          </w:tcPr>
          <w:p>
            <w:pPr>
              <w:jc w:val="center"/>
              <w:rPr>
                <w:rFonts w:ascii="宋体" w:hAnsi="宋体"/>
              </w:rPr>
            </w:pPr>
            <w:r>
              <w:fldChar w:fldCharType="begin"/>
            </w:r>
            <w:r>
              <w:instrText xml:space="preserve"> HYPERLINK \l "_6.1.1、大数据服务器" </w:instrText>
            </w:r>
            <w:r>
              <w:fldChar w:fldCharType="separate"/>
            </w:r>
            <w:r>
              <w:rPr>
                <w:rFonts w:hint="eastAsia" w:ascii="宋体" w:hAnsi="宋体"/>
              </w:rPr>
              <w:t>配置详见3</w:t>
            </w:r>
            <w:r>
              <w:rPr>
                <w:rFonts w:ascii="宋体" w:hAnsi="宋体"/>
              </w:rPr>
              <w:t>.</w:t>
            </w:r>
            <w:r>
              <w:rPr>
                <w:rFonts w:hint="eastAsia" w:ascii="宋体" w:hAnsi="宋体"/>
              </w:rPr>
              <w:t>1.1</w:t>
            </w:r>
            <w:r>
              <w:rPr>
                <w:rFonts w:hint="eastAsia" w:ascii="宋体" w:hAnsi="宋体"/>
              </w:rPr>
              <w:fldChar w:fldCharType="end"/>
            </w:r>
          </w:p>
        </w:tc>
        <w:tc>
          <w:tcPr>
            <w:tcW w:w="2401" w:type="dxa"/>
          </w:tcPr>
          <w:p>
            <w:pPr>
              <w:jc w:val="center"/>
            </w:pPr>
            <w:r>
              <w:rPr>
                <w:rFonts w:hint="eastAsia"/>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6" w:type="dxa"/>
          </w:tcPr>
          <w:p>
            <w:pPr>
              <w:jc w:val="center"/>
            </w:pPr>
            <w:r>
              <w:rPr>
                <w:rFonts w:hint="eastAsia"/>
              </w:rPr>
              <w:t>2</w:t>
            </w:r>
          </w:p>
        </w:tc>
        <w:tc>
          <w:tcPr>
            <w:tcW w:w="4017" w:type="dxa"/>
          </w:tcPr>
          <w:p>
            <w:pPr>
              <w:jc w:val="center"/>
            </w:pPr>
            <w:r>
              <w:rPr>
                <w:rFonts w:hint="eastAsia"/>
              </w:rPr>
              <w:t>围术期临床专科智能应用数字化平台</w:t>
            </w:r>
          </w:p>
        </w:tc>
        <w:tc>
          <w:tcPr>
            <w:tcW w:w="1986" w:type="dxa"/>
          </w:tcPr>
          <w:p>
            <w:pPr>
              <w:jc w:val="center"/>
              <w:rPr>
                <w:rFonts w:ascii="宋体" w:hAnsi="宋体"/>
              </w:rPr>
            </w:pPr>
            <w:r>
              <w:fldChar w:fldCharType="begin"/>
            </w:r>
            <w:r>
              <w:instrText xml:space="preserve"> HYPERLINK \l "_6.1.1、大数据服务器" </w:instrText>
            </w:r>
            <w:r>
              <w:fldChar w:fldCharType="separate"/>
            </w:r>
            <w:r>
              <w:rPr>
                <w:rFonts w:hint="eastAsia" w:ascii="宋体" w:hAnsi="宋体"/>
              </w:rPr>
              <w:t>配置详见3</w:t>
            </w:r>
            <w:r>
              <w:rPr>
                <w:rFonts w:ascii="宋体" w:hAnsi="宋体"/>
              </w:rPr>
              <w:t>.</w:t>
            </w:r>
            <w:r>
              <w:rPr>
                <w:rFonts w:hint="eastAsia" w:ascii="宋体" w:hAnsi="宋体"/>
              </w:rPr>
              <w:t>1.</w:t>
            </w:r>
            <w:r>
              <w:rPr>
                <w:rFonts w:ascii="宋体" w:hAnsi="宋体"/>
              </w:rPr>
              <w:t>2</w:t>
            </w:r>
            <w:r>
              <w:rPr>
                <w:rFonts w:ascii="宋体" w:hAnsi="宋体"/>
              </w:rPr>
              <w:fldChar w:fldCharType="end"/>
            </w:r>
          </w:p>
        </w:tc>
        <w:tc>
          <w:tcPr>
            <w:tcW w:w="2401" w:type="dxa"/>
          </w:tcPr>
          <w:p>
            <w:pPr>
              <w:jc w:val="center"/>
            </w:pPr>
            <w:r>
              <w:rPr>
                <w:rFonts w:hint="eastAsia"/>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6" w:type="dxa"/>
          </w:tcPr>
          <w:p>
            <w:pPr>
              <w:jc w:val="center"/>
            </w:pPr>
            <w:r>
              <w:rPr>
                <w:rFonts w:hint="eastAsia"/>
              </w:rPr>
              <w:t>3</w:t>
            </w:r>
          </w:p>
        </w:tc>
        <w:tc>
          <w:tcPr>
            <w:tcW w:w="4017" w:type="dxa"/>
          </w:tcPr>
          <w:p>
            <w:pPr>
              <w:jc w:val="center"/>
            </w:pPr>
            <w:r>
              <w:rPr>
                <w:rFonts w:hint="eastAsia"/>
              </w:rPr>
              <w:t>围术期专科可视化管理驾驶舱</w:t>
            </w:r>
          </w:p>
        </w:tc>
        <w:tc>
          <w:tcPr>
            <w:tcW w:w="1986" w:type="dxa"/>
          </w:tcPr>
          <w:p>
            <w:pPr>
              <w:jc w:val="center"/>
            </w:pPr>
            <w:r>
              <w:fldChar w:fldCharType="begin"/>
            </w:r>
            <w:r>
              <w:instrText xml:space="preserve"> HYPERLINK \l "_6.1.1、大数据服务器" </w:instrText>
            </w:r>
            <w:r>
              <w:fldChar w:fldCharType="separate"/>
            </w:r>
            <w:r>
              <w:rPr>
                <w:rFonts w:hint="eastAsia" w:ascii="宋体" w:hAnsi="宋体"/>
              </w:rPr>
              <w:t>配置详见3</w:t>
            </w:r>
            <w:r>
              <w:rPr>
                <w:rFonts w:ascii="宋体" w:hAnsi="宋体"/>
              </w:rPr>
              <w:t>.</w:t>
            </w:r>
            <w:r>
              <w:rPr>
                <w:rFonts w:hint="eastAsia" w:ascii="宋体" w:hAnsi="宋体"/>
              </w:rPr>
              <w:t>1.</w:t>
            </w:r>
            <w:r>
              <w:rPr>
                <w:rFonts w:hint="eastAsia" w:ascii="宋体" w:hAnsi="宋体"/>
              </w:rPr>
              <w:fldChar w:fldCharType="end"/>
            </w:r>
            <w:r>
              <w:rPr>
                <w:rFonts w:ascii="宋体" w:hAnsi="宋体"/>
              </w:rPr>
              <w:t>3</w:t>
            </w:r>
          </w:p>
        </w:tc>
        <w:tc>
          <w:tcPr>
            <w:tcW w:w="2401" w:type="dxa"/>
          </w:tcPr>
          <w:p>
            <w:pPr>
              <w:jc w:val="center"/>
            </w:pPr>
            <w:r>
              <w:rPr>
                <w:rFonts w:hint="eastAsia"/>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6" w:type="dxa"/>
          </w:tcPr>
          <w:p>
            <w:pPr>
              <w:jc w:val="center"/>
            </w:pPr>
            <w:r>
              <w:rPr>
                <w:rFonts w:hint="eastAsia"/>
              </w:rPr>
              <w:t>4</w:t>
            </w:r>
          </w:p>
        </w:tc>
        <w:tc>
          <w:tcPr>
            <w:tcW w:w="4017" w:type="dxa"/>
          </w:tcPr>
          <w:p>
            <w:pPr>
              <w:jc w:val="center"/>
            </w:pPr>
            <w:r>
              <w:rPr>
                <w:rFonts w:hint="eastAsia"/>
              </w:rPr>
              <w:t>围术期统一应用门户</w:t>
            </w:r>
          </w:p>
        </w:tc>
        <w:tc>
          <w:tcPr>
            <w:tcW w:w="1986" w:type="dxa"/>
          </w:tcPr>
          <w:p>
            <w:pPr>
              <w:jc w:val="center"/>
            </w:pPr>
            <w:r>
              <w:fldChar w:fldCharType="begin"/>
            </w:r>
            <w:r>
              <w:instrText xml:space="preserve"> HYPERLINK \l "_6.1.1、大数据服务器" </w:instrText>
            </w:r>
            <w:r>
              <w:fldChar w:fldCharType="separate"/>
            </w:r>
            <w:r>
              <w:rPr>
                <w:rFonts w:hint="eastAsia" w:ascii="宋体" w:hAnsi="宋体"/>
              </w:rPr>
              <w:t>配置详见3</w:t>
            </w:r>
            <w:r>
              <w:rPr>
                <w:rFonts w:ascii="宋体" w:hAnsi="宋体"/>
              </w:rPr>
              <w:t>.</w:t>
            </w:r>
            <w:r>
              <w:rPr>
                <w:rFonts w:hint="eastAsia" w:ascii="宋体" w:hAnsi="宋体"/>
              </w:rPr>
              <w:t>1.</w:t>
            </w:r>
            <w:r>
              <w:rPr>
                <w:rFonts w:hint="eastAsia" w:ascii="宋体" w:hAnsi="宋体"/>
              </w:rPr>
              <w:fldChar w:fldCharType="end"/>
            </w:r>
            <w:r>
              <w:rPr>
                <w:rFonts w:ascii="宋体" w:hAnsi="宋体"/>
              </w:rPr>
              <w:t>4</w:t>
            </w:r>
          </w:p>
        </w:tc>
        <w:tc>
          <w:tcPr>
            <w:tcW w:w="2401" w:type="dxa"/>
          </w:tcPr>
          <w:p>
            <w:pPr>
              <w:jc w:val="center"/>
            </w:pPr>
            <w:r>
              <w:rPr>
                <w:rFonts w:hint="eastAsia"/>
              </w:rPr>
              <w:t>1套</w:t>
            </w:r>
          </w:p>
        </w:tc>
      </w:tr>
    </w:tbl>
    <w:p>
      <w:pPr>
        <w:spacing w:line="360" w:lineRule="auto"/>
        <w:ind w:left="432"/>
        <w:rPr>
          <w:rFonts w:ascii="宋体" w:hAnsi="宋体"/>
          <w:sz w:val="22"/>
        </w:rPr>
      </w:pPr>
      <w:r>
        <w:rPr>
          <w:rFonts w:hint="eastAsia" w:ascii="宋体" w:hAnsi="宋体"/>
          <w:sz w:val="22"/>
        </w:rPr>
        <w:t>（二）采购设备及数量如下：</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4"/>
        <w:gridCol w:w="3969"/>
        <w:gridCol w:w="1985"/>
        <w:gridCol w:w="2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Align w:val="center"/>
          </w:tcPr>
          <w:p>
            <w:pPr>
              <w:jc w:val="center"/>
            </w:pPr>
            <w:r>
              <w:rPr>
                <w:rFonts w:hint="eastAsia"/>
              </w:rPr>
              <w:t>序号</w:t>
            </w:r>
          </w:p>
        </w:tc>
        <w:tc>
          <w:tcPr>
            <w:tcW w:w="3969" w:type="dxa"/>
            <w:vAlign w:val="center"/>
          </w:tcPr>
          <w:p>
            <w:pPr>
              <w:jc w:val="center"/>
            </w:pPr>
            <w:r>
              <w:rPr>
                <w:rFonts w:hint="eastAsia"/>
              </w:rPr>
              <w:t>名称</w:t>
            </w:r>
          </w:p>
        </w:tc>
        <w:tc>
          <w:tcPr>
            <w:tcW w:w="1985" w:type="dxa"/>
            <w:vAlign w:val="center"/>
          </w:tcPr>
          <w:p>
            <w:pPr>
              <w:jc w:val="center"/>
            </w:pPr>
            <w:r>
              <w:rPr>
                <w:rFonts w:hint="eastAsia"/>
              </w:rPr>
              <w:t>配置描述</w:t>
            </w:r>
          </w:p>
        </w:tc>
        <w:tc>
          <w:tcPr>
            <w:tcW w:w="2402" w:type="dxa"/>
            <w:vAlign w:val="center"/>
          </w:tcPr>
          <w:p>
            <w:pPr>
              <w:jc w:val="center"/>
            </w:pPr>
            <w:r>
              <w:rPr>
                <w:rFonts w:hint="eastAsia"/>
              </w:rPr>
              <w:t>数量及单位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Pr>
          <w:p>
            <w:r>
              <w:t>1</w:t>
            </w:r>
          </w:p>
        </w:tc>
        <w:tc>
          <w:tcPr>
            <w:tcW w:w="3969" w:type="dxa"/>
          </w:tcPr>
          <w:p>
            <w:pPr>
              <w:jc w:val="center"/>
            </w:pPr>
            <w:r>
              <w:rPr>
                <w:rFonts w:hint="eastAsia"/>
              </w:rPr>
              <w:t>硬件服务器</w:t>
            </w:r>
          </w:p>
        </w:tc>
        <w:tc>
          <w:tcPr>
            <w:tcW w:w="1985" w:type="dxa"/>
          </w:tcPr>
          <w:p>
            <w:pPr>
              <w:jc w:val="center"/>
            </w:pPr>
            <w:r>
              <w:fldChar w:fldCharType="begin"/>
            </w:r>
            <w:r>
              <w:instrText xml:space="preserve"> HYPERLINK \l "_6.1.1、大数据服务器" </w:instrText>
            </w:r>
            <w:r>
              <w:fldChar w:fldCharType="separate"/>
            </w:r>
            <w:r>
              <w:rPr>
                <w:rFonts w:hint="eastAsia" w:ascii="宋体" w:hAnsi="宋体"/>
              </w:rPr>
              <w:t>配置详见3</w:t>
            </w:r>
            <w:r>
              <w:rPr>
                <w:rFonts w:ascii="宋体" w:hAnsi="宋体"/>
              </w:rPr>
              <w:t>.</w:t>
            </w:r>
            <w:r>
              <w:rPr>
                <w:rFonts w:hint="eastAsia" w:ascii="宋体" w:hAnsi="宋体"/>
              </w:rPr>
              <w:t>1.</w:t>
            </w:r>
            <w:r>
              <w:rPr>
                <w:rFonts w:ascii="宋体" w:hAnsi="宋体"/>
              </w:rPr>
              <w:t>5</w:t>
            </w:r>
            <w:r>
              <w:rPr>
                <w:rFonts w:ascii="宋体" w:hAnsi="宋体"/>
              </w:rPr>
              <w:fldChar w:fldCharType="end"/>
            </w:r>
          </w:p>
        </w:tc>
        <w:tc>
          <w:tcPr>
            <w:tcW w:w="2402" w:type="dxa"/>
            <w:vAlign w:val="center"/>
          </w:tcPr>
          <w:p>
            <w:pPr>
              <w:jc w:val="center"/>
              <w:rPr>
                <w:color w:val="000000"/>
                <w:sz w:val="24"/>
              </w:rPr>
            </w:pPr>
            <w:r>
              <w:rPr>
                <w:color w:val="000000"/>
              </w:rPr>
              <w:t>1</w:t>
            </w:r>
            <w:r>
              <w:rPr>
                <w:rFonts w:hint="eastAsia"/>
                <w:color w:val="000000"/>
              </w:rPr>
              <w:t>台</w:t>
            </w:r>
          </w:p>
        </w:tc>
      </w:tr>
    </w:tbl>
    <w:p>
      <w:pPr>
        <w:pStyle w:val="49"/>
        <w:keepNext/>
        <w:keepLines/>
        <w:spacing w:line="578" w:lineRule="auto"/>
        <w:ind w:firstLine="0" w:firstLineChars="0"/>
        <w:outlineLvl w:val="0"/>
        <w:rPr>
          <w:rFonts w:ascii="宋体" w:hAnsi="宋体" w:eastAsia="宋体"/>
          <w:b/>
          <w:bCs/>
          <w:vanish/>
          <w:kern w:val="44"/>
          <w:sz w:val="44"/>
          <w:szCs w:val="44"/>
          <w:lang w:val="en-US"/>
        </w:rPr>
      </w:pPr>
    </w:p>
    <w:p>
      <w:pPr>
        <w:pStyle w:val="2"/>
        <w:numPr>
          <w:ilvl w:val="0"/>
          <w:numId w:val="3"/>
        </w:numPr>
        <w:spacing w:before="0" w:after="0"/>
        <w:rPr>
          <w:rFonts w:ascii="宋体" w:hAnsi="宋体"/>
          <w:sz w:val="32"/>
          <w:szCs w:val="32"/>
        </w:rPr>
      </w:pPr>
      <w:r>
        <w:rPr>
          <w:rFonts w:hint="eastAsia" w:ascii="宋体" w:hAnsi="宋体"/>
          <w:sz w:val="32"/>
          <w:szCs w:val="32"/>
          <w:lang w:val="en-US"/>
        </w:rPr>
        <w:t>系统</w:t>
      </w:r>
      <w:r>
        <w:rPr>
          <w:rFonts w:hint="eastAsia" w:ascii="宋体" w:hAnsi="宋体"/>
          <w:sz w:val="32"/>
          <w:szCs w:val="32"/>
        </w:rPr>
        <w:t>详细功能描述</w:t>
      </w:r>
      <w:r>
        <w:rPr>
          <w:rFonts w:hint="eastAsia" w:ascii="宋体" w:hAnsi="宋体"/>
          <w:sz w:val="32"/>
          <w:szCs w:val="32"/>
          <w:lang w:val="en-US"/>
        </w:rPr>
        <w:t>及硬件资源配置参数</w:t>
      </w:r>
    </w:p>
    <w:p>
      <w:pPr>
        <w:pStyle w:val="3"/>
        <w:spacing w:before="0" w:after="0"/>
        <w:rPr>
          <w:rFonts w:ascii="宋体" w:hAnsi="宋体" w:eastAsia="宋体"/>
          <w:sz w:val="24"/>
          <w:szCs w:val="24"/>
        </w:rPr>
      </w:pPr>
      <w:bookmarkStart w:id="0" w:name="_6.1.1、大数据服务器"/>
      <w:bookmarkEnd w:id="0"/>
      <w:r>
        <w:rPr>
          <w:rFonts w:ascii="宋体" w:hAnsi="宋体" w:eastAsia="宋体"/>
          <w:sz w:val="24"/>
          <w:szCs w:val="24"/>
        </w:rPr>
        <w:t>3.1.1</w:t>
      </w:r>
      <w:r>
        <w:rPr>
          <w:rFonts w:hint="eastAsia" w:ascii="宋体" w:hAnsi="宋体" w:eastAsia="宋体"/>
          <w:sz w:val="24"/>
          <w:szCs w:val="24"/>
        </w:rPr>
        <w:t>、围术期专科数据汇聚与深度治理平台</w:t>
      </w:r>
    </w:p>
    <w:tbl>
      <w:tblPr>
        <w:tblStyle w:val="20"/>
        <w:tblW w:w="5000" w:type="pct"/>
        <w:jc w:val="center"/>
        <w:tblLayout w:type="autofit"/>
        <w:tblCellMar>
          <w:top w:w="0" w:type="dxa"/>
          <w:left w:w="108" w:type="dxa"/>
          <w:bottom w:w="0" w:type="dxa"/>
          <w:right w:w="108" w:type="dxa"/>
        </w:tblCellMar>
      </w:tblPr>
      <w:tblGrid>
        <w:gridCol w:w="722"/>
        <w:gridCol w:w="1161"/>
        <w:gridCol w:w="1016"/>
        <w:gridCol w:w="6387"/>
      </w:tblGrid>
      <w:tr>
        <w:tblPrEx>
          <w:tblCellMar>
            <w:top w:w="0" w:type="dxa"/>
            <w:left w:w="108" w:type="dxa"/>
            <w:bottom w:w="0" w:type="dxa"/>
            <w:right w:w="108" w:type="dxa"/>
          </w:tblCellMar>
        </w:tblPrEx>
        <w:trPr>
          <w:trHeight w:val="320" w:hRule="atLeast"/>
          <w:jc w:val="center"/>
        </w:trPr>
        <w:tc>
          <w:tcPr>
            <w:tcW w:w="38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序号</w:t>
            </w:r>
          </w:p>
        </w:tc>
        <w:tc>
          <w:tcPr>
            <w:tcW w:w="625"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模块</w:t>
            </w:r>
          </w:p>
        </w:tc>
        <w:tc>
          <w:tcPr>
            <w:tcW w:w="547"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功能</w:t>
            </w:r>
          </w:p>
        </w:tc>
        <w:tc>
          <w:tcPr>
            <w:tcW w:w="343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功能描述</w:t>
            </w:r>
          </w:p>
        </w:tc>
      </w:tr>
      <w:tr>
        <w:tblPrEx>
          <w:tblCellMar>
            <w:top w:w="0" w:type="dxa"/>
            <w:left w:w="108" w:type="dxa"/>
            <w:bottom w:w="0" w:type="dxa"/>
            <w:right w:w="108" w:type="dxa"/>
          </w:tblCellMar>
        </w:tblPrEx>
        <w:trPr>
          <w:trHeight w:val="320" w:hRule="atLeast"/>
          <w:jc w:val="center"/>
        </w:trPr>
        <w:tc>
          <w:tcPr>
            <w:tcW w:w="389" w:type="pct"/>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1</w:t>
            </w:r>
          </w:p>
        </w:tc>
        <w:tc>
          <w:tcPr>
            <w:tcW w:w="625" w:type="pct"/>
            <w:vMerge w:val="restart"/>
            <w:tcBorders>
              <w:top w:val="single" w:color="auto" w:sz="4" w:space="0"/>
              <w:left w:val="nil"/>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全量数据接入</w:t>
            </w:r>
          </w:p>
        </w:tc>
        <w:tc>
          <w:tcPr>
            <w:tcW w:w="547" w:type="pct"/>
            <w:vMerge w:val="restart"/>
            <w:tcBorders>
              <w:top w:val="single" w:color="auto" w:sz="4" w:space="0"/>
              <w:left w:val="nil"/>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数据源管理</w:t>
            </w:r>
          </w:p>
        </w:tc>
        <w:tc>
          <w:tcPr>
            <w:tcW w:w="3439" w:type="pct"/>
            <w:tcBorders>
              <w:top w:val="single" w:color="auto" w:sz="4" w:space="0"/>
              <w:left w:val="single" w:color="auto" w:sz="4" w:space="0"/>
              <w:bottom w:val="single" w:color="auto" w:sz="4" w:space="0"/>
              <w:right w:val="single" w:color="auto" w:sz="4" w:space="0"/>
            </w:tcBorders>
            <w:vAlign w:val="center"/>
          </w:tcPr>
          <w:p>
            <w:pPr>
              <w:spacing w:before="60" w:after="60"/>
              <w:rPr>
                <w:rFonts w:ascii="宋体" w:hAnsi="宋体"/>
                <w:szCs w:val="21"/>
              </w:rPr>
            </w:pPr>
            <w:r>
              <w:rPr>
                <w:rFonts w:hint="eastAsia" w:ascii="宋体" w:hAnsi="宋体"/>
                <w:szCs w:val="21"/>
              </w:rPr>
              <w:t>支持对麻醉科科研关注的纸质文档、图像等多模态数据按需分类并以人工处理的方式优化成电子数据进行管理，方便后续导入专科数据库</w:t>
            </w:r>
          </w:p>
        </w:tc>
      </w:tr>
      <w:tr>
        <w:tblPrEx>
          <w:tblCellMar>
            <w:top w:w="0" w:type="dxa"/>
            <w:left w:w="108" w:type="dxa"/>
            <w:bottom w:w="0" w:type="dxa"/>
            <w:right w:w="108" w:type="dxa"/>
          </w:tblCellMar>
        </w:tblPrEx>
        <w:trPr>
          <w:trHeight w:val="320" w:hRule="atLeast"/>
          <w:jc w:val="center"/>
        </w:trPr>
        <w:tc>
          <w:tcPr>
            <w:tcW w:w="389"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547"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szCs w:val="21"/>
              </w:rPr>
              <w:t>支持对其他相关数据源进行管理，比如单机版设备仪器数据和第三方系统数据等</w:t>
            </w:r>
          </w:p>
        </w:tc>
      </w:tr>
      <w:tr>
        <w:tblPrEx>
          <w:tblCellMar>
            <w:top w:w="0" w:type="dxa"/>
            <w:left w:w="108" w:type="dxa"/>
            <w:bottom w:w="0" w:type="dxa"/>
            <w:right w:w="108" w:type="dxa"/>
          </w:tblCellMar>
        </w:tblPrEx>
        <w:trPr>
          <w:trHeight w:val="320" w:hRule="atLeast"/>
          <w:jc w:val="center"/>
        </w:trPr>
        <w:tc>
          <w:tcPr>
            <w:tcW w:w="389"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547" w:type="pct"/>
            <w:vMerge w:val="restart"/>
            <w:tcBorders>
              <w:top w:val="single" w:color="auto" w:sz="4" w:space="0"/>
              <w:left w:val="nil"/>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E</w:t>
            </w:r>
            <w:r>
              <w:rPr>
                <w:rFonts w:ascii="宋体" w:hAnsi="宋体" w:cs="宋体"/>
                <w:color w:val="000000"/>
                <w:szCs w:val="21"/>
              </w:rPr>
              <w:t>TL</w:t>
            </w:r>
            <w:r>
              <w:rPr>
                <w:rFonts w:hint="eastAsia" w:ascii="宋体" w:hAnsi="宋体" w:cs="宋体"/>
                <w:color w:val="000000"/>
                <w:szCs w:val="21"/>
              </w:rPr>
              <w:t>数据采集引擎</w:t>
            </w: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szCs w:val="21"/>
              </w:rPr>
              <w:t>支持具备从多种不同的数据源（ORACLE、SQLSERVER、MySQL等）中以多种不同的方式（Web</w:t>
            </w:r>
            <w:r>
              <w:rPr>
                <w:rFonts w:ascii="宋体" w:hAnsi="宋体"/>
                <w:szCs w:val="21"/>
              </w:rPr>
              <w:t>service</w:t>
            </w:r>
            <w:r>
              <w:rPr>
                <w:rFonts w:hint="eastAsia" w:ascii="宋体" w:hAnsi="宋体"/>
                <w:szCs w:val="21"/>
              </w:rPr>
              <w:t>、视图、消息队列等）进行指定规则的数据提取作业</w:t>
            </w:r>
          </w:p>
        </w:tc>
      </w:tr>
      <w:tr>
        <w:tblPrEx>
          <w:tblCellMar>
            <w:top w:w="0" w:type="dxa"/>
            <w:left w:w="108" w:type="dxa"/>
            <w:bottom w:w="0" w:type="dxa"/>
            <w:right w:w="108" w:type="dxa"/>
          </w:tblCellMar>
        </w:tblPrEx>
        <w:trPr>
          <w:trHeight w:val="320" w:hRule="atLeast"/>
          <w:jc w:val="center"/>
        </w:trPr>
        <w:tc>
          <w:tcPr>
            <w:tcW w:w="389"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547"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szCs w:val="21"/>
              </w:rPr>
              <w:t>支持具备数据转换功能，在数据提取的过程中将不同数据源、不同数据类型的数据进行转换</w:t>
            </w:r>
          </w:p>
        </w:tc>
      </w:tr>
      <w:tr>
        <w:tblPrEx>
          <w:tblCellMar>
            <w:top w:w="0" w:type="dxa"/>
            <w:left w:w="108" w:type="dxa"/>
            <w:bottom w:w="0" w:type="dxa"/>
            <w:right w:w="108" w:type="dxa"/>
          </w:tblCellMar>
        </w:tblPrEx>
        <w:trPr>
          <w:trHeight w:val="320" w:hRule="atLeast"/>
          <w:jc w:val="center"/>
        </w:trPr>
        <w:tc>
          <w:tcPr>
            <w:tcW w:w="389"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547"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szCs w:val="21"/>
              </w:rPr>
              <w:t>支持具备数据装载功能，平台默认以1000条缓存数据为限，每达到限制数量后执行一次数据装载，并可根据单条数据量大小来修改单次装载量，支持动态配置</w:t>
            </w:r>
          </w:p>
        </w:tc>
      </w:tr>
      <w:tr>
        <w:tblPrEx>
          <w:tblCellMar>
            <w:top w:w="0" w:type="dxa"/>
            <w:left w:w="108" w:type="dxa"/>
            <w:bottom w:w="0" w:type="dxa"/>
            <w:right w:w="108" w:type="dxa"/>
          </w:tblCellMar>
        </w:tblPrEx>
        <w:trPr>
          <w:trHeight w:val="320" w:hRule="atLeast"/>
          <w:jc w:val="center"/>
        </w:trPr>
        <w:tc>
          <w:tcPr>
            <w:tcW w:w="389"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547"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szCs w:val="21"/>
              </w:rPr>
              <w:t>支持全量数据/增量数据采集同步</w:t>
            </w:r>
          </w:p>
        </w:tc>
      </w:tr>
      <w:tr>
        <w:tblPrEx>
          <w:tblCellMar>
            <w:top w:w="0" w:type="dxa"/>
            <w:left w:w="108" w:type="dxa"/>
            <w:bottom w:w="0" w:type="dxa"/>
            <w:right w:w="108" w:type="dxa"/>
          </w:tblCellMar>
        </w:tblPrEx>
        <w:trPr>
          <w:trHeight w:val="320" w:hRule="atLeast"/>
          <w:jc w:val="center"/>
        </w:trPr>
        <w:tc>
          <w:tcPr>
            <w:tcW w:w="389"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547"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r>
              <w:rPr>
                <w:rFonts w:hint="eastAsia" w:ascii="宋体" w:hAnsi="宋体"/>
                <w:szCs w:val="21"/>
              </w:rPr>
              <w:t>支持指定时间间隔或指定时间点进行自动采集</w:t>
            </w:r>
          </w:p>
        </w:tc>
      </w:tr>
      <w:tr>
        <w:tblPrEx>
          <w:tblCellMar>
            <w:top w:w="0" w:type="dxa"/>
            <w:left w:w="108" w:type="dxa"/>
            <w:bottom w:w="0" w:type="dxa"/>
            <w:right w:w="108" w:type="dxa"/>
          </w:tblCellMar>
        </w:tblPrEx>
        <w:trPr>
          <w:trHeight w:val="320" w:hRule="atLeast"/>
          <w:jc w:val="center"/>
        </w:trPr>
        <w:tc>
          <w:tcPr>
            <w:tcW w:w="389"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547"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r>
              <w:rPr>
                <w:rFonts w:hint="eastAsia" w:ascii="宋体" w:hAnsi="宋体"/>
                <w:szCs w:val="21"/>
              </w:rPr>
              <w:t>支持对数据采集过程实施监控预警</w:t>
            </w:r>
          </w:p>
        </w:tc>
      </w:tr>
      <w:tr>
        <w:tblPrEx>
          <w:tblCellMar>
            <w:top w:w="0" w:type="dxa"/>
            <w:left w:w="108" w:type="dxa"/>
            <w:bottom w:w="0" w:type="dxa"/>
            <w:right w:w="108" w:type="dxa"/>
          </w:tblCellMar>
        </w:tblPrEx>
        <w:trPr>
          <w:trHeight w:val="320" w:hRule="atLeast"/>
          <w:jc w:val="center"/>
        </w:trPr>
        <w:tc>
          <w:tcPr>
            <w:tcW w:w="389"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547" w:type="pct"/>
            <w:vMerge w:val="continue"/>
            <w:tcBorders>
              <w:left w:val="nil"/>
              <w:bottom w:val="single" w:color="auto" w:sz="4" w:space="0"/>
              <w:right w:val="single" w:color="auto" w:sz="4" w:space="0"/>
            </w:tcBorders>
            <w:vAlign w:val="center"/>
          </w:tcPr>
          <w:p>
            <w:pPr>
              <w:widowControl/>
              <w:jc w:val="center"/>
              <w:rPr>
                <w:rFonts w:ascii="宋体" w:hAnsi="宋体" w:cs="宋体"/>
                <w:color w:val="000000"/>
                <w:szCs w:val="21"/>
              </w:rPr>
            </w:pP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r>
              <w:rPr>
                <w:rFonts w:hint="eastAsia" w:ascii="宋体" w:hAnsi="宋体"/>
                <w:szCs w:val="21"/>
              </w:rPr>
              <w:t>如采集任务异常中断，支持一定时效内的自动重启恢复，如多次重启失败，则支持记录同步状态，提交给数据监控预警并生成后端日志文件保存</w:t>
            </w:r>
          </w:p>
        </w:tc>
      </w:tr>
      <w:tr>
        <w:tblPrEx>
          <w:tblCellMar>
            <w:top w:w="0" w:type="dxa"/>
            <w:left w:w="108" w:type="dxa"/>
            <w:bottom w:w="0" w:type="dxa"/>
            <w:right w:w="108" w:type="dxa"/>
          </w:tblCellMar>
        </w:tblPrEx>
        <w:trPr>
          <w:trHeight w:val="277" w:hRule="atLeast"/>
          <w:jc w:val="center"/>
        </w:trPr>
        <w:tc>
          <w:tcPr>
            <w:tcW w:w="389" w:type="pct"/>
            <w:vMerge w:val="restart"/>
            <w:tcBorders>
              <w:top w:val="single" w:color="auto" w:sz="4" w:space="0"/>
              <w:left w:val="single" w:color="auto" w:sz="4" w:space="0"/>
              <w:bottom w:val="nil"/>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2</w:t>
            </w:r>
          </w:p>
        </w:tc>
        <w:tc>
          <w:tcPr>
            <w:tcW w:w="625" w:type="pct"/>
            <w:vMerge w:val="restart"/>
            <w:tcBorders>
              <w:top w:val="single" w:color="auto" w:sz="4" w:space="0"/>
              <w:left w:val="nil"/>
              <w:bottom w:val="nil"/>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全量数据治理</w:t>
            </w:r>
          </w:p>
        </w:tc>
        <w:tc>
          <w:tcPr>
            <w:tcW w:w="547" w:type="pct"/>
            <w:vMerge w:val="restart"/>
            <w:tcBorders>
              <w:top w:val="single" w:color="auto" w:sz="4" w:space="0"/>
              <w:left w:val="nil"/>
              <w:bottom w:val="nil"/>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数据清洗与标化</w:t>
            </w:r>
          </w:p>
        </w:tc>
        <w:tc>
          <w:tcPr>
            <w:tcW w:w="3439"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支持在数据采集过程中对数据中的作废标识进行处理</w:t>
            </w:r>
          </w:p>
        </w:tc>
      </w:tr>
      <w:tr>
        <w:tblPrEx>
          <w:tblCellMar>
            <w:top w:w="0" w:type="dxa"/>
            <w:left w:w="108" w:type="dxa"/>
            <w:bottom w:w="0" w:type="dxa"/>
            <w:right w:w="108" w:type="dxa"/>
          </w:tblCellMar>
        </w:tblPrEx>
        <w:trPr>
          <w:trHeight w:val="320" w:hRule="atLeast"/>
          <w:jc w:val="center"/>
        </w:trPr>
        <w:tc>
          <w:tcPr>
            <w:tcW w:w="389"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547"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r>
              <w:rPr>
                <w:rFonts w:hint="eastAsia" w:ascii="宋体" w:hAnsi="宋体"/>
                <w:szCs w:val="21"/>
              </w:rPr>
              <w:t>支持在数据采集过程中对数据中的重复数据做去重处理</w:t>
            </w:r>
          </w:p>
        </w:tc>
      </w:tr>
      <w:tr>
        <w:tblPrEx>
          <w:tblCellMar>
            <w:top w:w="0" w:type="dxa"/>
            <w:left w:w="108" w:type="dxa"/>
            <w:bottom w:w="0" w:type="dxa"/>
            <w:right w:w="108" w:type="dxa"/>
          </w:tblCellMar>
        </w:tblPrEx>
        <w:trPr>
          <w:trHeight w:val="320" w:hRule="atLeast"/>
          <w:jc w:val="center"/>
        </w:trPr>
        <w:tc>
          <w:tcPr>
            <w:tcW w:w="389"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547"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r>
              <w:rPr>
                <w:rFonts w:hint="eastAsia" w:ascii="宋体" w:hAnsi="宋体"/>
                <w:szCs w:val="21"/>
              </w:rPr>
              <w:t>支持在数据采集过程中对数据中脏数据（空值、异常值等）进行统一清洗</w:t>
            </w:r>
          </w:p>
        </w:tc>
      </w:tr>
      <w:tr>
        <w:tblPrEx>
          <w:tblCellMar>
            <w:top w:w="0" w:type="dxa"/>
            <w:left w:w="108" w:type="dxa"/>
            <w:bottom w:w="0" w:type="dxa"/>
            <w:right w:w="108" w:type="dxa"/>
          </w:tblCellMar>
        </w:tblPrEx>
        <w:trPr>
          <w:trHeight w:val="320" w:hRule="atLeast"/>
          <w:jc w:val="center"/>
        </w:trPr>
        <w:tc>
          <w:tcPr>
            <w:tcW w:w="389"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547"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r>
              <w:rPr>
                <w:rFonts w:hint="eastAsia" w:ascii="宋体" w:hAnsi="宋体"/>
                <w:szCs w:val="21"/>
              </w:rPr>
              <w:t>支持数据回收站功能，用于存储作废数据、重复数据和垃圾数据</w:t>
            </w:r>
          </w:p>
        </w:tc>
      </w:tr>
      <w:tr>
        <w:tblPrEx>
          <w:tblCellMar>
            <w:top w:w="0" w:type="dxa"/>
            <w:left w:w="108" w:type="dxa"/>
            <w:bottom w:w="0" w:type="dxa"/>
            <w:right w:w="108" w:type="dxa"/>
          </w:tblCellMar>
        </w:tblPrEx>
        <w:trPr>
          <w:trHeight w:val="320" w:hRule="atLeast"/>
          <w:jc w:val="center"/>
        </w:trPr>
        <w:tc>
          <w:tcPr>
            <w:tcW w:w="389"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547"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r>
              <w:rPr>
                <w:rFonts w:hint="eastAsia" w:ascii="宋体" w:hAnsi="宋体"/>
                <w:szCs w:val="21"/>
              </w:rPr>
              <w:t>支持基于麻醉围术期专科数据模型对每个元数据进行标准化定义及管理，参考国内外专病数据元标准管理规范，构建包含数据元编码、分类、名称、值域、属性等条目的麻醉围术期元数据标准体系</w:t>
            </w:r>
          </w:p>
        </w:tc>
      </w:tr>
      <w:tr>
        <w:tblPrEx>
          <w:tblCellMar>
            <w:top w:w="0" w:type="dxa"/>
            <w:left w:w="108" w:type="dxa"/>
            <w:bottom w:w="0" w:type="dxa"/>
            <w:right w:w="108" w:type="dxa"/>
          </w:tblCellMar>
        </w:tblPrEx>
        <w:trPr>
          <w:trHeight w:val="320" w:hRule="atLeast"/>
          <w:jc w:val="center"/>
        </w:trPr>
        <w:tc>
          <w:tcPr>
            <w:tcW w:w="389"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547"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r>
              <w:rPr>
                <w:rFonts w:hint="eastAsia" w:ascii="宋体" w:hAnsi="宋体"/>
                <w:szCs w:val="21"/>
              </w:rPr>
              <w:t>支持与ICD-10等国内外标准医学术语体系进行关联映射，实现麻醉围术期专科数据模型体系与国内外标准医学术语的映射互通</w:t>
            </w:r>
          </w:p>
        </w:tc>
      </w:tr>
      <w:tr>
        <w:tblPrEx>
          <w:tblCellMar>
            <w:top w:w="0" w:type="dxa"/>
            <w:left w:w="108" w:type="dxa"/>
            <w:bottom w:w="0" w:type="dxa"/>
            <w:right w:w="108" w:type="dxa"/>
          </w:tblCellMar>
        </w:tblPrEx>
        <w:trPr>
          <w:trHeight w:val="320" w:hRule="atLeast"/>
          <w:jc w:val="center"/>
        </w:trPr>
        <w:tc>
          <w:tcPr>
            <w:tcW w:w="389"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547"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r>
              <w:rPr>
                <w:rFonts w:hint="eastAsia" w:ascii="宋体" w:hAnsi="宋体"/>
                <w:szCs w:val="21"/>
              </w:rPr>
              <w:t>支持提供数据归一化工具，实现源数据生产系统标准字典和麻醉围术期专科标准数据模型之间的归一规则的维护和管理，确保数据来源的准确性</w:t>
            </w:r>
          </w:p>
        </w:tc>
      </w:tr>
      <w:tr>
        <w:tblPrEx>
          <w:tblCellMar>
            <w:top w:w="0" w:type="dxa"/>
            <w:left w:w="108" w:type="dxa"/>
            <w:bottom w:w="0" w:type="dxa"/>
            <w:right w:w="108" w:type="dxa"/>
          </w:tblCellMar>
        </w:tblPrEx>
        <w:trPr>
          <w:trHeight w:val="320" w:hRule="atLeast"/>
          <w:jc w:val="center"/>
        </w:trPr>
        <w:tc>
          <w:tcPr>
            <w:tcW w:w="389"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547"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r>
              <w:rPr>
                <w:rFonts w:hint="eastAsia" w:ascii="宋体" w:hAnsi="宋体"/>
                <w:szCs w:val="21"/>
              </w:rPr>
              <w:t>归一范围需覆盖手术名称、检查名称、检验名称和药品名称</w:t>
            </w:r>
          </w:p>
        </w:tc>
      </w:tr>
      <w:tr>
        <w:tblPrEx>
          <w:tblCellMar>
            <w:top w:w="0" w:type="dxa"/>
            <w:left w:w="108" w:type="dxa"/>
            <w:bottom w:w="0" w:type="dxa"/>
            <w:right w:w="108" w:type="dxa"/>
          </w:tblCellMar>
        </w:tblPrEx>
        <w:trPr>
          <w:trHeight w:val="320" w:hRule="atLeast"/>
          <w:jc w:val="center"/>
        </w:trPr>
        <w:tc>
          <w:tcPr>
            <w:tcW w:w="389" w:type="pct"/>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left w:val="nil"/>
              <w:bottom w:val="single" w:color="auto" w:sz="4" w:space="0"/>
              <w:right w:val="single" w:color="auto" w:sz="4" w:space="0"/>
            </w:tcBorders>
            <w:vAlign w:val="center"/>
          </w:tcPr>
          <w:p>
            <w:pPr>
              <w:widowControl/>
              <w:jc w:val="center"/>
              <w:rPr>
                <w:rFonts w:ascii="宋体" w:hAnsi="宋体" w:cs="宋体"/>
                <w:color w:val="000000"/>
                <w:szCs w:val="21"/>
              </w:rPr>
            </w:pPr>
          </w:p>
        </w:tc>
        <w:tc>
          <w:tcPr>
            <w:tcW w:w="547" w:type="pct"/>
            <w:vMerge w:val="continue"/>
            <w:tcBorders>
              <w:left w:val="nil"/>
              <w:bottom w:val="single" w:color="auto" w:sz="4" w:space="0"/>
              <w:right w:val="single" w:color="auto" w:sz="4" w:space="0"/>
            </w:tcBorders>
            <w:vAlign w:val="center"/>
          </w:tcPr>
          <w:p>
            <w:pPr>
              <w:widowControl/>
              <w:jc w:val="center"/>
              <w:rPr>
                <w:rFonts w:ascii="宋体" w:hAnsi="宋体" w:cs="宋体"/>
                <w:color w:val="000000"/>
                <w:szCs w:val="21"/>
              </w:rPr>
            </w:pP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r>
              <w:rPr>
                <w:rFonts w:hint="eastAsia" w:ascii="宋体" w:hAnsi="宋体"/>
                <w:szCs w:val="21"/>
              </w:rPr>
              <w:t>支持基于手术患者所涉及的相关症状、病历表述内容进行梳理，构建具有麻醉诊疗过程特色的医疗同义词、反义词术语词库</w:t>
            </w:r>
          </w:p>
        </w:tc>
      </w:tr>
      <w:tr>
        <w:tblPrEx>
          <w:tblCellMar>
            <w:top w:w="0" w:type="dxa"/>
            <w:left w:w="108" w:type="dxa"/>
            <w:bottom w:w="0" w:type="dxa"/>
            <w:right w:w="108" w:type="dxa"/>
          </w:tblCellMar>
        </w:tblPrEx>
        <w:trPr>
          <w:trHeight w:val="320" w:hRule="atLeast"/>
          <w:jc w:val="center"/>
        </w:trPr>
        <w:tc>
          <w:tcPr>
            <w:tcW w:w="38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p>
        </w:tc>
        <w:tc>
          <w:tcPr>
            <w:tcW w:w="54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患者E</w:t>
            </w:r>
            <w:r>
              <w:rPr>
                <w:rFonts w:ascii="宋体" w:hAnsi="宋体" w:cs="宋体"/>
                <w:color w:val="000000"/>
                <w:szCs w:val="21"/>
              </w:rPr>
              <w:t>MPI</w:t>
            </w: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r>
              <w:rPr>
                <w:rFonts w:hint="eastAsia" w:ascii="宋体" w:hAnsi="宋体"/>
                <w:szCs w:val="21"/>
              </w:rPr>
              <w:t>支持利用病人基本病历信息（姓名、性别、出生年月、身份证号、电话号码、住址、出生地等），进行相似度计算，一旦计算值超过一定阈值，则系统后台可自动将确定为同一病人的信息进行合并并生成唯一主索引编码</w:t>
            </w:r>
          </w:p>
        </w:tc>
      </w:tr>
      <w:tr>
        <w:tblPrEx>
          <w:tblCellMar>
            <w:top w:w="0" w:type="dxa"/>
            <w:left w:w="108" w:type="dxa"/>
            <w:bottom w:w="0" w:type="dxa"/>
            <w:right w:w="108" w:type="dxa"/>
          </w:tblCellMar>
        </w:tblPrEx>
        <w:trPr>
          <w:trHeight w:val="320" w:hRule="atLeast"/>
          <w:jc w:val="center"/>
        </w:trPr>
        <w:tc>
          <w:tcPr>
            <w:tcW w:w="389" w:type="pct"/>
            <w:vMerge w:val="continue"/>
            <w:tcBorders>
              <w:top w:val="single" w:color="auto" w:sz="4" w:space="0"/>
              <w:left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top w:val="single" w:color="auto" w:sz="4" w:space="0"/>
              <w:left w:val="nil"/>
              <w:right w:val="single" w:color="auto" w:sz="4" w:space="0"/>
            </w:tcBorders>
            <w:vAlign w:val="center"/>
          </w:tcPr>
          <w:p>
            <w:pPr>
              <w:widowControl/>
              <w:jc w:val="center"/>
              <w:rPr>
                <w:rFonts w:ascii="宋体" w:hAnsi="宋体" w:cs="宋体"/>
                <w:color w:val="000000"/>
                <w:szCs w:val="21"/>
              </w:rPr>
            </w:pPr>
          </w:p>
        </w:tc>
        <w:tc>
          <w:tcPr>
            <w:tcW w:w="547" w:type="pct"/>
            <w:vMerge w:val="restart"/>
            <w:tcBorders>
              <w:top w:val="single" w:color="auto" w:sz="4" w:space="0"/>
              <w:left w:val="nil"/>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数据质量管理</w:t>
            </w: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r>
              <w:rPr>
                <w:rFonts w:hint="eastAsia" w:ascii="宋体" w:hAnsi="宋体"/>
                <w:szCs w:val="21"/>
              </w:rPr>
              <w:t>支持准确性分析，对具有规范性的数据字段进行准确性校验，例如身份证号码，通过正则校验，或者本来应该填写数值类型的，查看是否存在其他类型</w:t>
            </w:r>
          </w:p>
        </w:tc>
      </w:tr>
      <w:tr>
        <w:tblPrEx>
          <w:tblCellMar>
            <w:top w:w="0" w:type="dxa"/>
            <w:left w:w="108" w:type="dxa"/>
            <w:bottom w:w="0" w:type="dxa"/>
            <w:right w:w="108" w:type="dxa"/>
          </w:tblCellMar>
        </w:tblPrEx>
        <w:trPr>
          <w:trHeight w:val="320" w:hRule="atLeast"/>
          <w:jc w:val="center"/>
        </w:trPr>
        <w:tc>
          <w:tcPr>
            <w:tcW w:w="389"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547"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r>
              <w:rPr>
                <w:rFonts w:hint="eastAsia" w:ascii="宋体" w:hAnsi="宋体"/>
                <w:szCs w:val="21"/>
              </w:rPr>
              <w:t>支持完整性分析，包括数据是否完整，内容是否齐全等数据完整性校验</w:t>
            </w:r>
          </w:p>
        </w:tc>
      </w:tr>
      <w:tr>
        <w:tblPrEx>
          <w:tblCellMar>
            <w:top w:w="0" w:type="dxa"/>
            <w:left w:w="108" w:type="dxa"/>
            <w:bottom w:w="0" w:type="dxa"/>
            <w:right w:w="108" w:type="dxa"/>
          </w:tblCellMar>
        </w:tblPrEx>
        <w:trPr>
          <w:trHeight w:val="320" w:hRule="atLeast"/>
          <w:jc w:val="center"/>
        </w:trPr>
        <w:tc>
          <w:tcPr>
            <w:tcW w:w="389"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547"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r>
              <w:rPr>
                <w:rFonts w:hint="eastAsia" w:ascii="宋体" w:hAnsi="宋体"/>
                <w:szCs w:val="21"/>
              </w:rPr>
              <w:t>支持一致性分析，包括判断数据字典值域是否一致等数据一致性校验</w:t>
            </w:r>
          </w:p>
        </w:tc>
      </w:tr>
      <w:tr>
        <w:tblPrEx>
          <w:tblCellMar>
            <w:top w:w="0" w:type="dxa"/>
            <w:left w:w="108" w:type="dxa"/>
            <w:bottom w:w="0" w:type="dxa"/>
            <w:right w:w="108" w:type="dxa"/>
          </w:tblCellMar>
        </w:tblPrEx>
        <w:trPr>
          <w:trHeight w:val="320" w:hRule="atLeast"/>
          <w:jc w:val="center"/>
        </w:trPr>
        <w:tc>
          <w:tcPr>
            <w:tcW w:w="389"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547"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3439" w:type="pct"/>
            <w:tcBorders>
              <w:top w:val="single" w:color="auto" w:sz="4" w:space="0"/>
              <w:left w:val="single" w:color="auto" w:sz="4" w:space="0"/>
              <w:bottom w:val="single" w:color="auto" w:sz="4" w:space="0"/>
              <w:right w:val="single" w:color="auto" w:sz="4" w:space="0"/>
            </w:tcBorders>
            <w:vAlign w:val="center"/>
          </w:tcPr>
          <w:p>
            <w:pPr>
              <w:spacing w:before="60" w:after="60"/>
              <w:rPr>
                <w:rFonts w:ascii="宋体" w:hAnsi="宋体"/>
                <w:szCs w:val="21"/>
              </w:rPr>
            </w:pPr>
            <w:r>
              <w:rPr>
                <w:rFonts w:hint="eastAsia" w:ascii="宋体" w:hAnsi="宋体"/>
                <w:szCs w:val="21"/>
              </w:rPr>
              <w:t>支持及时性分析，能够判断数据的时间逻辑性是否合乎常理的数据及时性校验</w:t>
            </w:r>
          </w:p>
        </w:tc>
      </w:tr>
      <w:tr>
        <w:tblPrEx>
          <w:tblCellMar>
            <w:top w:w="0" w:type="dxa"/>
            <w:left w:w="108" w:type="dxa"/>
            <w:bottom w:w="0" w:type="dxa"/>
            <w:right w:w="108" w:type="dxa"/>
          </w:tblCellMar>
        </w:tblPrEx>
        <w:trPr>
          <w:trHeight w:val="320" w:hRule="atLeast"/>
          <w:jc w:val="center"/>
        </w:trPr>
        <w:tc>
          <w:tcPr>
            <w:tcW w:w="389"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547"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r>
              <w:rPr>
                <w:rFonts w:hint="eastAsia" w:ascii="宋体" w:hAnsi="宋体"/>
                <w:szCs w:val="21"/>
              </w:rPr>
              <w:t>支持关联性分析，实现对数据结构中的各表关联字段进行校验，比如索引表和明细表之间是否正确关联等</w:t>
            </w:r>
          </w:p>
        </w:tc>
      </w:tr>
      <w:tr>
        <w:tblPrEx>
          <w:tblCellMar>
            <w:top w:w="0" w:type="dxa"/>
            <w:left w:w="108" w:type="dxa"/>
            <w:bottom w:w="0" w:type="dxa"/>
            <w:right w:w="108" w:type="dxa"/>
          </w:tblCellMar>
        </w:tblPrEx>
        <w:trPr>
          <w:trHeight w:val="320" w:hRule="atLeast"/>
          <w:jc w:val="center"/>
        </w:trPr>
        <w:tc>
          <w:tcPr>
            <w:tcW w:w="389"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547" w:type="pct"/>
            <w:vMerge w:val="continue"/>
            <w:tcBorders>
              <w:left w:val="nil"/>
              <w:bottom w:val="single" w:color="auto" w:sz="4" w:space="0"/>
              <w:right w:val="single" w:color="auto" w:sz="4" w:space="0"/>
            </w:tcBorders>
            <w:vAlign w:val="center"/>
          </w:tcPr>
          <w:p>
            <w:pPr>
              <w:widowControl/>
              <w:jc w:val="center"/>
              <w:rPr>
                <w:rFonts w:ascii="宋体" w:hAnsi="宋体" w:cs="宋体"/>
                <w:color w:val="000000"/>
                <w:szCs w:val="21"/>
              </w:rPr>
            </w:pP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r>
              <w:rPr>
                <w:rFonts w:hint="eastAsia" w:ascii="宋体" w:hAnsi="宋体"/>
                <w:szCs w:val="21"/>
              </w:rPr>
              <w:t>支持在完成数据准确性、完整性、一致性、及时性和关联性五大维度的数据分析后，输出整体数据质量分析报告</w:t>
            </w:r>
          </w:p>
        </w:tc>
      </w:tr>
      <w:tr>
        <w:tblPrEx>
          <w:tblCellMar>
            <w:top w:w="0" w:type="dxa"/>
            <w:left w:w="108" w:type="dxa"/>
            <w:bottom w:w="0" w:type="dxa"/>
            <w:right w:w="108" w:type="dxa"/>
          </w:tblCellMar>
        </w:tblPrEx>
        <w:trPr>
          <w:trHeight w:val="320" w:hRule="atLeast"/>
          <w:jc w:val="center"/>
        </w:trPr>
        <w:tc>
          <w:tcPr>
            <w:tcW w:w="389" w:type="pct"/>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3</w:t>
            </w:r>
          </w:p>
        </w:tc>
        <w:tc>
          <w:tcPr>
            <w:tcW w:w="625" w:type="pct"/>
            <w:vMerge w:val="restart"/>
            <w:tcBorders>
              <w:top w:val="single" w:color="auto" w:sz="4" w:space="0"/>
              <w:left w:val="nil"/>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数据后结构化</w:t>
            </w:r>
          </w:p>
        </w:tc>
        <w:tc>
          <w:tcPr>
            <w:tcW w:w="547" w:type="pct"/>
            <w:vMerge w:val="restart"/>
            <w:tcBorders>
              <w:top w:val="single" w:color="auto" w:sz="4" w:space="0"/>
              <w:left w:val="nil"/>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数据标注引擎</w:t>
            </w: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r>
              <w:rPr>
                <w:rFonts w:hint="eastAsia" w:ascii="宋体" w:hAnsi="宋体"/>
                <w:szCs w:val="21"/>
              </w:rPr>
              <w:t>支持导入麻醉患者的就诊病历和麻醉专科数据元创建数据标注任务供临床科研人员开展数据标注，需提供系统截图证明</w:t>
            </w:r>
          </w:p>
        </w:tc>
      </w:tr>
      <w:tr>
        <w:tblPrEx>
          <w:tblCellMar>
            <w:top w:w="0" w:type="dxa"/>
            <w:left w:w="108" w:type="dxa"/>
            <w:bottom w:w="0" w:type="dxa"/>
            <w:right w:w="108" w:type="dxa"/>
          </w:tblCellMar>
        </w:tblPrEx>
        <w:trPr>
          <w:trHeight w:val="320" w:hRule="atLeast"/>
          <w:jc w:val="center"/>
        </w:trPr>
        <w:tc>
          <w:tcPr>
            <w:tcW w:w="389"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547"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szCs w:val="21"/>
              </w:rPr>
              <w:t>支持按主诉、现病史等节点进行病历原文展示，通过鼠标框选分词提取病历原文内容，实现该病历节点下的原文及数据元的关联标注，需提供系统截图证明</w:t>
            </w:r>
          </w:p>
        </w:tc>
      </w:tr>
      <w:tr>
        <w:tblPrEx>
          <w:tblCellMar>
            <w:top w:w="0" w:type="dxa"/>
            <w:left w:w="108" w:type="dxa"/>
            <w:bottom w:w="0" w:type="dxa"/>
            <w:right w:w="108" w:type="dxa"/>
          </w:tblCellMar>
        </w:tblPrEx>
        <w:trPr>
          <w:trHeight w:val="320" w:hRule="atLeast"/>
          <w:jc w:val="center"/>
        </w:trPr>
        <w:tc>
          <w:tcPr>
            <w:tcW w:w="389"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547"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szCs w:val="21"/>
              </w:rPr>
              <w:t>支持通过上传JSON格式的麻醉数据元结构，创建麻醉术语词库标注任务，实现麻醉数据元的是否二元值域标注，并支持添加标注的麻醉数据元到麻醉术语库中进行保存，需提供系统截图证明</w:t>
            </w:r>
          </w:p>
        </w:tc>
      </w:tr>
      <w:tr>
        <w:tblPrEx>
          <w:tblCellMar>
            <w:top w:w="0" w:type="dxa"/>
            <w:left w:w="108" w:type="dxa"/>
            <w:bottom w:w="0" w:type="dxa"/>
            <w:right w:w="108" w:type="dxa"/>
          </w:tblCellMar>
        </w:tblPrEx>
        <w:trPr>
          <w:trHeight w:val="320" w:hRule="atLeast"/>
          <w:jc w:val="center"/>
        </w:trPr>
        <w:tc>
          <w:tcPr>
            <w:tcW w:w="389"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547"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r>
              <w:rPr>
                <w:rFonts w:hint="eastAsia" w:ascii="宋体" w:hAnsi="宋体"/>
                <w:szCs w:val="21"/>
              </w:rPr>
              <w:t>支持对已标注的麻醉数据元及其同义词进行列表展示，并可自动生成对应的可视化知识图谱体系，展示术语之间的关联关系，需提供系统截图证明</w:t>
            </w:r>
          </w:p>
        </w:tc>
      </w:tr>
      <w:tr>
        <w:tblPrEx>
          <w:tblCellMar>
            <w:top w:w="0" w:type="dxa"/>
            <w:left w:w="108" w:type="dxa"/>
            <w:bottom w:w="0" w:type="dxa"/>
            <w:right w:w="108" w:type="dxa"/>
          </w:tblCellMar>
        </w:tblPrEx>
        <w:trPr>
          <w:trHeight w:val="320" w:hRule="atLeast"/>
          <w:jc w:val="center"/>
        </w:trPr>
        <w:tc>
          <w:tcPr>
            <w:tcW w:w="389"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547" w:type="pct"/>
            <w:vMerge w:val="continue"/>
            <w:tcBorders>
              <w:left w:val="nil"/>
              <w:bottom w:val="single" w:color="auto" w:sz="4" w:space="0"/>
              <w:right w:val="single" w:color="auto" w:sz="4" w:space="0"/>
            </w:tcBorders>
            <w:vAlign w:val="center"/>
          </w:tcPr>
          <w:p>
            <w:pPr>
              <w:widowControl/>
              <w:jc w:val="center"/>
              <w:rPr>
                <w:rFonts w:ascii="宋体" w:hAnsi="宋体" w:cs="宋体"/>
                <w:color w:val="000000"/>
                <w:szCs w:val="21"/>
              </w:rPr>
            </w:pP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r>
              <w:rPr>
                <w:rFonts w:hint="eastAsia" w:ascii="宋体" w:hAnsi="宋体"/>
                <w:szCs w:val="21"/>
              </w:rPr>
              <w:t>支持自动生成已标注的麻醉数据元及其同义词的正则表达式，提供正则表达式管理页面，支持正则表达式的手工添加和批量上，需提供系统截图证明</w:t>
            </w:r>
          </w:p>
        </w:tc>
      </w:tr>
      <w:tr>
        <w:tblPrEx>
          <w:tblCellMar>
            <w:top w:w="0" w:type="dxa"/>
            <w:left w:w="108" w:type="dxa"/>
            <w:bottom w:w="0" w:type="dxa"/>
            <w:right w:w="108" w:type="dxa"/>
          </w:tblCellMar>
        </w:tblPrEx>
        <w:trPr>
          <w:trHeight w:val="320" w:hRule="atLeast"/>
          <w:jc w:val="center"/>
        </w:trPr>
        <w:tc>
          <w:tcPr>
            <w:tcW w:w="389"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547" w:type="pct"/>
            <w:vMerge w:val="restart"/>
            <w:tcBorders>
              <w:top w:val="single" w:color="auto" w:sz="4" w:space="0"/>
              <w:left w:val="nil"/>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自然语言处理引擎</w:t>
            </w: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r>
              <w:rPr>
                <w:rFonts w:hint="eastAsia" w:ascii="宋体" w:hAnsi="宋体"/>
                <w:szCs w:val="21"/>
              </w:rPr>
              <w:t>支持原始病历训练医疗领域的BERT语言模型</w:t>
            </w:r>
          </w:p>
        </w:tc>
      </w:tr>
      <w:tr>
        <w:tblPrEx>
          <w:tblCellMar>
            <w:top w:w="0" w:type="dxa"/>
            <w:left w:w="108" w:type="dxa"/>
            <w:bottom w:w="0" w:type="dxa"/>
            <w:right w:w="108" w:type="dxa"/>
          </w:tblCellMar>
        </w:tblPrEx>
        <w:trPr>
          <w:trHeight w:val="320" w:hRule="atLeast"/>
          <w:jc w:val="center"/>
        </w:trPr>
        <w:tc>
          <w:tcPr>
            <w:tcW w:w="389"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547"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r>
              <w:rPr>
                <w:rFonts w:hint="eastAsia" w:ascii="宋体" w:hAnsi="宋体"/>
                <w:szCs w:val="21"/>
              </w:rPr>
              <w:t>支持导入医学术语词库，进行病历文本命名实体识别及自动分词</w:t>
            </w:r>
          </w:p>
        </w:tc>
      </w:tr>
      <w:tr>
        <w:tblPrEx>
          <w:tblCellMar>
            <w:top w:w="0" w:type="dxa"/>
            <w:left w:w="108" w:type="dxa"/>
            <w:bottom w:w="0" w:type="dxa"/>
            <w:right w:w="108" w:type="dxa"/>
          </w:tblCellMar>
        </w:tblPrEx>
        <w:trPr>
          <w:trHeight w:val="320" w:hRule="atLeast"/>
          <w:jc w:val="center"/>
        </w:trPr>
        <w:tc>
          <w:tcPr>
            <w:tcW w:w="389"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547"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r>
              <w:rPr>
                <w:rFonts w:hint="eastAsia" w:ascii="宋体" w:hAnsi="宋体"/>
                <w:szCs w:val="21"/>
              </w:rPr>
              <w:t>支持基于BERT语言模型及医学术语词库的医疗文本的后结构化处理</w:t>
            </w:r>
          </w:p>
        </w:tc>
      </w:tr>
      <w:tr>
        <w:tblPrEx>
          <w:tblCellMar>
            <w:top w:w="0" w:type="dxa"/>
            <w:left w:w="108" w:type="dxa"/>
            <w:bottom w:w="0" w:type="dxa"/>
            <w:right w:w="108" w:type="dxa"/>
          </w:tblCellMar>
        </w:tblPrEx>
        <w:trPr>
          <w:trHeight w:val="320" w:hRule="atLeast"/>
          <w:jc w:val="center"/>
        </w:trPr>
        <w:tc>
          <w:tcPr>
            <w:tcW w:w="389"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547" w:type="pct"/>
            <w:vMerge w:val="continue"/>
            <w:tcBorders>
              <w:left w:val="nil"/>
              <w:bottom w:val="single" w:color="auto" w:sz="4" w:space="0"/>
              <w:right w:val="single" w:color="auto" w:sz="4" w:space="0"/>
            </w:tcBorders>
            <w:vAlign w:val="center"/>
          </w:tcPr>
          <w:p>
            <w:pPr>
              <w:widowControl/>
              <w:jc w:val="center"/>
              <w:rPr>
                <w:rFonts w:ascii="宋体" w:hAnsi="宋体" w:cs="宋体"/>
                <w:color w:val="000000"/>
                <w:szCs w:val="21"/>
              </w:rPr>
            </w:pP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r>
              <w:rPr>
                <w:rFonts w:hint="eastAsia" w:ascii="宋体" w:hAnsi="宋体"/>
                <w:szCs w:val="21"/>
              </w:rPr>
              <w:t>支持跨病种的语言模型迁移学习</w:t>
            </w:r>
          </w:p>
        </w:tc>
      </w:tr>
      <w:tr>
        <w:tblPrEx>
          <w:tblCellMar>
            <w:top w:w="0" w:type="dxa"/>
            <w:left w:w="108" w:type="dxa"/>
            <w:bottom w:w="0" w:type="dxa"/>
            <w:right w:w="108" w:type="dxa"/>
          </w:tblCellMar>
        </w:tblPrEx>
        <w:trPr>
          <w:trHeight w:val="320" w:hRule="atLeast"/>
          <w:jc w:val="center"/>
        </w:trPr>
        <w:tc>
          <w:tcPr>
            <w:tcW w:w="389"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547" w:type="pct"/>
            <w:tcBorders>
              <w:left w:val="nil"/>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病历文本N</w:t>
            </w:r>
            <w:r>
              <w:rPr>
                <w:rFonts w:ascii="宋体" w:hAnsi="宋体" w:cs="宋体"/>
                <w:color w:val="000000"/>
                <w:szCs w:val="21"/>
              </w:rPr>
              <w:t>LP</w:t>
            </w:r>
            <w:r>
              <w:rPr>
                <w:rFonts w:hint="eastAsia" w:ascii="宋体" w:hAnsi="宋体" w:cs="宋体"/>
                <w:color w:val="000000"/>
                <w:szCs w:val="21"/>
              </w:rPr>
              <w:t>处理</w:t>
            </w: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r>
              <w:rPr>
                <w:rFonts w:hint="eastAsia" w:ascii="宋体" w:hAnsi="宋体"/>
                <w:szCs w:val="21"/>
              </w:rPr>
              <w:t>支持基于自然语言处理引擎，实现麻醉围术期患者的病历内容的后结构化处理，实现一诉五史、入院记录、手术记录等医疗病历文本进行自动化NLP治理，并支持将提取到的结构化数据进行标识和存储，需提供病历文书后结构化数据检索页面截图证明</w:t>
            </w:r>
          </w:p>
        </w:tc>
      </w:tr>
      <w:tr>
        <w:tblPrEx>
          <w:tblCellMar>
            <w:top w:w="0" w:type="dxa"/>
            <w:left w:w="108" w:type="dxa"/>
            <w:bottom w:w="0" w:type="dxa"/>
            <w:right w:w="108" w:type="dxa"/>
          </w:tblCellMar>
        </w:tblPrEx>
        <w:trPr>
          <w:trHeight w:val="320" w:hRule="atLeast"/>
          <w:jc w:val="center"/>
        </w:trPr>
        <w:tc>
          <w:tcPr>
            <w:tcW w:w="389" w:type="pct"/>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left w:val="nil"/>
              <w:bottom w:val="single" w:color="auto" w:sz="4" w:space="0"/>
              <w:right w:val="single" w:color="auto" w:sz="4" w:space="0"/>
            </w:tcBorders>
            <w:vAlign w:val="center"/>
          </w:tcPr>
          <w:p>
            <w:pPr>
              <w:widowControl/>
              <w:jc w:val="center"/>
              <w:rPr>
                <w:rFonts w:ascii="宋体" w:hAnsi="宋体" w:cs="宋体"/>
                <w:color w:val="000000"/>
                <w:szCs w:val="21"/>
              </w:rPr>
            </w:pPr>
          </w:p>
        </w:tc>
        <w:tc>
          <w:tcPr>
            <w:tcW w:w="547" w:type="pct"/>
            <w:tcBorders>
              <w:left w:val="nil"/>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检查报告N</w:t>
            </w:r>
            <w:r>
              <w:rPr>
                <w:rFonts w:ascii="宋体" w:hAnsi="宋体" w:cs="宋体"/>
                <w:color w:val="000000"/>
                <w:szCs w:val="21"/>
              </w:rPr>
              <w:t>LP</w:t>
            </w:r>
            <w:r>
              <w:rPr>
                <w:rFonts w:hint="eastAsia" w:ascii="宋体" w:hAnsi="宋体" w:cs="宋体"/>
                <w:color w:val="000000"/>
                <w:szCs w:val="21"/>
              </w:rPr>
              <w:t>处理</w:t>
            </w: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r>
              <w:rPr>
                <w:rFonts w:hint="eastAsia" w:ascii="宋体" w:hAnsi="宋体"/>
                <w:szCs w:val="21"/>
              </w:rPr>
              <w:t>支持基于自然语言处理引擎，实现麻醉围术期患者的检查报告的后结构化处理，实现包括超声检查、X线检查、CT检查、MR检查等检查结果中的医疗文本进行自动化NLP治理，并支持将提取到的结构化数据进行标识和存储，需提供检查报告后结构化数据检索页面截图证明</w:t>
            </w:r>
          </w:p>
        </w:tc>
      </w:tr>
      <w:tr>
        <w:tblPrEx>
          <w:tblCellMar>
            <w:top w:w="0" w:type="dxa"/>
            <w:left w:w="108" w:type="dxa"/>
            <w:bottom w:w="0" w:type="dxa"/>
            <w:right w:w="108" w:type="dxa"/>
          </w:tblCellMar>
        </w:tblPrEx>
        <w:trPr>
          <w:trHeight w:val="320" w:hRule="atLeast"/>
          <w:jc w:val="center"/>
        </w:trPr>
        <w:tc>
          <w:tcPr>
            <w:tcW w:w="389" w:type="pct"/>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4</w:t>
            </w:r>
          </w:p>
        </w:tc>
        <w:tc>
          <w:tcPr>
            <w:tcW w:w="625" w:type="pct"/>
            <w:vMerge w:val="restart"/>
            <w:tcBorders>
              <w:top w:val="single" w:color="auto" w:sz="4" w:space="0"/>
              <w:left w:val="nil"/>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专科数据仓库管理</w:t>
            </w:r>
          </w:p>
        </w:tc>
        <w:tc>
          <w:tcPr>
            <w:tcW w:w="547"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专科数据建模</w:t>
            </w: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r>
              <w:rPr>
                <w:rFonts w:hint="eastAsia" w:ascii="宋体" w:hAnsi="宋体"/>
                <w:szCs w:val="21"/>
              </w:rPr>
              <w:t>平台在涵盖人口学信息的基础上，需提供至少</w:t>
            </w:r>
            <w:r>
              <w:rPr>
                <w:rFonts w:ascii="宋体" w:hAnsi="宋体"/>
                <w:szCs w:val="21"/>
              </w:rPr>
              <w:t>2000</w:t>
            </w:r>
            <w:r>
              <w:rPr>
                <w:rFonts w:hint="eastAsia" w:ascii="宋体" w:hAnsi="宋体"/>
                <w:szCs w:val="21"/>
              </w:rPr>
              <w:t>项以八大系统（呼吸系统、循环系统、神经系统、泌尿系统、血液系统、内分泌系统、消化系统、骨骼肌肉系统）的现病史、既往史、检查、检验、治疗及并发症为主线梳理的麻醉围术期专科数据元清单供科室开展个性化数据元定义探索和参考使用</w:t>
            </w:r>
          </w:p>
        </w:tc>
      </w:tr>
      <w:tr>
        <w:tblPrEx>
          <w:tblCellMar>
            <w:top w:w="0" w:type="dxa"/>
            <w:left w:w="108" w:type="dxa"/>
            <w:bottom w:w="0" w:type="dxa"/>
            <w:right w:w="108" w:type="dxa"/>
          </w:tblCellMar>
        </w:tblPrEx>
        <w:trPr>
          <w:trHeight w:val="320" w:hRule="atLeast"/>
          <w:jc w:val="center"/>
        </w:trPr>
        <w:tc>
          <w:tcPr>
            <w:tcW w:w="389"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547" w:type="pct"/>
            <w:vMerge w:val="restart"/>
            <w:tcBorders>
              <w:top w:val="single" w:color="auto" w:sz="4" w:space="0"/>
              <w:left w:val="nil"/>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专科数据接入</w:t>
            </w: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r>
              <w:rPr>
                <w:rFonts w:hint="eastAsia" w:ascii="宋体" w:hAnsi="宋体"/>
                <w:szCs w:val="21"/>
              </w:rPr>
              <w:t>系统支持与医院集成平台对接并获取数据</w:t>
            </w:r>
          </w:p>
        </w:tc>
      </w:tr>
      <w:tr>
        <w:tblPrEx>
          <w:tblCellMar>
            <w:top w:w="0" w:type="dxa"/>
            <w:left w:w="108" w:type="dxa"/>
            <w:bottom w:w="0" w:type="dxa"/>
            <w:right w:w="108" w:type="dxa"/>
          </w:tblCellMar>
        </w:tblPrEx>
        <w:trPr>
          <w:trHeight w:val="320" w:hRule="atLeast"/>
          <w:jc w:val="center"/>
        </w:trPr>
        <w:tc>
          <w:tcPr>
            <w:tcW w:w="389"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547"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支持对接获取包括</w:t>
            </w:r>
            <w:r>
              <w:rPr>
                <w:rFonts w:hint="eastAsia" w:ascii="宋体" w:hAnsi="宋体"/>
                <w:szCs w:val="21"/>
              </w:rPr>
              <w:t>人口学信息、就诊信息、药品信息、门急诊病历信息、入院/出院记录、手术记录、护理记录、检验信息、检查报告、病案首页、手术麻醉记录单等数据</w:t>
            </w:r>
          </w:p>
        </w:tc>
      </w:tr>
      <w:tr>
        <w:tblPrEx>
          <w:tblCellMar>
            <w:top w:w="0" w:type="dxa"/>
            <w:left w:w="108" w:type="dxa"/>
            <w:bottom w:w="0" w:type="dxa"/>
            <w:right w:w="108" w:type="dxa"/>
          </w:tblCellMar>
        </w:tblPrEx>
        <w:trPr>
          <w:trHeight w:val="320" w:hRule="atLeast"/>
          <w:jc w:val="center"/>
        </w:trPr>
        <w:tc>
          <w:tcPr>
            <w:tcW w:w="389"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547"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系统支持</w:t>
            </w:r>
            <w:r>
              <w:rPr>
                <w:rFonts w:hint="eastAsia" w:ascii="宋体" w:hAnsi="宋体"/>
                <w:szCs w:val="21"/>
              </w:rPr>
              <w:t>历史数据一次性接入和增量数据定期接入两种数据获取方式</w:t>
            </w:r>
          </w:p>
        </w:tc>
      </w:tr>
      <w:tr>
        <w:tblPrEx>
          <w:tblCellMar>
            <w:top w:w="0" w:type="dxa"/>
            <w:left w:w="108" w:type="dxa"/>
            <w:bottom w:w="0" w:type="dxa"/>
            <w:right w:w="108" w:type="dxa"/>
          </w:tblCellMar>
        </w:tblPrEx>
        <w:trPr>
          <w:trHeight w:val="320" w:hRule="atLeast"/>
          <w:jc w:val="center"/>
        </w:trPr>
        <w:tc>
          <w:tcPr>
            <w:tcW w:w="389"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547"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系统支持基于临床定义好的入组条件规则，对接获取符合特定条件的患者数据并按专科模型进行存储</w:t>
            </w:r>
          </w:p>
        </w:tc>
      </w:tr>
      <w:tr>
        <w:tblPrEx>
          <w:tblCellMar>
            <w:top w:w="0" w:type="dxa"/>
            <w:left w:w="108" w:type="dxa"/>
            <w:bottom w:w="0" w:type="dxa"/>
            <w:right w:w="108" w:type="dxa"/>
          </w:tblCellMar>
        </w:tblPrEx>
        <w:trPr>
          <w:trHeight w:val="320" w:hRule="atLeast"/>
          <w:jc w:val="center"/>
        </w:trPr>
        <w:tc>
          <w:tcPr>
            <w:tcW w:w="389"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547"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r>
              <w:rPr>
                <w:rFonts w:hint="eastAsia" w:ascii="宋体" w:hAnsi="宋体"/>
                <w:szCs w:val="21"/>
              </w:rPr>
              <w:t>系统支持单机版本系统数据获取</w:t>
            </w:r>
          </w:p>
        </w:tc>
      </w:tr>
      <w:tr>
        <w:tblPrEx>
          <w:tblCellMar>
            <w:top w:w="0" w:type="dxa"/>
            <w:left w:w="108" w:type="dxa"/>
            <w:bottom w:w="0" w:type="dxa"/>
            <w:right w:w="108" w:type="dxa"/>
          </w:tblCellMar>
        </w:tblPrEx>
        <w:trPr>
          <w:trHeight w:val="320" w:hRule="atLeast"/>
          <w:jc w:val="center"/>
        </w:trPr>
        <w:tc>
          <w:tcPr>
            <w:tcW w:w="389"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547"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系统支持对缺失或不存在于院内系统的患者数据提供数据补录功能，可通过录入操作界面或数据后台手动实现数据录入</w:t>
            </w:r>
          </w:p>
        </w:tc>
      </w:tr>
      <w:tr>
        <w:tblPrEx>
          <w:tblCellMar>
            <w:top w:w="0" w:type="dxa"/>
            <w:left w:w="108" w:type="dxa"/>
            <w:bottom w:w="0" w:type="dxa"/>
            <w:right w:w="108" w:type="dxa"/>
          </w:tblCellMar>
        </w:tblPrEx>
        <w:trPr>
          <w:trHeight w:val="320" w:hRule="atLeast"/>
          <w:jc w:val="center"/>
        </w:trPr>
        <w:tc>
          <w:tcPr>
            <w:tcW w:w="389" w:type="pct"/>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left w:val="nil"/>
              <w:bottom w:val="single" w:color="auto" w:sz="4" w:space="0"/>
              <w:right w:val="single" w:color="auto" w:sz="4" w:space="0"/>
            </w:tcBorders>
            <w:vAlign w:val="center"/>
          </w:tcPr>
          <w:p>
            <w:pPr>
              <w:widowControl/>
              <w:jc w:val="center"/>
              <w:rPr>
                <w:rFonts w:ascii="宋体" w:hAnsi="宋体" w:cs="宋体"/>
                <w:color w:val="000000"/>
                <w:szCs w:val="21"/>
              </w:rPr>
            </w:pPr>
          </w:p>
        </w:tc>
        <w:tc>
          <w:tcPr>
            <w:tcW w:w="547" w:type="pct"/>
            <w:vMerge w:val="continue"/>
            <w:tcBorders>
              <w:left w:val="nil"/>
              <w:bottom w:val="single" w:color="auto" w:sz="4" w:space="0"/>
              <w:right w:val="single" w:color="auto" w:sz="4" w:space="0"/>
            </w:tcBorders>
            <w:vAlign w:val="center"/>
          </w:tcPr>
          <w:p>
            <w:pPr>
              <w:widowControl/>
              <w:jc w:val="center"/>
              <w:rPr>
                <w:rFonts w:ascii="宋体" w:hAnsi="宋体" w:cs="宋体"/>
                <w:color w:val="000000"/>
                <w:szCs w:val="21"/>
              </w:rPr>
            </w:pP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系统支持提供标准的数据接口，在保障安全的前提下实现于第三方系统的数据对接</w:t>
            </w:r>
          </w:p>
        </w:tc>
      </w:tr>
      <w:tr>
        <w:tblPrEx>
          <w:tblCellMar>
            <w:top w:w="0" w:type="dxa"/>
            <w:left w:w="108" w:type="dxa"/>
            <w:bottom w:w="0" w:type="dxa"/>
            <w:right w:w="108" w:type="dxa"/>
          </w:tblCellMar>
        </w:tblPrEx>
        <w:trPr>
          <w:trHeight w:val="320" w:hRule="atLeast"/>
          <w:jc w:val="center"/>
        </w:trPr>
        <w:tc>
          <w:tcPr>
            <w:tcW w:w="389" w:type="pct"/>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5</w:t>
            </w:r>
          </w:p>
        </w:tc>
        <w:tc>
          <w:tcPr>
            <w:tcW w:w="625" w:type="pct"/>
            <w:vMerge w:val="restart"/>
            <w:tcBorders>
              <w:top w:val="single" w:color="auto" w:sz="4" w:space="0"/>
              <w:left w:val="nil"/>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数据安全管理</w:t>
            </w:r>
          </w:p>
        </w:tc>
        <w:tc>
          <w:tcPr>
            <w:tcW w:w="547" w:type="pct"/>
            <w:vMerge w:val="restart"/>
            <w:tcBorders>
              <w:top w:val="single" w:color="auto" w:sz="4" w:space="0"/>
              <w:left w:val="nil"/>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数据容灾管理</w:t>
            </w: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szCs w:val="21"/>
              </w:rPr>
              <w:t>支持数据备份机制，默认按照一月一次进行增量备份</w:t>
            </w:r>
          </w:p>
        </w:tc>
      </w:tr>
      <w:tr>
        <w:tblPrEx>
          <w:tblCellMar>
            <w:top w:w="0" w:type="dxa"/>
            <w:left w:w="108" w:type="dxa"/>
            <w:bottom w:w="0" w:type="dxa"/>
            <w:right w:w="108" w:type="dxa"/>
          </w:tblCellMar>
        </w:tblPrEx>
        <w:trPr>
          <w:trHeight w:val="320" w:hRule="atLeast"/>
          <w:jc w:val="center"/>
        </w:trPr>
        <w:tc>
          <w:tcPr>
            <w:tcW w:w="389"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547"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szCs w:val="21"/>
              </w:rPr>
              <w:t>数据恢复时长需控制在</w:t>
            </w:r>
            <w:r>
              <w:rPr>
                <w:rFonts w:ascii="宋体" w:hAnsi="宋体"/>
                <w:szCs w:val="21"/>
              </w:rPr>
              <w:t>12</w:t>
            </w:r>
            <w:r>
              <w:rPr>
                <w:rFonts w:hint="eastAsia" w:ascii="宋体" w:hAnsi="宋体"/>
                <w:szCs w:val="21"/>
              </w:rPr>
              <w:t>小时以内</w:t>
            </w:r>
          </w:p>
        </w:tc>
      </w:tr>
      <w:tr>
        <w:tblPrEx>
          <w:tblCellMar>
            <w:top w:w="0" w:type="dxa"/>
            <w:left w:w="108" w:type="dxa"/>
            <w:bottom w:w="0" w:type="dxa"/>
            <w:right w:w="108" w:type="dxa"/>
          </w:tblCellMar>
        </w:tblPrEx>
        <w:trPr>
          <w:trHeight w:val="320" w:hRule="atLeast"/>
          <w:jc w:val="center"/>
        </w:trPr>
        <w:tc>
          <w:tcPr>
            <w:tcW w:w="389"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547"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数据权限管理</w:t>
            </w: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支持对</w:t>
            </w:r>
            <w:r>
              <w:rPr>
                <w:rFonts w:hint="eastAsia" w:ascii="宋体" w:hAnsi="宋体"/>
                <w:szCs w:val="21"/>
              </w:rPr>
              <w:t>对患者的单条就诊记录进行标识，实现基于就诊维度的用户数据查看及操作权限配置</w:t>
            </w:r>
          </w:p>
        </w:tc>
      </w:tr>
      <w:tr>
        <w:tblPrEx>
          <w:tblCellMar>
            <w:top w:w="0" w:type="dxa"/>
            <w:left w:w="108" w:type="dxa"/>
            <w:bottom w:w="0" w:type="dxa"/>
            <w:right w:w="108" w:type="dxa"/>
          </w:tblCellMar>
        </w:tblPrEx>
        <w:trPr>
          <w:trHeight w:val="320" w:hRule="atLeast"/>
          <w:jc w:val="center"/>
        </w:trPr>
        <w:tc>
          <w:tcPr>
            <w:tcW w:w="389"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547" w:type="pct"/>
            <w:vMerge w:val="restart"/>
            <w:tcBorders>
              <w:top w:val="single" w:color="auto" w:sz="4" w:space="0"/>
              <w:left w:val="nil"/>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数据脱敏管理</w:t>
            </w: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szCs w:val="21"/>
              </w:rPr>
              <w:t>支持针对患者姓名，身份证，联系方式，住址等隐私数据进行脱敏提取</w:t>
            </w:r>
          </w:p>
        </w:tc>
      </w:tr>
      <w:tr>
        <w:tblPrEx>
          <w:tblCellMar>
            <w:top w:w="0" w:type="dxa"/>
            <w:left w:w="108" w:type="dxa"/>
            <w:bottom w:w="0" w:type="dxa"/>
            <w:right w:w="108" w:type="dxa"/>
          </w:tblCellMar>
        </w:tblPrEx>
        <w:trPr>
          <w:trHeight w:val="320" w:hRule="atLeast"/>
          <w:jc w:val="center"/>
        </w:trPr>
        <w:tc>
          <w:tcPr>
            <w:tcW w:w="389" w:type="pct"/>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p>
        </w:tc>
        <w:tc>
          <w:tcPr>
            <w:tcW w:w="625" w:type="pct"/>
            <w:vMerge w:val="continue"/>
            <w:tcBorders>
              <w:left w:val="nil"/>
              <w:bottom w:val="single" w:color="auto" w:sz="4" w:space="0"/>
              <w:right w:val="single" w:color="auto" w:sz="4" w:space="0"/>
            </w:tcBorders>
            <w:vAlign w:val="center"/>
          </w:tcPr>
          <w:p>
            <w:pPr>
              <w:widowControl/>
              <w:rPr>
                <w:rFonts w:ascii="宋体" w:hAnsi="宋体" w:cs="宋体"/>
                <w:color w:val="000000"/>
                <w:szCs w:val="21"/>
              </w:rPr>
            </w:pPr>
          </w:p>
        </w:tc>
        <w:tc>
          <w:tcPr>
            <w:tcW w:w="547" w:type="pct"/>
            <w:vMerge w:val="continue"/>
            <w:tcBorders>
              <w:left w:val="nil"/>
              <w:bottom w:val="single" w:color="auto" w:sz="4" w:space="0"/>
              <w:right w:val="single" w:color="auto" w:sz="4" w:space="0"/>
            </w:tcBorders>
            <w:vAlign w:val="center"/>
          </w:tcPr>
          <w:p>
            <w:pPr>
              <w:widowControl/>
              <w:jc w:val="center"/>
              <w:rPr>
                <w:rFonts w:ascii="宋体" w:hAnsi="宋体" w:cs="宋体"/>
                <w:b/>
                <w:bCs/>
                <w:color w:val="000000"/>
                <w:szCs w:val="21"/>
              </w:rPr>
            </w:pPr>
          </w:p>
        </w:tc>
        <w:tc>
          <w:tcPr>
            <w:tcW w:w="343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szCs w:val="21"/>
              </w:rPr>
              <w:t>支持对数据字段内容进行关键词替换操作，如必要时将某数据字段内容转换成“*”号展示</w:t>
            </w:r>
          </w:p>
        </w:tc>
      </w:tr>
    </w:tbl>
    <w:p>
      <w:pPr>
        <w:pStyle w:val="3"/>
        <w:rPr>
          <w:rFonts w:ascii="宋体" w:hAnsi="宋体" w:eastAsia="宋体"/>
          <w:sz w:val="24"/>
          <w:szCs w:val="24"/>
        </w:rPr>
      </w:pPr>
      <w:bookmarkStart w:id="1" w:name="_6.1.2、容器服务器"/>
      <w:bookmarkEnd w:id="1"/>
      <w:r>
        <w:rPr>
          <w:rFonts w:ascii="宋体" w:hAnsi="宋体" w:eastAsia="宋体"/>
          <w:sz w:val="24"/>
          <w:szCs w:val="24"/>
        </w:rPr>
        <w:t>3.1.</w:t>
      </w:r>
      <w:r>
        <w:rPr>
          <w:rFonts w:hint="eastAsia" w:ascii="宋体" w:hAnsi="宋体" w:eastAsia="宋体"/>
          <w:sz w:val="24"/>
          <w:szCs w:val="24"/>
          <w:lang w:val="en-US"/>
        </w:rPr>
        <w:t>2</w:t>
      </w:r>
      <w:r>
        <w:rPr>
          <w:rFonts w:hint="eastAsia" w:ascii="宋体" w:hAnsi="宋体" w:eastAsia="宋体"/>
          <w:sz w:val="24"/>
          <w:szCs w:val="24"/>
        </w:rPr>
        <w:t>、围术期临床专科智能应用数字化平台</w:t>
      </w:r>
    </w:p>
    <w:tbl>
      <w:tblPr>
        <w:tblStyle w:val="20"/>
        <w:tblW w:w="5000" w:type="pct"/>
        <w:tblInd w:w="0" w:type="dxa"/>
        <w:tblLayout w:type="autofit"/>
        <w:tblCellMar>
          <w:top w:w="0" w:type="dxa"/>
          <w:left w:w="108" w:type="dxa"/>
          <w:bottom w:w="0" w:type="dxa"/>
          <w:right w:w="108" w:type="dxa"/>
        </w:tblCellMar>
      </w:tblPr>
      <w:tblGrid>
        <w:gridCol w:w="724"/>
        <w:gridCol w:w="1597"/>
        <w:gridCol w:w="1744"/>
        <w:gridCol w:w="5221"/>
      </w:tblGrid>
      <w:tr>
        <w:tblPrEx>
          <w:tblCellMar>
            <w:top w:w="0" w:type="dxa"/>
            <w:left w:w="108" w:type="dxa"/>
            <w:bottom w:w="0" w:type="dxa"/>
            <w:right w:w="108" w:type="dxa"/>
          </w:tblCellMar>
        </w:tblPrEx>
        <w:trPr>
          <w:trHeight w:val="320" w:hRule="atLeast"/>
        </w:trPr>
        <w:tc>
          <w:tcPr>
            <w:tcW w:w="39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序号</w:t>
            </w:r>
          </w:p>
        </w:tc>
        <w:tc>
          <w:tcPr>
            <w:tcW w:w="860"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模块</w:t>
            </w:r>
          </w:p>
        </w:tc>
        <w:tc>
          <w:tcPr>
            <w:tcW w:w="939"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功能</w:t>
            </w:r>
          </w:p>
        </w:tc>
        <w:tc>
          <w:tcPr>
            <w:tcW w:w="281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功能描述</w:t>
            </w:r>
          </w:p>
        </w:tc>
      </w:tr>
      <w:tr>
        <w:tblPrEx>
          <w:tblCellMar>
            <w:top w:w="0" w:type="dxa"/>
            <w:left w:w="108" w:type="dxa"/>
            <w:bottom w:w="0" w:type="dxa"/>
            <w:right w:w="108" w:type="dxa"/>
          </w:tblCellMar>
        </w:tblPrEx>
        <w:trPr>
          <w:trHeight w:val="320" w:hRule="atLeast"/>
        </w:trPr>
        <w:tc>
          <w:tcPr>
            <w:tcW w:w="390" w:type="pct"/>
            <w:tcBorders>
              <w:top w:val="single" w:color="auto" w:sz="4" w:space="0"/>
              <w:left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1</w:t>
            </w:r>
          </w:p>
        </w:tc>
        <w:tc>
          <w:tcPr>
            <w:tcW w:w="860" w:type="pct"/>
            <w:tcBorders>
              <w:top w:val="single" w:color="auto" w:sz="4" w:space="0"/>
              <w:left w:val="nil"/>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首页数据概览</w:t>
            </w:r>
          </w:p>
        </w:tc>
        <w:tc>
          <w:tcPr>
            <w:tcW w:w="939"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基础指标展示</w:t>
            </w: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rPr>
              <w:t>支持对围术期专科数据库的数据情况进行概览展示，包括纳入患者总数、门诊/住院人数、门诊/住院人次、患者来源、性别占比、年龄分布基础数据统计图表</w:t>
            </w:r>
          </w:p>
        </w:tc>
      </w:tr>
      <w:tr>
        <w:tblPrEx>
          <w:tblCellMar>
            <w:top w:w="0" w:type="dxa"/>
            <w:left w:w="108" w:type="dxa"/>
            <w:bottom w:w="0" w:type="dxa"/>
            <w:right w:w="108" w:type="dxa"/>
          </w:tblCellMar>
        </w:tblPrEx>
        <w:trPr>
          <w:trHeight w:val="320" w:hRule="atLeast"/>
        </w:trPr>
        <w:tc>
          <w:tcPr>
            <w:tcW w:w="390" w:type="pct"/>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2</w:t>
            </w:r>
          </w:p>
        </w:tc>
        <w:tc>
          <w:tcPr>
            <w:tcW w:w="860" w:type="pct"/>
            <w:vMerge w:val="restart"/>
            <w:tcBorders>
              <w:top w:val="single" w:color="auto" w:sz="4" w:space="0"/>
              <w:left w:val="nil"/>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科研项目中心</w:t>
            </w:r>
          </w:p>
        </w:tc>
        <w:tc>
          <w:tcPr>
            <w:tcW w:w="939" w:type="pct"/>
            <w:vMerge w:val="restart"/>
            <w:tcBorders>
              <w:top w:val="single" w:color="auto" w:sz="4" w:space="0"/>
              <w:left w:val="nil"/>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科研项目管理</w:t>
            </w: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rPr>
              <w:t>支持以卡片式视图的方式展示科研项目列表</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支持创建新的科研项目、编辑/修改现有科研项目基本信息</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支持在项目中创建多个研究队列</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支持项目成员管理，具备项目管理权限的角色用户可对科研项目中的项目成员进行管理维护，包括新增、删除成员以及分配成员到科研/随访队列的操作</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bottom w:val="single" w:color="auto" w:sz="4" w:space="0"/>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支持项目成员权限管理，具备项目管理权限的角色用户可对现有科研项目中的人员角色进行定义和权限授予</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restart"/>
            <w:tcBorders>
              <w:top w:val="single" w:color="auto" w:sz="4" w:space="0"/>
              <w:left w:val="nil"/>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患者入组管理</w:t>
            </w: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支持项目二维码入组：可生成项目二维码，患者可通过扫描项目二维码进入到项目患者队列中</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支持检索患者一键入组：可在病例检索中执行检索操作，将检索出来的患者队列一键添加至科研项目进行入组</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支持检索患者勾选入组：可在病例检索中执行检索操作，以勾选的方式选择性的将单个/多个患者添加至科研项目进行入组</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bottom w:val="single" w:color="auto" w:sz="4" w:space="0"/>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支持单个患者手工入组：研究人员可以通过人工的方式录入单个患者数据，将之添加至入组研究队列</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restart"/>
            <w:tcBorders>
              <w:left w:val="nil"/>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患者管理</w:t>
            </w: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支持对患者进行打标签操作，用来标识患者状态</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标签分为通用标签和私人标签，具备该队列研究人员角色的用户可以对标签进行自定义设置，保存为私人标签使用</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具有权限的用户可以对通用标签进行维护，包括删除、修改标签等</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支持纳入队列研究：具备相应权限的用户可将项目中的患者纳入到科研/随访队列中开展相应研究</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支持在项目患者列表中，调阅查看单个患者的患者全景视图</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bottom w:val="single" w:color="auto" w:sz="4" w:space="0"/>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支持对项目患者列表中患者展示内容进行二次检索</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restart"/>
            <w:tcBorders>
              <w:top w:val="single" w:color="auto" w:sz="4" w:space="0"/>
              <w:left w:val="nil"/>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科研队列管理</w:t>
            </w: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支持对入组科研队列的患者进行列表展示及管理，包括创建子队列、维护科研队列等操作</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支持继承患者入组和患者管理操作进行队列患者纳入和队列患者管理</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支持具备相应权限的用户可对单个或批量患者执行删除操作</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支持在科研队列患者详情页面中，查看患者的全景视图</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ascii="宋体" w:hAnsi="宋体"/>
              </w:rPr>
              <w:t>支持导出xlsx格式的Excle文件</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ascii="宋体" w:hAnsi="宋体"/>
              </w:rPr>
              <w:t>支持自定义CRF导出，并支持CRF导出预览</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ascii="宋体" w:hAnsi="宋体"/>
              </w:rPr>
              <w:t>支持在导出设置完成后，输入下载文件名，即可发出该文件的下载申请，待审批受理通过后，即可下载</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restart"/>
            <w:tcBorders>
              <w:top w:val="single" w:color="auto" w:sz="4" w:space="0"/>
              <w:left w:val="nil"/>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项目数据概览</w:t>
            </w: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支持展示科研项目的整体概览情况，包括科研队列数量、纳入患者总数、患者年龄/性别占比等</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bottom w:val="single" w:color="auto" w:sz="4" w:space="0"/>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rPr>
            </w:pPr>
            <w:r>
              <w:rPr>
                <w:rFonts w:hint="eastAsia" w:ascii="宋体" w:hAnsi="宋体"/>
              </w:rPr>
              <w:t>支持展示科研队列的整体概览情况，包括科研队列纳入患者总数、队列患者年龄/性别占比等</w:t>
            </w:r>
          </w:p>
        </w:tc>
      </w:tr>
      <w:tr>
        <w:tblPrEx>
          <w:tblCellMar>
            <w:top w:w="0" w:type="dxa"/>
            <w:left w:w="108" w:type="dxa"/>
            <w:bottom w:w="0" w:type="dxa"/>
            <w:right w:w="108" w:type="dxa"/>
          </w:tblCellMar>
        </w:tblPrEx>
        <w:trPr>
          <w:trHeight w:val="320" w:hRule="atLeast"/>
        </w:trPr>
        <w:tc>
          <w:tcPr>
            <w:tcW w:w="390" w:type="pct"/>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3</w:t>
            </w:r>
          </w:p>
        </w:tc>
        <w:tc>
          <w:tcPr>
            <w:tcW w:w="860" w:type="pct"/>
            <w:vMerge w:val="restart"/>
            <w:tcBorders>
              <w:top w:val="single" w:color="auto" w:sz="4" w:space="0"/>
              <w:left w:val="nil"/>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专科队列中心</w:t>
            </w:r>
          </w:p>
        </w:tc>
        <w:tc>
          <w:tcPr>
            <w:tcW w:w="939" w:type="pct"/>
            <w:vMerge w:val="restart"/>
            <w:tcBorders>
              <w:top w:val="single" w:color="auto" w:sz="4" w:space="0"/>
              <w:left w:val="nil"/>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随访项目管理</w:t>
            </w: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支持以卡片式视图展示随访项目列表</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支持展示项目状态、项目名称、项目创建时间、入组患者数等关键项目信息</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支持对随访项目状态进行变更管理，状态包括结题、中止</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rPr>
              <w:t>支持创建新的随访项目、编辑/修改现有随访项目基本信息</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rPr>
              <w:t>支持在项目中创建多个随访队列、编辑/修改现有随访队列名称信息</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rPr>
              <w:t>支持随访项目成员管理，具备随访项目管理权限的角色用户可对随访项目中的项目成员进行管理维护，包括新增、删除成员以及分配成员到随访队列的操作</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支持通过病例检索，将符合要求的患者队列直接一键导入到随访项目中进行随访工作</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支持从科研项目中导入符合要求的患者开展随访工作</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支持通过人工的方式填写单个患者的基本信息进行病例入组</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支持通过固定的Excle模板进行患者数据导入，批量添加患者开展随访工作</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rPr>
              <w:t>支持随访项目成员权限管理，具备项目管理权限的角色用户可对现有随访项目中的人员角色进行定义和权限授予</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支持随访项目文档维护，格式包括PDF、PNG、JPEG等</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支持在随访项目中输入随访计划名称进行计划搜索</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支持以列表的形式展示随访项目下的所有随访计划，展示的内容包括随访计划名称、状态、计划类型、创建日期等</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rPr>
              <w:t>支持对随访项目的随访计划进行维护，包括新增、修改和删除随访计划在内</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支持对随访项目中的随访计划的状态进行修改，随访计划状态包括终止、暂停和启动三种</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rPr>
              <w:t>支持对随访项目中的随访计划内容编辑，包括随访知情同意书设置，随访节点添加/修改/删除，随访问卷添加/修改/删除等</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rPr>
              <w:t>支持对随访项目中的随访计划的任意随访节点下的随访问卷进行修改和编辑，可引用问卷库中的随访问卷模板进行保存</w:t>
            </w:r>
          </w:p>
        </w:tc>
      </w:tr>
      <w:tr>
        <w:tblPrEx>
          <w:tblCellMar>
            <w:top w:w="0" w:type="dxa"/>
            <w:left w:w="108" w:type="dxa"/>
            <w:bottom w:w="0" w:type="dxa"/>
            <w:right w:w="108" w:type="dxa"/>
          </w:tblCellMar>
        </w:tblPrEx>
        <w:trPr>
          <w:trHeight w:val="558"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bottom w:val="single" w:color="auto" w:sz="4" w:space="0"/>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支持在随访项目中直接引用随访计划库中的模板进行使用</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restart"/>
            <w:tcBorders>
              <w:top w:val="single" w:color="auto" w:sz="4" w:space="0"/>
              <w:left w:val="nil"/>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随访病例管理</w:t>
            </w: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rPr>
              <w:t>支持以列表的形式展示随访队列下所有的患者，并支持对患者信息进行编辑操作，实现对患者姓名、性别、手机号等字段信息的修改</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rPr>
              <w:t>支持具备相应权限的用户可对单个或批量患者执行删除操作</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rPr>
              <w:t>支持对单个或批量患者进行勾选，添加至其他随访队列执行其他队列的随访操作</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rPr>
              <w:t>支持对患者进行异常标识，注明异常日期并记录异常缘由，实现终止患者随访操作</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rPr>
              <w:t>支持继承项目患者管理中的标签管理体系对随访队列患者进行打标签操作</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rPr>
              <w:t>支持实现单个/多个患者与随访计划进行关联，后续将自动根据关联的随访计划执行随访事项</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rPr>
              <w:t>支持查看包括患者全景视图、随访计划执行情况、患者资料文件等信息</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rPr>
              <w:t>支持对患者的随访计划进行编辑，包括新增、暂停、删除随访计划操作在内</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rPr>
              <w:t>支持查看该患者所有随访节点上的问卷填写情况，包括已填写和未填写的随访问卷</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rPr>
              <w:t>支持通过微信移动端对未填写随访问卷的患者推送提醒</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rPr>
              <w:t>支持查看患者通过微信移动端上传的相关诊疗数据文件</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rPr>
              <w:t>支持引用专科知识库中的健康宣教知识、视频文件并通过微信移动端推送给患者</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bottom w:val="single" w:color="auto" w:sz="4" w:space="0"/>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rPr>
              <w:t>支持临床科研人员对各随访节点下的随访问卷进行人工填写</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restart"/>
            <w:tcBorders>
              <w:top w:val="single" w:color="auto" w:sz="4" w:space="0"/>
              <w:left w:val="nil"/>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随访问卷库</w:t>
            </w: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rPr>
              <w:t>支持随访问卷编辑器功能，实现基于固定组件下的随访问卷自定义编辑和创建</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rPr>
              <w:t>随访问卷编辑页面采用左右结构布局，支持通过点击左侧工具栏组件进行问卷自定义编辑设计</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rPr>
              <w:t>随访问卷编辑器工具栏需至少支持包括问题组、表格题型、选择题型、填空题型、文本框组件供问卷设计使用，需提供问卷编辑器页面截图证明</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rPr>
              <w:t>支持将当前设计的随访问卷以草稿的形式保存至问卷库进行管理</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rPr>
              <w:t>支持对问卷库中保存的任意问卷进行设计和修改</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bottom w:val="single" w:color="auto" w:sz="4" w:space="0"/>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rPr>
              <w:t>支持在编辑问卷过程中以PC端和移动端两种形式进行问卷预览查看</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restart"/>
            <w:tcBorders>
              <w:top w:val="single" w:color="auto" w:sz="4" w:space="0"/>
              <w:left w:val="nil"/>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随访计划库</w:t>
            </w: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rPr>
              <w:t>支持对随访计划模板进行集中列表展示和管理，用户可通过点击具体随访计划名称，查看该计划模板下的随访知情同意书以及后续各个随访时间节点和随访问卷的内容</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rPr>
              <w:t>支持对随访计划模板进行维护，包括新增、修改和删除随访计划模板在内</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bottom w:val="single" w:color="auto" w:sz="4" w:space="0"/>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rPr>
              <w:t>支持对随访计划模板的内容进行编辑，包括随访知情同意书设置，随访节点添加/修改/删除，随访问卷添加/修改/删除等</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restart"/>
            <w:tcBorders>
              <w:top w:val="single" w:color="auto" w:sz="4" w:space="0"/>
              <w:left w:val="nil"/>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随访数据导出</w:t>
            </w: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支持在单个随访队列中，实现单个/多个患者数量填写过的单个随访问卷数据的导出</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b/>
                <w:bCs/>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支持在单个随访队列中，实现单个患者填写过的多个/全量随访问卷数据的导出</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bottom w:val="single" w:color="auto" w:sz="4" w:space="0"/>
              <w:right w:val="single" w:color="auto" w:sz="4" w:space="0"/>
            </w:tcBorders>
            <w:vAlign w:val="center"/>
          </w:tcPr>
          <w:p>
            <w:pPr>
              <w:widowControl/>
              <w:rPr>
                <w:rFonts w:ascii="宋体" w:hAnsi="宋体" w:cs="宋体"/>
                <w:color w:val="000000"/>
                <w:szCs w:val="21"/>
              </w:rPr>
            </w:pPr>
          </w:p>
        </w:tc>
        <w:tc>
          <w:tcPr>
            <w:tcW w:w="939" w:type="pct"/>
            <w:vMerge w:val="continue"/>
            <w:tcBorders>
              <w:left w:val="nil"/>
              <w:bottom w:val="single" w:color="auto" w:sz="4" w:space="0"/>
              <w:right w:val="single" w:color="auto" w:sz="4" w:space="0"/>
            </w:tcBorders>
            <w:vAlign w:val="center"/>
          </w:tcPr>
          <w:p>
            <w:pPr>
              <w:widowControl/>
              <w:jc w:val="center"/>
              <w:rPr>
                <w:rFonts w:ascii="宋体" w:hAnsi="宋体" w:cs="宋体"/>
                <w:b/>
                <w:bCs/>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支持导出xlsx格式的Excle文件</w:t>
            </w:r>
          </w:p>
        </w:tc>
      </w:tr>
      <w:tr>
        <w:tblPrEx>
          <w:tblCellMar>
            <w:top w:w="0" w:type="dxa"/>
            <w:left w:w="108" w:type="dxa"/>
            <w:bottom w:w="0" w:type="dxa"/>
            <w:right w:w="108" w:type="dxa"/>
          </w:tblCellMar>
        </w:tblPrEx>
        <w:trPr>
          <w:trHeight w:val="320" w:hRule="atLeast"/>
        </w:trPr>
        <w:tc>
          <w:tcPr>
            <w:tcW w:w="390" w:type="pct"/>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4</w:t>
            </w:r>
          </w:p>
        </w:tc>
        <w:tc>
          <w:tcPr>
            <w:tcW w:w="860" w:type="pct"/>
            <w:vMerge w:val="restart"/>
            <w:tcBorders>
              <w:top w:val="single" w:color="auto" w:sz="4" w:space="0"/>
              <w:left w:val="nil"/>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病例检索中心</w:t>
            </w:r>
          </w:p>
        </w:tc>
        <w:tc>
          <w:tcPr>
            <w:tcW w:w="939" w:type="pct"/>
            <w:vMerge w:val="restart"/>
            <w:tcBorders>
              <w:top w:val="single" w:color="auto" w:sz="4" w:space="0"/>
              <w:left w:val="nil"/>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多维度检索</w:t>
            </w: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rPr>
              <w:t>支持条件树检索，实现基于与或非逻辑运算的多条件组合检索</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rPr>
              <w:t>检索业务域需至少包含人口学信息、就诊信息、诊断信息、一般检验、微生物检验、检查报告、医嘱记录、门急诊病历、住院病历、入院记录、出院记录、病案手术在内，需提供覆盖上述业务域的数据检索页面截图证明</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支持对检索出来的患者数据结果进行二次字段检索</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支持查看检索数据元的数据完整度</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用户可将感兴趣的检索条件进行收藏，方便下次直接调用检索</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支持保留历史检索条件，实现快捷检索条件调用</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支持一键清空添加的检索条件</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bottom w:val="single" w:color="auto" w:sz="4" w:space="0"/>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rPr>
              <w:t>支持将检索出来的患者一键全量/批量勾选添加至科研队列/随访队列中，开展后续临床科学研究</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restart"/>
            <w:tcBorders>
              <w:top w:val="single" w:color="auto" w:sz="4" w:space="0"/>
              <w:left w:val="nil"/>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患者全景视图</w:t>
            </w: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支持患者全息视图：按照门诊、住院就诊时序，展示麻醉围术期患者的基本信息、医嘱/处方、检验、检查、手术、护理等信息</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b/>
                <w:bCs/>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支持患者时间轴视图：将麻醉围术期患者的历次就诊过程中产生的检验、检查等数据按照时间线顺序展示，用以辅助临床医生查看患者疾病发展和诊疗情况</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bottom w:val="single" w:color="auto" w:sz="4" w:space="0"/>
              <w:right w:val="single" w:color="auto" w:sz="4" w:space="0"/>
            </w:tcBorders>
            <w:vAlign w:val="center"/>
          </w:tcPr>
          <w:p>
            <w:pPr>
              <w:widowControl/>
              <w:rPr>
                <w:rFonts w:ascii="宋体" w:hAnsi="宋体" w:cs="宋体"/>
                <w:color w:val="000000"/>
                <w:szCs w:val="21"/>
              </w:rPr>
            </w:pPr>
          </w:p>
        </w:tc>
        <w:tc>
          <w:tcPr>
            <w:tcW w:w="939" w:type="pct"/>
            <w:vMerge w:val="continue"/>
            <w:tcBorders>
              <w:left w:val="nil"/>
              <w:bottom w:val="single" w:color="auto" w:sz="4" w:space="0"/>
              <w:right w:val="single" w:color="auto" w:sz="4" w:space="0"/>
            </w:tcBorders>
            <w:vAlign w:val="center"/>
          </w:tcPr>
          <w:p>
            <w:pPr>
              <w:widowControl/>
              <w:jc w:val="center"/>
              <w:rPr>
                <w:rFonts w:ascii="宋体" w:hAnsi="宋体" w:cs="宋体"/>
                <w:b/>
                <w:bCs/>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支持异常值提醒：针对患者时间轴视图中的检验检查异常结果值进行高亮提示，方便科研人员查阅</w:t>
            </w:r>
          </w:p>
        </w:tc>
      </w:tr>
      <w:tr>
        <w:tblPrEx>
          <w:tblCellMar>
            <w:top w:w="0" w:type="dxa"/>
            <w:left w:w="108" w:type="dxa"/>
            <w:bottom w:w="0" w:type="dxa"/>
            <w:right w:w="108" w:type="dxa"/>
          </w:tblCellMar>
        </w:tblPrEx>
        <w:trPr>
          <w:trHeight w:val="320" w:hRule="atLeast"/>
        </w:trPr>
        <w:tc>
          <w:tcPr>
            <w:tcW w:w="390" w:type="pct"/>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5</w:t>
            </w:r>
          </w:p>
        </w:tc>
        <w:tc>
          <w:tcPr>
            <w:tcW w:w="860" w:type="pct"/>
            <w:vMerge w:val="restart"/>
            <w:tcBorders>
              <w:top w:val="single" w:color="auto" w:sz="4" w:space="0"/>
              <w:left w:val="nil"/>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移动微平台</w:t>
            </w:r>
          </w:p>
        </w:tc>
        <w:tc>
          <w:tcPr>
            <w:tcW w:w="939"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扫码入组</w:t>
            </w: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支持患者通过微信扫描二维码进行随访队列入组</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restart"/>
            <w:tcBorders>
              <w:top w:val="single" w:color="auto" w:sz="4" w:space="0"/>
              <w:left w:val="nil"/>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随访执行</w:t>
            </w: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支持患者通过移动端完成随访知情同意书的签署</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支持患者在移动端查阅所属随访队列信息和随访进度情况</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bottom w:val="single" w:color="auto" w:sz="4" w:space="0"/>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支持患者在移动端填写随访节点下的各类问卷并提交</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restart"/>
            <w:tcBorders>
              <w:top w:val="single" w:color="auto" w:sz="4" w:space="0"/>
              <w:left w:val="nil"/>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数据上传</w:t>
            </w: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支持患者在移动端上传与自身病情相关的检验检查诊疗报告或图片</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bottom w:val="single" w:color="auto" w:sz="4" w:space="0"/>
              <w:right w:val="single" w:color="auto" w:sz="4" w:space="0"/>
            </w:tcBorders>
            <w:vAlign w:val="center"/>
          </w:tcPr>
          <w:p>
            <w:pPr>
              <w:widowControl/>
              <w:jc w:val="center"/>
              <w:rPr>
                <w:rFonts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上传的文件格式需支持</w:t>
            </w:r>
            <w:r>
              <w:rPr>
                <w:rFonts w:hint="eastAsia" w:ascii="宋体" w:hAnsi="宋体" w:cs="宋体"/>
                <w:color w:val="000000"/>
                <w:szCs w:val="21"/>
              </w:rPr>
              <w:t>PDF、PNG、JPEG</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bottom w:val="single" w:color="auto" w:sz="4" w:space="0"/>
              <w:right w:val="single" w:color="auto" w:sz="4" w:space="0"/>
            </w:tcBorders>
            <w:vAlign w:val="center"/>
          </w:tcPr>
          <w:p>
            <w:pPr>
              <w:widowControl/>
              <w:rPr>
                <w:rFonts w:ascii="宋体" w:hAnsi="宋体" w:cs="宋体"/>
                <w:color w:val="000000"/>
                <w:szCs w:val="21"/>
              </w:rPr>
            </w:pPr>
          </w:p>
        </w:tc>
        <w:tc>
          <w:tcPr>
            <w:tcW w:w="939"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随访提醒</w:t>
            </w: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支持患者在移动端查看医生发送的反馈信息，如随访健康宣教和复诊提醒等</w:t>
            </w:r>
          </w:p>
        </w:tc>
      </w:tr>
      <w:tr>
        <w:tblPrEx>
          <w:tblCellMar>
            <w:top w:w="0" w:type="dxa"/>
            <w:left w:w="108" w:type="dxa"/>
            <w:bottom w:w="0" w:type="dxa"/>
            <w:right w:w="108" w:type="dxa"/>
          </w:tblCellMar>
        </w:tblPrEx>
        <w:trPr>
          <w:trHeight w:val="320" w:hRule="atLeast"/>
        </w:trPr>
        <w:tc>
          <w:tcPr>
            <w:tcW w:w="390" w:type="pct"/>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6</w:t>
            </w:r>
          </w:p>
        </w:tc>
        <w:tc>
          <w:tcPr>
            <w:tcW w:w="860" w:type="pct"/>
            <w:vMerge w:val="restart"/>
            <w:tcBorders>
              <w:top w:val="single" w:color="auto" w:sz="4" w:space="0"/>
              <w:left w:val="nil"/>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专科知识库</w:t>
            </w:r>
          </w:p>
        </w:tc>
        <w:tc>
          <w:tcPr>
            <w:tcW w:w="939" w:type="pct"/>
            <w:vMerge w:val="restart"/>
            <w:tcBorders>
              <w:top w:val="single" w:color="auto" w:sz="4" w:space="0"/>
              <w:left w:val="nil"/>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color w:val="000000"/>
                <w:szCs w:val="21"/>
              </w:rPr>
              <w:t>围术期知识库</w:t>
            </w: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ascii="宋体" w:hAnsi="宋体"/>
              </w:rPr>
              <w:t>支持对围术期随访过程所需的健康宣教图文知识进行存储，格式需支持P</w:t>
            </w:r>
            <w:r>
              <w:rPr>
                <w:rFonts w:ascii="宋体" w:hAnsi="宋体"/>
              </w:rPr>
              <w:t>DF</w:t>
            </w:r>
            <w:r>
              <w:rPr>
                <w:rFonts w:hint="eastAsia" w:ascii="宋体" w:hAnsi="宋体"/>
              </w:rPr>
              <w:t>、P</w:t>
            </w:r>
            <w:r>
              <w:rPr>
                <w:rFonts w:ascii="宋体" w:hAnsi="宋体"/>
              </w:rPr>
              <w:t>GN</w:t>
            </w:r>
            <w:r>
              <w:rPr>
                <w:rFonts w:hint="eastAsia" w:ascii="宋体" w:hAnsi="宋体"/>
              </w:rPr>
              <w:t>和J</w:t>
            </w:r>
            <w:r>
              <w:rPr>
                <w:rFonts w:ascii="宋体" w:hAnsi="宋体"/>
              </w:rPr>
              <w:t>PEG</w:t>
            </w:r>
            <w:r>
              <w:rPr>
                <w:rFonts w:hint="eastAsia" w:ascii="宋体" w:hAnsi="宋体"/>
              </w:rPr>
              <w:t>在内</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b/>
                <w:bCs/>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ascii="宋体" w:hAnsi="宋体" w:cs="宋体"/>
                <w:color w:val="000000"/>
                <w:szCs w:val="21"/>
              </w:rPr>
              <w:t>支持对</w:t>
            </w:r>
            <w:r>
              <w:rPr>
                <w:rFonts w:hint="eastAsia" w:ascii="宋体" w:hAnsi="宋体"/>
              </w:rPr>
              <w:t>围术期随访过程所涉及的相关视频文件进行存储，格式需支持M</w:t>
            </w:r>
            <w:r>
              <w:rPr>
                <w:rFonts w:ascii="宋体" w:hAnsi="宋体"/>
              </w:rPr>
              <w:t>P4</w:t>
            </w:r>
          </w:p>
        </w:tc>
      </w:tr>
      <w:tr>
        <w:tblPrEx>
          <w:tblCellMar>
            <w:top w:w="0" w:type="dxa"/>
            <w:left w:w="108" w:type="dxa"/>
            <w:bottom w:w="0" w:type="dxa"/>
            <w:right w:w="108" w:type="dxa"/>
          </w:tblCellMar>
        </w:tblPrEx>
        <w:trPr>
          <w:trHeight w:val="320" w:hRule="atLeast"/>
        </w:trPr>
        <w:tc>
          <w:tcPr>
            <w:tcW w:w="390" w:type="pct"/>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7</w:t>
            </w:r>
          </w:p>
        </w:tc>
        <w:tc>
          <w:tcPr>
            <w:tcW w:w="860" w:type="pct"/>
            <w:vMerge w:val="restart"/>
            <w:tcBorders>
              <w:top w:val="single" w:color="auto" w:sz="4" w:space="0"/>
              <w:left w:val="nil"/>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系统设置管理</w:t>
            </w:r>
          </w:p>
        </w:tc>
        <w:tc>
          <w:tcPr>
            <w:tcW w:w="939" w:type="pct"/>
            <w:vMerge w:val="restart"/>
            <w:tcBorders>
              <w:top w:val="single" w:color="auto" w:sz="4" w:space="0"/>
              <w:left w:val="nil"/>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color w:val="000000"/>
                <w:szCs w:val="21"/>
              </w:rPr>
              <w:t>个人用户中心</w:t>
            </w: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用户可查看自身账户基本信息</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bottom w:val="single" w:color="auto" w:sz="4" w:space="0"/>
              <w:right w:val="single" w:color="auto" w:sz="4" w:space="0"/>
            </w:tcBorders>
            <w:vAlign w:val="center"/>
          </w:tcPr>
          <w:p>
            <w:pPr>
              <w:widowControl/>
              <w:jc w:val="center"/>
              <w:rPr>
                <w:rFonts w:ascii="宋体" w:hAnsi="宋体" w:cs="宋体"/>
                <w:b/>
                <w:bCs/>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用户可自行修改账号密码</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restart"/>
            <w:tcBorders>
              <w:top w:val="single" w:color="auto" w:sz="4" w:space="0"/>
              <w:left w:val="nil"/>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color w:val="000000"/>
                <w:szCs w:val="21"/>
              </w:rPr>
              <w:t>下载审批中心</w:t>
            </w: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包含审批列表中心和下载列表中心</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b/>
                <w:bCs/>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所有申请导出的数据都需要在审批列表中心中进行导出审批</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b/>
                <w:bCs/>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审批人员可以拒绝用户发起的导出申请，发起用户可以在下载列表中心查看被拒绝导出的缘由</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right w:val="single" w:color="auto" w:sz="4" w:space="0"/>
            </w:tcBorders>
            <w:vAlign w:val="center"/>
          </w:tcPr>
          <w:p>
            <w:pPr>
              <w:widowControl/>
              <w:rPr>
                <w:rFonts w:ascii="宋体" w:hAnsi="宋体" w:cs="宋体"/>
                <w:color w:val="000000"/>
                <w:szCs w:val="21"/>
              </w:rPr>
            </w:pPr>
          </w:p>
        </w:tc>
        <w:tc>
          <w:tcPr>
            <w:tcW w:w="939" w:type="pct"/>
            <w:vMerge w:val="continue"/>
            <w:tcBorders>
              <w:left w:val="nil"/>
              <w:right w:val="single" w:color="auto" w:sz="4" w:space="0"/>
            </w:tcBorders>
            <w:vAlign w:val="center"/>
          </w:tcPr>
          <w:p>
            <w:pPr>
              <w:widowControl/>
              <w:jc w:val="center"/>
              <w:rPr>
                <w:rFonts w:ascii="宋体" w:hAnsi="宋体" w:cs="宋体"/>
                <w:b/>
                <w:bCs/>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发起数据导出的用户可在下载列表中心查看自己发起的导出申请状态</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p>
        </w:tc>
        <w:tc>
          <w:tcPr>
            <w:tcW w:w="860" w:type="pct"/>
            <w:vMerge w:val="continue"/>
            <w:tcBorders>
              <w:left w:val="nil"/>
              <w:bottom w:val="single" w:color="auto" w:sz="4" w:space="0"/>
              <w:right w:val="single" w:color="auto" w:sz="4" w:space="0"/>
            </w:tcBorders>
            <w:vAlign w:val="center"/>
          </w:tcPr>
          <w:p>
            <w:pPr>
              <w:widowControl/>
              <w:rPr>
                <w:rFonts w:ascii="宋体" w:hAnsi="宋体" w:cs="宋体"/>
                <w:color w:val="000000"/>
                <w:szCs w:val="21"/>
              </w:rPr>
            </w:pPr>
          </w:p>
        </w:tc>
        <w:tc>
          <w:tcPr>
            <w:tcW w:w="939" w:type="pct"/>
            <w:vMerge w:val="continue"/>
            <w:tcBorders>
              <w:left w:val="nil"/>
              <w:bottom w:val="single" w:color="auto" w:sz="4" w:space="0"/>
              <w:right w:val="single" w:color="auto" w:sz="4" w:space="0"/>
            </w:tcBorders>
            <w:vAlign w:val="center"/>
          </w:tcPr>
          <w:p>
            <w:pPr>
              <w:widowControl/>
              <w:jc w:val="center"/>
              <w:rPr>
                <w:rFonts w:ascii="宋体" w:hAnsi="宋体" w:cs="宋体"/>
                <w:b/>
                <w:bCs/>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发起数据导出的用户可在下载列表中心对通过审批的文件进行下载</w:t>
            </w:r>
          </w:p>
        </w:tc>
      </w:tr>
    </w:tbl>
    <w:p>
      <w:pPr>
        <w:pStyle w:val="3"/>
        <w:rPr>
          <w:rFonts w:ascii="宋体" w:hAnsi="宋体" w:eastAsia="宋体"/>
          <w:sz w:val="24"/>
          <w:szCs w:val="24"/>
        </w:rPr>
      </w:pPr>
      <w:r>
        <w:rPr>
          <w:rFonts w:ascii="宋体" w:hAnsi="宋体" w:eastAsia="宋体"/>
          <w:sz w:val="24"/>
          <w:szCs w:val="24"/>
        </w:rPr>
        <w:t>3.1.3</w:t>
      </w:r>
      <w:r>
        <w:rPr>
          <w:rFonts w:hint="eastAsia" w:ascii="宋体" w:hAnsi="宋体" w:eastAsia="宋体"/>
          <w:sz w:val="24"/>
          <w:szCs w:val="24"/>
        </w:rPr>
        <w:t>、围术期专科可视化管理驾驶舱</w:t>
      </w:r>
    </w:p>
    <w:tbl>
      <w:tblPr>
        <w:tblStyle w:val="20"/>
        <w:tblW w:w="5000" w:type="pct"/>
        <w:tblInd w:w="0" w:type="dxa"/>
        <w:tblLayout w:type="autofit"/>
        <w:tblCellMar>
          <w:top w:w="0" w:type="dxa"/>
          <w:left w:w="108" w:type="dxa"/>
          <w:bottom w:w="0" w:type="dxa"/>
          <w:right w:w="108" w:type="dxa"/>
        </w:tblCellMar>
      </w:tblPr>
      <w:tblGrid>
        <w:gridCol w:w="724"/>
        <w:gridCol w:w="1597"/>
        <w:gridCol w:w="1744"/>
        <w:gridCol w:w="5221"/>
      </w:tblGrid>
      <w:tr>
        <w:tblPrEx>
          <w:tblCellMar>
            <w:top w:w="0" w:type="dxa"/>
            <w:left w:w="108" w:type="dxa"/>
            <w:bottom w:w="0" w:type="dxa"/>
            <w:right w:w="108" w:type="dxa"/>
          </w:tblCellMar>
        </w:tblPrEx>
        <w:trPr>
          <w:trHeight w:val="320" w:hRule="atLeast"/>
        </w:trPr>
        <w:tc>
          <w:tcPr>
            <w:tcW w:w="39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序号</w:t>
            </w:r>
          </w:p>
        </w:tc>
        <w:tc>
          <w:tcPr>
            <w:tcW w:w="860"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模块</w:t>
            </w:r>
          </w:p>
        </w:tc>
        <w:tc>
          <w:tcPr>
            <w:tcW w:w="939"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功能</w:t>
            </w:r>
          </w:p>
        </w:tc>
        <w:tc>
          <w:tcPr>
            <w:tcW w:w="281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功能描述</w:t>
            </w:r>
          </w:p>
        </w:tc>
      </w:tr>
      <w:tr>
        <w:tblPrEx>
          <w:tblCellMar>
            <w:top w:w="0" w:type="dxa"/>
            <w:left w:w="108" w:type="dxa"/>
            <w:bottom w:w="0" w:type="dxa"/>
            <w:right w:w="108" w:type="dxa"/>
          </w:tblCellMar>
        </w:tblPrEx>
        <w:trPr>
          <w:trHeight w:val="320" w:hRule="atLeast"/>
        </w:trPr>
        <w:tc>
          <w:tcPr>
            <w:tcW w:w="390" w:type="pct"/>
            <w:vMerge w:val="restart"/>
            <w:tcBorders>
              <w:top w:val="single" w:color="auto" w:sz="4" w:space="0"/>
              <w:left w:val="single" w:color="auto" w:sz="4" w:space="0"/>
              <w:right w:val="single" w:color="auto" w:sz="4" w:space="0"/>
            </w:tcBorders>
            <w:vAlign w:val="center"/>
          </w:tcPr>
          <w:p>
            <w:pPr>
              <w:widowControl/>
              <w:jc w:val="center"/>
            </w:pPr>
            <w:r>
              <w:rPr>
                <w:rFonts w:hint="eastAsia"/>
              </w:rPr>
              <w:t>1</w:t>
            </w:r>
          </w:p>
        </w:tc>
        <w:tc>
          <w:tcPr>
            <w:tcW w:w="860" w:type="pct"/>
            <w:vMerge w:val="restart"/>
            <w:tcBorders>
              <w:top w:val="single" w:color="auto" w:sz="4" w:space="0"/>
              <w:left w:val="nil"/>
              <w:right w:val="single" w:color="auto" w:sz="4" w:space="0"/>
            </w:tcBorders>
            <w:vAlign w:val="center"/>
          </w:tcPr>
          <w:p>
            <w:pPr>
              <w:widowControl/>
              <w:jc w:val="center"/>
            </w:pPr>
            <w:r>
              <w:rPr>
                <w:rFonts w:hint="eastAsia"/>
              </w:rPr>
              <w:t>数据接入管理</w:t>
            </w:r>
          </w:p>
        </w:tc>
        <w:tc>
          <w:tcPr>
            <w:tcW w:w="939" w:type="pct"/>
            <w:vMerge w:val="restart"/>
            <w:tcBorders>
              <w:top w:val="single" w:color="auto" w:sz="4" w:space="0"/>
              <w:left w:val="nil"/>
              <w:right w:val="single" w:color="auto" w:sz="4" w:space="0"/>
            </w:tcBorders>
            <w:vAlign w:val="center"/>
          </w:tcPr>
          <w:p>
            <w:pPr>
              <w:widowControl/>
              <w:jc w:val="center"/>
            </w:pPr>
            <w:r>
              <w:rPr>
                <w:rFonts w:hint="eastAsia"/>
              </w:rPr>
              <w:t>数据管理</w:t>
            </w: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支持对接围术期临床专科智能应用数字化平台，实现C</w:t>
            </w:r>
            <w:r>
              <w:t>RF</w:t>
            </w:r>
            <w:r>
              <w:rPr>
                <w:rFonts w:hint="eastAsia"/>
              </w:rPr>
              <w:t>导出数据的预览和导入</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pPr>
          </w:p>
        </w:tc>
        <w:tc>
          <w:tcPr>
            <w:tcW w:w="860" w:type="pct"/>
            <w:vMerge w:val="continue"/>
            <w:tcBorders>
              <w:left w:val="nil"/>
              <w:right w:val="single" w:color="auto" w:sz="4" w:space="0"/>
            </w:tcBorders>
            <w:vAlign w:val="center"/>
          </w:tcPr>
          <w:p>
            <w:pPr>
              <w:widowControl/>
              <w:jc w:val="center"/>
            </w:pPr>
          </w:p>
        </w:tc>
        <w:tc>
          <w:tcPr>
            <w:tcW w:w="939" w:type="pct"/>
            <w:vMerge w:val="continue"/>
            <w:tcBorders>
              <w:left w:val="nil"/>
              <w:bottom w:val="single" w:color="auto" w:sz="4" w:space="0"/>
              <w:right w:val="single" w:color="auto" w:sz="4" w:space="0"/>
            </w:tcBorders>
            <w:vAlign w:val="center"/>
          </w:tcPr>
          <w:p>
            <w:pPr>
              <w:widowControl/>
              <w:jc w:val="cente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pPr>
            <w:r>
              <w:rPr>
                <w:rFonts w:hint="eastAsia"/>
              </w:rPr>
              <w:t>支持从本机上传相关数据文件开展统计分析</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pPr>
          </w:p>
        </w:tc>
        <w:tc>
          <w:tcPr>
            <w:tcW w:w="860" w:type="pct"/>
            <w:vMerge w:val="continue"/>
            <w:tcBorders>
              <w:left w:val="nil"/>
              <w:right w:val="single" w:color="auto" w:sz="4" w:space="0"/>
            </w:tcBorders>
            <w:vAlign w:val="center"/>
          </w:tcPr>
          <w:p>
            <w:pPr>
              <w:widowControl/>
              <w:jc w:val="center"/>
            </w:pPr>
          </w:p>
        </w:tc>
        <w:tc>
          <w:tcPr>
            <w:tcW w:w="939" w:type="pct"/>
            <w:vMerge w:val="restart"/>
            <w:tcBorders>
              <w:top w:val="single" w:color="auto" w:sz="4" w:space="0"/>
              <w:left w:val="nil"/>
              <w:right w:val="single" w:color="auto" w:sz="4" w:space="0"/>
            </w:tcBorders>
            <w:vAlign w:val="center"/>
          </w:tcPr>
          <w:p>
            <w:pPr>
              <w:widowControl/>
              <w:jc w:val="center"/>
            </w:pPr>
            <w:r>
              <w:rPr>
                <w:rFonts w:hint="eastAsia"/>
              </w:rPr>
              <w:t>数据探查与</w:t>
            </w:r>
          </w:p>
          <w:p>
            <w:pPr>
              <w:widowControl/>
              <w:jc w:val="center"/>
              <w:rPr>
                <w:rFonts w:hint="eastAsia"/>
              </w:rPr>
            </w:pPr>
            <w:r>
              <w:rPr>
                <w:rFonts w:hint="eastAsia"/>
              </w:rPr>
              <w:t>可视化</w:t>
            </w: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hint="eastAsia"/>
              </w:rPr>
            </w:pPr>
            <w:r>
              <w:rPr>
                <w:rFonts w:hint="eastAsia"/>
              </w:rPr>
              <w:t>支持为用户提供各种用于观察变量分布情况的图表，内置字符云图、雷达图、区域分布图、箱线图、趋势图、散点图、柱状图、饼图等图表组件</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jc w:val="center"/>
            </w:pPr>
          </w:p>
        </w:tc>
        <w:tc>
          <w:tcPr>
            <w:tcW w:w="860" w:type="pct"/>
            <w:vMerge w:val="continue"/>
            <w:tcBorders>
              <w:left w:val="nil"/>
              <w:right w:val="single" w:color="auto" w:sz="4" w:space="0"/>
            </w:tcBorders>
            <w:vAlign w:val="center"/>
          </w:tcPr>
          <w:p>
            <w:pPr>
              <w:widowControl/>
              <w:jc w:val="center"/>
            </w:pPr>
          </w:p>
        </w:tc>
        <w:tc>
          <w:tcPr>
            <w:tcW w:w="939" w:type="pct"/>
            <w:vMerge w:val="continue"/>
            <w:tcBorders>
              <w:left w:val="nil"/>
              <w:right w:val="single" w:color="auto" w:sz="4" w:space="0"/>
            </w:tcBorders>
            <w:vAlign w:val="center"/>
          </w:tcPr>
          <w:p>
            <w:pPr>
              <w:widowControl/>
              <w:jc w:val="center"/>
              <w:rPr>
                <w:rFonts w:hint="eastAsia"/>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hint="eastAsia"/>
              </w:rPr>
            </w:pPr>
            <w:r>
              <w:rPr>
                <w:rFonts w:hint="eastAsia"/>
              </w:rPr>
              <w:t>支持对各类生成的可视化图表和其后台对应的图表数据进行下载</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bottom w:val="single" w:color="auto" w:sz="4" w:space="0"/>
              <w:right w:val="single" w:color="auto" w:sz="4" w:space="0"/>
            </w:tcBorders>
            <w:vAlign w:val="center"/>
          </w:tcPr>
          <w:p>
            <w:pPr>
              <w:widowControl/>
              <w:jc w:val="center"/>
            </w:pPr>
          </w:p>
        </w:tc>
        <w:tc>
          <w:tcPr>
            <w:tcW w:w="860" w:type="pct"/>
            <w:vMerge w:val="continue"/>
            <w:tcBorders>
              <w:left w:val="nil"/>
              <w:bottom w:val="single" w:color="auto" w:sz="4" w:space="0"/>
              <w:right w:val="single" w:color="auto" w:sz="4" w:space="0"/>
            </w:tcBorders>
            <w:vAlign w:val="center"/>
          </w:tcPr>
          <w:p>
            <w:pPr>
              <w:widowControl/>
              <w:jc w:val="center"/>
            </w:pPr>
          </w:p>
        </w:tc>
        <w:tc>
          <w:tcPr>
            <w:tcW w:w="939" w:type="pct"/>
            <w:vMerge w:val="continue"/>
            <w:tcBorders>
              <w:left w:val="nil"/>
              <w:bottom w:val="single" w:color="auto" w:sz="4" w:space="0"/>
              <w:right w:val="single" w:color="auto" w:sz="4" w:space="0"/>
            </w:tcBorders>
            <w:vAlign w:val="center"/>
          </w:tcPr>
          <w:p>
            <w:pPr>
              <w:widowControl/>
              <w:jc w:val="center"/>
              <w:rPr>
                <w:rFonts w:hint="eastAsia"/>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hint="eastAsia"/>
              </w:rPr>
            </w:pPr>
            <w:r>
              <w:rPr>
                <w:rFonts w:hint="eastAsia"/>
              </w:rPr>
              <w:t>支持两个变量之间的数据探查，提供相应的关联分析图表并根据变量之间的关系类型进行统计检验，需提供系统截图证明</w:t>
            </w:r>
          </w:p>
        </w:tc>
      </w:tr>
      <w:tr>
        <w:tblPrEx>
          <w:tblCellMar>
            <w:top w:w="0" w:type="dxa"/>
            <w:left w:w="108" w:type="dxa"/>
            <w:bottom w:w="0" w:type="dxa"/>
            <w:right w:w="108" w:type="dxa"/>
          </w:tblCellMar>
        </w:tblPrEx>
        <w:trPr>
          <w:trHeight w:val="320" w:hRule="atLeast"/>
        </w:trPr>
        <w:tc>
          <w:tcPr>
            <w:tcW w:w="390" w:type="pct"/>
            <w:vMerge w:val="restart"/>
            <w:tcBorders>
              <w:top w:val="single" w:color="auto" w:sz="4" w:space="0"/>
              <w:left w:val="single" w:color="auto" w:sz="4" w:space="0"/>
              <w:right w:val="single" w:color="auto" w:sz="4" w:space="0"/>
            </w:tcBorders>
            <w:vAlign w:val="center"/>
          </w:tcPr>
          <w:p>
            <w:pPr>
              <w:widowControl/>
              <w:jc w:val="center"/>
            </w:pPr>
            <w:r>
              <w:rPr>
                <w:rFonts w:hint="eastAsia"/>
              </w:rPr>
              <w:t>2</w:t>
            </w:r>
          </w:p>
        </w:tc>
        <w:tc>
          <w:tcPr>
            <w:tcW w:w="860" w:type="pct"/>
            <w:vMerge w:val="restart"/>
            <w:tcBorders>
              <w:top w:val="single" w:color="auto" w:sz="4" w:space="0"/>
              <w:left w:val="nil"/>
              <w:right w:val="single" w:color="auto" w:sz="4" w:space="0"/>
            </w:tcBorders>
            <w:vAlign w:val="center"/>
          </w:tcPr>
          <w:p>
            <w:pPr>
              <w:widowControl/>
              <w:jc w:val="center"/>
            </w:pPr>
            <w:r>
              <w:rPr>
                <w:rFonts w:hint="eastAsia"/>
              </w:rPr>
              <w:t>数据挖掘分析</w:t>
            </w:r>
          </w:p>
        </w:tc>
        <w:tc>
          <w:tcPr>
            <w:tcW w:w="939" w:type="pct"/>
            <w:vMerge w:val="restart"/>
            <w:tcBorders>
              <w:top w:val="single" w:color="auto" w:sz="4" w:space="0"/>
              <w:left w:val="nil"/>
              <w:right w:val="single" w:color="auto" w:sz="4" w:space="0"/>
            </w:tcBorders>
            <w:vAlign w:val="center"/>
          </w:tcPr>
          <w:p>
            <w:pPr>
              <w:widowControl/>
              <w:jc w:val="center"/>
              <w:rPr>
                <w:rFonts w:hint="eastAsia"/>
              </w:rPr>
            </w:pPr>
            <w:r>
              <w:rPr>
                <w:rFonts w:hint="eastAsia"/>
              </w:rPr>
              <w:t>数据建模</w:t>
            </w: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hint="eastAsia"/>
              </w:rPr>
            </w:pPr>
            <w:r>
              <w:rPr>
                <w:rFonts w:hint="eastAsia"/>
              </w:rPr>
              <w:t>支持形成单个统计分析建模的数据挖掘报告，供查看和下载</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pPr>
          </w:p>
        </w:tc>
        <w:tc>
          <w:tcPr>
            <w:tcW w:w="860" w:type="pct"/>
            <w:vMerge w:val="continue"/>
            <w:tcBorders>
              <w:left w:val="nil"/>
              <w:right w:val="single" w:color="auto" w:sz="4" w:space="0"/>
            </w:tcBorders>
            <w:vAlign w:val="center"/>
          </w:tcPr>
          <w:p>
            <w:pPr>
              <w:widowControl/>
            </w:pPr>
          </w:p>
        </w:tc>
        <w:tc>
          <w:tcPr>
            <w:tcW w:w="939" w:type="pct"/>
            <w:vMerge w:val="continue"/>
            <w:tcBorders>
              <w:left w:val="nil"/>
              <w:right w:val="single" w:color="auto" w:sz="4" w:space="0"/>
            </w:tcBorders>
            <w:vAlign w:val="center"/>
          </w:tcPr>
          <w:p>
            <w:pPr>
              <w:widowControl/>
              <w:rPr>
                <w:rFonts w:hint="eastAsia"/>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hint="eastAsia"/>
              </w:rPr>
            </w:pPr>
            <w:r>
              <w:rPr>
                <w:rFonts w:hint="eastAsia"/>
              </w:rPr>
              <w:t>支持7种基础统计分析算法：一般线性相关系数、卡方检验、单因素方差分析、两独立样本T检验、两独立样本秩和检验、配对样本T检验、正态检验，需提供系统截图证明</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pPr>
          </w:p>
        </w:tc>
        <w:tc>
          <w:tcPr>
            <w:tcW w:w="860" w:type="pct"/>
            <w:vMerge w:val="continue"/>
            <w:tcBorders>
              <w:left w:val="nil"/>
              <w:right w:val="single" w:color="auto" w:sz="4" w:space="0"/>
            </w:tcBorders>
            <w:vAlign w:val="center"/>
          </w:tcPr>
          <w:p>
            <w:pPr>
              <w:widowControl/>
            </w:pPr>
          </w:p>
        </w:tc>
        <w:tc>
          <w:tcPr>
            <w:tcW w:w="939" w:type="pct"/>
            <w:vMerge w:val="continue"/>
            <w:tcBorders>
              <w:left w:val="nil"/>
              <w:right w:val="single" w:color="auto" w:sz="4" w:space="0"/>
            </w:tcBorders>
            <w:vAlign w:val="center"/>
          </w:tcPr>
          <w:p>
            <w:pPr>
              <w:widowControl/>
              <w:rPr>
                <w:rFonts w:hint="eastAsia"/>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hint="eastAsia"/>
              </w:rPr>
            </w:pPr>
            <w:r>
              <w:rPr>
                <w:rFonts w:hint="eastAsia"/>
              </w:rPr>
              <w:t>支持9种回归分析算法：一元线性回归、多元线性回归、COX回归、决策树回归、SVM回归、深度神经网络回归、随机森林回归、XGBoost回归、lgb回归，需提供系统截图证明</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right w:val="single" w:color="auto" w:sz="4" w:space="0"/>
            </w:tcBorders>
            <w:vAlign w:val="center"/>
          </w:tcPr>
          <w:p>
            <w:pPr>
              <w:widowControl/>
            </w:pPr>
          </w:p>
        </w:tc>
        <w:tc>
          <w:tcPr>
            <w:tcW w:w="860" w:type="pct"/>
            <w:vMerge w:val="continue"/>
            <w:tcBorders>
              <w:left w:val="nil"/>
              <w:right w:val="single" w:color="auto" w:sz="4" w:space="0"/>
            </w:tcBorders>
            <w:vAlign w:val="center"/>
          </w:tcPr>
          <w:p>
            <w:pPr>
              <w:widowControl/>
            </w:pPr>
          </w:p>
        </w:tc>
        <w:tc>
          <w:tcPr>
            <w:tcW w:w="939" w:type="pct"/>
            <w:vMerge w:val="continue"/>
            <w:tcBorders>
              <w:left w:val="nil"/>
              <w:right w:val="single" w:color="auto" w:sz="4" w:space="0"/>
            </w:tcBorders>
            <w:vAlign w:val="center"/>
          </w:tcPr>
          <w:p>
            <w:pPr>
              <w:widowControl/>
              <w:rPr>
                <w:rFonts w:hint="eastAsia"/>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hint="eastAsia"/>
              </w:rPr>
            </w:pPr>
            <w:r>
              <w:rPr>
                <w:rFonts w:hint="eastAsia"/>
              </w:rPr>
              <w:t>支持8种分类统计算法：一元logistic回归、多元logistic回归、决策树分类、SVM分类、深度神经网络分类、随机森林分类、XGBoost分类、lgb分类，需提供系统截图证明</w:t>
            </w:r>
          </w:p>
        </w:tc>
      </w:tr>
      <w:tr>
        <w:tblPrEx>
          <w:tblCellMar>
            <w:top w:w="0" w:type="dxa"/>
            <w:left w:w="108" w:type="dxa"/>
            <w:bottom w:w="0" w:type="dxa"/>
            <w:right w:w="108" w:type="dxa"/>
          </w:tblCellMar>
        </w:tblPrEx>
        <w:trPr>
          <w:trHeight w:val="320" w:hRule="atLeast"/>
        </w:trPr>
        <w:tc>
          <w:tcPr>
            <w:tcW w:w="390" w:type="pct"/>
            <w:vMerge w:val="continue"/>
            <w:tcBorders>
              <w:left w:val="single" w:color="auto" w:sz="4" w:space="0"/>
              <w:bottom w:val="single" w:color="auto" w:sz="4" w:space="0"/>
              <w:right w:val="single" w:color="auto" w:sz="4" w:space="0"/>
            </w:tcBorders>
            <w:vAlign w:val="center"/>
          </w:tcPr>
          <w:p>
            <w:pPr>
              <w:widowControl/>
            </w:pPr>
          </w:p>
        </w:tc>
        <w:tc>
          <w:tcPr>
            <w:tcW w:w="860" w:type="pct"/>
            <w:vMerge w:val="continue"/>
            <w:tcBorders>
              <w:left w:val="nil"/>
              <w:bottom w:val="single" w:color="auto" w:sz="4" w:space="0"/>
              <w:right w:val="single" w:color="auto" w:sz="4" w:space="0"/>
            </w:tcBorders>
            <w:vAlign w:val="center"/>
          </w:tcPr>
          <w:p>
            <w:pPr>
              <w:widowControl/>
            </w:pPr>
          </w:p>
        </w:tc>
        <w:tc>
          <w:tcPr>
            <w:tcW w:w="939" w:type="pct"/>
            <w:vMerge w:val="continue"/>
            <w:tcBorders>
              <w:left w:val="nil"/>
              <w:bottom w:val="single" w:color="auto" w:sz="4" w:space="0"/>
              <w:right w:val="single" w:color="auto" w:sz="4" w:space="0"/>
            </w:tcBorders>
            <w:vAlign w:val="center"/>
          </w:tcPr>
          <w:p>
            <w:pPr>
              <w:widowControl/>
              <w:rPr>
                <w:rFonts w:hint="eastAsia"/>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hint="eastAsia"/>
              </w:rPr>
            </w:pPr>
            <w:r>
              <w:rPr>
                <w:rFonts w:hint="eastAsia"/>
              </w:rPr>
              <w:t>支持7种建模流程：LR、SVM、GNB、RF、GBM、ANN、ADA ，需提供系统截图证明</w:t>
            </w:r>
          </w:p>
        </w:tc>
      </w:tr>
    </w:tbl>
    <w:p>
      <w:pPr>
        <w:pStyle w:val="3"/>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.1.4</w:t>
      </w:r>
      <w:r>
        <w:rPr>
          <w:rFonts w:hint="eastAsia" w:ascii="宋体" w:hAnsi="宋体" w:eastAsia="宋体"/>
          <w:sz w:val="24"/>
          <w:szCs w:val="24"/>
        </w:rPr>
        <w:t>、围术期统一应用门户</w:t>
      </w:r>
    </w:p>
    <w:tbl>
      <w:tblPr>
        <w:tblStyle w:val="20"/>
        <w:tblW w:w="5000" w:type="pct"/>
        <w:tblInd w:w="0" w:type="dxa"/>
        <w:tblLayout w:type="autofit"/>
        <w:tblCellMar>
          <w:top w:w="0" w:type="dxa"/>
          <w:left w:w="108" w:type="dxa"/>
          <w:bottom w:w="0" w:type="dxa"/>
          <w:right w:w="108" w:type="dxa"/>
        </w:tblCellMar>
      </w:tblPr>
      <w:tblGrid>
        <w:gridCol w:w="724"/>
        <w:gridCol w:w="1597"/>
        <w:gridCol w:w="1744"/>
        <w:gridCol w:w="5221"/>
      </w:tblGrid>
      <w:tr>
        <w:tblPrEx>
          <w:tblCellMar>
            <w:top w:w="0" w:type="dxa"/>
            <w:left w:w="108" w:type="dxa"/>
            <w:bottom w:w="0" w:type="dxa"/>
            <w:right w:w="108" w:type="dxa"/>
          </w:tblCellMar>
        </w:tblPrEx>
        <w:trPr>
          <w:trHeight w:val="320" w:hRule="atLeast"/>
        </w:trPr>
        <w:tc>
          <w:tcPr>
            <w:tcW w:w="39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b/>
                <w:bCs/>
                <w:color w:val="000000"/>
                <w:szCs w:val="21"/>
              </w:rPr>
              <w:t>序号</w:t>
            </w:r>
          </w:p>
        </w:tc>
        <w:tc>
          <w:tcPr>
            <w:tcW w:w="860"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b/>
                <w:bCs/>
                <w:color w:val="000000"/>
                <w:szCs w:val="21"/>
              </w:rPr>
              <w:t>模块</w:t>
            </w:r>
          </w:p>
        </w:tc>
        <w:tc>
          <w:tcPr>
            <w:tcW w:w="939"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b/>
                <w:bCs/>
                <w:color w:val="000000"/>
                <w:szCs w:val="21"/>
              </w:rPr>
              <w:t>功能</w:t>
            </w: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rPr>
            </w:pPr>
            <w:r>
              <w:rPr>
                <w:rFonts w:hint="eastAsia" w:ascii="宋体" w:hAnsi="宋体" w:cs="宋体"/>
                <w:b/>
                <w:bCs/>
                <w:color w:val="000000"/>
                <w:szCs w:val="21"/>
              </w:rPr>
              <w:t>功能描述</w:t>
            </w:r>
          </w:p>
        </w:tc>
      </w:tr>
      <w:tr>
        <w:tblPrEx>
          <w:tblCellMar>
            <w:top w:w="0" w:type="dxa"/>
            <w:left w:w="108" w:type="dxa"/>
            <w:bottom w:w="0" w:type="dxa"/>
            <w:right w:w="108" w:type="dxa"/>
          </w:tblCellMar>
        </w:tblPrEx>
        <w:trPr>
          <w:trHeight w:val="320" w:hRule="atLeast"/>
        </w:trPr>
        <w:tc>
          <w:tcPr>
            <w:tcW w:w="390"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1</w:t>
            </w:r>
          </w:p>
        </w:tc>
        <w:tc>
          <w:tcPr>
            <w:tcW w:w="860" w:type="pct"/>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门户管理</w:t>
            </w:r>
          </w:p>
        </w:tc>
        <w:tc>
          <w:tcPr>
            <w:tcW w:w="939" w:type="pct"/>
            <w:vMerge w:val="restart"/>
            <w:tcBorders>
              <w:top w:val="single" w:color="auto" w:sz="4" w:space="0"/>
              <w:left w:val="nil"/>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集成管理</w:t>
            </w: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szCs w:val="21"/>
              </w:rPr>
            </w:pPr>
            <w:r>
              <w:rPr>
                <w:rFonts w:hint="eastAsia" w:ascii="宋体" w:hAnsi="宋体"/>
                <w:szCs w:val="21"/>
              </w:rPr>
              <w:t>支持与院内单点登录页面进行对接，开通围术期专科数据库系统访问入口</w:t>
            </w:r>
          </w:p>
        </w:tc>
      </w:tr>
      <w:tr>
        <w:tblPrEx>
          <w:tblCellMar>
            <w:top w:w="0" w:type="dxa"/>
            <w:left w:w="108" w:type="dxa"/>
            <w:bottom w:w="0" w:type="dxa"/>
            <w:right w:w="108" w:type="dxa"/>
          </w:tblCellMar>
        </w:tblPrEx>
        <w:trPr>
          <w:trHeight w:val="320" w:hRule="atLeast"/>
        </w:trPr>
        <w:tc>
          <w:tcPr>
            <w:tcW w:w="390"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szCs w:val="21"/>
              </w:rPr>
            </w:pPr>
          </w:p>
        </w:tc>
        <w:tc>
          <w:tcPr>
            <w:tcW w:w="860" w:type="pct"/>
            <w:vMerge w:val="continue"/>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szCs w:val="21"/>
              </w:rPr>
            </w:pPr>
          </w:p>
        </w:tc>
        <w:tc>
          <w:tcPr>
            <w:tcW w:w="939" w:type="pct"/>
            <w:vMerge w:val="continue"/>
            <w:tcBorders>
              <w:left w:val="nil"/>
              <w:bottom w:val="single" w:color="auto" w:sz="4" w:space="0"/>
              <w:right w:val="single" w:color="auto" w:sz="4" w:space="0"/>
            </w:tcBorders>
            <w:vAlign w:val="center"/>
          </w:tcPr>
          <w:p>
            <w:pPr>
              <w:widowControl/>
              <w:jc w:val="center"/>
              <w:rPr>
                <w:rFonts w:hint="eastAsia"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szCs w:val="21"/>
              </w:rPr>
            </w:pPr>
            <w:r>
              <w:rPr>
                <w:rFonts w:hint="eastAsia" w:ascii="宋体" w:hAnsi="宋体"/>
                <w:szCs w:val="21"/>
              </w:rPr>
              <w:t>支持与围术期专科可视化管理驾驶舱进行对接，支持临床科研人员开展数据统计分析应用</w:t>
            </w:r>
          </w:p>
        </w:tc>
      </w:tr>
      <w:tr>
        <w:tblPrEx>
          <w:tblCellMar>
            <w:top w:w="0" w:type="dxa"/>
            <w:left w:w="108" w:type="dxa"/>
            <w:bottom w:w="0" w:type="dxa"/>
            <w:right w:w="108" w:type="dxa"/>
          </w:tblCellMar>
        </w:tblPrEx>
        <w:trPr>
          <w:trHeight w:val="320" w:hRule="atLeast"/>
        </w:trPr>
        <w:tc>
          <w:tcPr>
            <w:tcW w:w="390"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szCs w:val="21"/>
              </w:rPr>
            </w:pPr>
          </w:p>
        </w:tc>
        <w:tc>
          <w:tcPr>
            <w:tcW w:w="860" w:type="pct"/>
            <w:vMerge w:val="continue"/>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szCs w:val="21"/>
              </w:rPr>
            </w:pPr>
          </w:p>
        </w:tc>
        <w:tc>
          <w:tcPr>
            <w:tcW w:w="939"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szCs w:val="21"/>
              </w:rPr>
            </w:pPr>
            <w:r>
              <w:rPr>
                <w:rFonts w:hint="eastAsia" w:ascii="宋体" w:hAnsi="宋体" w:cs="宋体"/>
                <w:color w:val="000000"/>
                <w:szCs w:val="21"/>
              </w:rPr>
              <w:t>样式变更</w:t>
            </w: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szCs w:val="21"/>
              </w:rPr>
            </w:pPr>
            <w:r>
              <w:rPr>
                <w:rFonts w:hint="eastAsia" w:ascii="宋体" w:hAnsi="宋体"/>
                <w:szCs w:val="21"/>
              </w:rPr>
              <w:t>支持用户根据自身喜好修改不同的系统网页样式，包括登录页面显示图片更改和颜色变更</w:t>
            </w:r>
          </w:p>
        </w:tc>
      </w:tr>
      <w:tr>
        <w:tblPrEx>
          <w:tblCellMar>
            <w:top w:w="0" w:type="dxa"/>
            <w:left w:w="108" w:type="dxa"/>
            <w:bottom w:w="0" w:type="dxa"/>
            <w:right w:w="108" w:type="dxa"/>
          </w:tblCellMar>
        </w:tblPrEx>
        <w:trPr>
          <w:trHeight w:val="320" w:hRule="atLeast"/>
        </w:trPr>
        <w:tc>
          <w:tcPr>
            <w:tcW w:w="390"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szCs w:val="21"/>
              </w:rPr>
            </w:pPr>
          </w:p>
        </w:tc>
        <w:tc>
          <w:tcPr>
            <w:tcW w:w="860" w:type="pct"/>
            <w:vMerge w:val="continue"/>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szCs w:val="21"/>
              </w:rPr>
            </w:pPr>
          </w:p>
        </w:tc>
        <w:tc>
          <w:tcPr>
            <w:tcW w:w="939"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szCs w:val="21"/>
              </w:rPr>
            </w:pPr>
            <w:r>
              <w:rPr>
                <w:rFonts w:hint="eastAsia" w:ascii="宋体" w:hAnsi="宋体" w:cs="宋体"/>
                <w:color w:val="000000"/>
                <w:szCs w:val="21"/>
              </w:rPr>
              <w:t>登录认证</w:t>
            </w: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hint="eastAsia"/>
                <w:szCs w:val="21"/>
              </w:rPr>
            </w:pPr>
            <w:r>
              <w:rPr>
                <w:rFonts w:hint="eastAsia"/>
                <w:szCs w:val="21"/>
              </w:rPr>
              <w:t>支持用户登录认证，确保一人一号通过账号和密码登录系统</w:t>
            </w:r>
          </w:p>
        </w:tc>
      </w:tr>
      <w:tr>
        <w:tblPrEx>
          <w:tblCellMar>
            <w:top w:w="0" w:type="dxa"/>
            <w:left w:w="108" w:type="dxa"/>
            <w:bottom w:w="0" w:type="dxa"/>
            <w:right w:w="108" w:type="dxa"/>
          </w:tblCellMar>
        </w:tblPrEx>
        <w:trPr>
          <w:trHeight w:val="320" w:hRule="atLeast"/>
        </w:trPr>
        <w:tc>
          <w:tcPr>
            <w:tcW w:w="390"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szCs w:val="21"/>
              </w:rPr>
            </w:pPr>
          </w:p>
        </w:tc>
        <w:tc>
          <w:tcPr>
            <w:tcW w:w="860" w:type="pct"/>
            <w:vMerge w:val="continue"/>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szCs w:val="21"/>
              </w:rPr>
            </w:pPr>
          </w:p>
        </w:tc>
        <w:tc>
          <w:tcPr>
            <w:tcW w:w="939"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szCs w:val="21"/>
              </w:rPr>
            </w:pPr>
            <w:r>
              <w:rPr>
                <w:rFonts w:hint="eastAsia" w:ascii="宋体" w:hAnsi="宋体" w:cs="宋体"/>
                <w:color w:val="000000"/>
                <w:szCs w:val="21"/>
              </w:rPr>
              <w:t>操作日志管理</w:t>
            </w: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szCs w:val="21"/>
              </w:rPr>
            </w:pPr>
            <w:r>
              <w:rPr>
                <w:rFonts w:hint="eastAsia"/>
                <w:szCs w:val="21"/>
              </w:rPr>
              <w:t>支持对用户的各项数据检索、数据导出下载等操作进行留痕处理，生成日志记录并提供统一展示与管理，方便管理人员追溯</w:t>
            </w:r>
          </w:p>
        </w:tc>
      </w:tr>
      <w:tr>
        <w:tblPrEx>
          <w:tblCellMar>
            <w:top w:w="0" w:type="dxa"/>
            <w:left w:w="108" w:type="dxa"/>
            <w:bottom w:w="0" w:type="dxa"/>
            <w:right w:w="108" w:type="dxa"/>
          </w:tblCellMar>
        </w:tblPrEx>
        <w:trPr>
          <w:trHeight w:val="320" w:hRule="atLeast"/>
        </w:trPr>
        <w:tc>
          <w:tcPr>
            <w:tcW w:w="390"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szCs w:val="21"/>
              </w:rPr>
            </w:pPr>
          </w:p>
        </w:tc>
        <w:tc>
          <w:tcPr>
            <w:tcW w:w="860" w:type="pct"/>
            <w:vMerge w:val="continue"/>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szCs w:val="21"/>
              </w:rPr>
            </w:pPr>
          </w:p>
        </w:tc>
        <w:tc>
          <w:tcPr>
            <w:tcW w:w="939" w:type="pct"/>
            <w:vMerge w:val="restart"/>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szCs w:val="21"/>
              </w:rPr>
            </w:pPr>
            <w:r>
              <w:rPr>
                <w:rFonts w:hint="eastAsia" w:ascii="宋体" w:hAnsi="宋体" w:cs="宋体"/>
                <w:color w:val="000000"/>
                <w:szCs w:val="21"/>
              </w:rPr>
              <w:t>系统权限管理</w:t>
            </w: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szCs w:val="21"/>
              </w:rPr>
            </w:pPr>
            <w:r>
              <w:rPr>
                <w:rFonts w:hint="eastAsia"/>
                <w:szCs w:val="21"/>
              </w:rPr>
              <w:t>支持用户管理，包含用户查询、用户信息编辑、创建用户和用户密码重置功能在内</w:t>
            </w:r>
          </w:p>
        </w:tc>
      </w:tr>
      <w:tr>
        <w:tblPrEx>
          <w:tblCellMar>
            <w:top w:w="0" w:type="dxa"/>
            <w:left w:w="108" w:type="dxa"/>
            <w:bottom w:w="0" w:type="dxa"/>
            <w:right w:w="108" w:type="dxa"/>
          </w:tblCellMar>
        </w:tblPrEx>
        <w:trPr>
          <w:trHeight w:val="320" w:hRule="atLeast"/>
        </w:trPr>
        <w:tc>
          <w:tcPr>
            <w:tcW w:w="390"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szCs w:val="21"/>
              </w:rPr>
            </w:pPr>
          </w:p>
        </w:tc>
        <w:tc>
          <w:tcPr>
            <w:tcW w:w="860" w:type="pct"/>
            <w:vMerge w:val="continue"/>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szCs w:val="21"/>
              </w:rPr>
            </w:pPr>
          </w:p>
        </w:tc>
        <w:tc>
          <w:tcPr>
            <w:tcW w:w="939" w:type="pct"/>
            <w:vMerge w:val="continue"/>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szCs w:val="21"/>
              </w:rPr>
            </w:pPr>
          </w:p>
        </w:tc>
        <w:tc>
          <w:tcPr>
            <w:tcW w:w="281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szCs w:val="21"/>
              </w:rPr>
            </w:pPr>
            <w:r>
              <w:rPr>
                <w:rFonts w:hint="eastAsia"/>
                <w:szCs w:val="21"/>
              </w:rPr>
              <w:t>支持角色管理，包含角色信息维护、角色资源分配、用户角色分配等功能在内</w:t>
            </w:r>
          </w:p>
        </w:tc>
      </w:tr>
    </w:tbl>
    <w:p/>
    <w:p>
      <w:pPr>
        <w:pStyle w:val="3"/>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.1.5</w:t>
      </w:r>
      <w:r>
        <w:rPr>
          <w:rFonts w:hint="eastAsia" w:ascii="宋体" w:hAnsi="宋体" w:eastAsia="宋体"/>
          <w:sz w:val="24"/>
          <w:szCs w:val="24"/>
        </w:rPr>
        <w:t>、硬件服务器</w:t>
      </w:r>
    </w:p>
    <w:p>
      <w:pPr>
        <w:spacing w:line="360" w:lineRule="auto"/>
        <w:ind w:firstLine="420" w:firstLineChars="200"/>
        <w:rPr>
          <w:lang w:val="zh-CN"/>
        </w:rPr>
      </w:pPr>
      <w:r>
        <w:rPr>
          <w:rFonts w:hint="eastAsia"/>
          <w:lang w:val="zh-CN"/>
        </w:rPr>
        <w:t>本项目所采购的硬件服务器具体参数要求如下：</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1747"/>
        <w:gridCol w:w="6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05" w:type="dxa"/>
            <w:gridSpan w:val="2"/>
            <w:vMerge w:val="restart"/>
            <w:shd w:val="clear" w:color="auto" w:fill="auto"/>
            <w:vAlign w:val="center"/>
          </w:tcPr>
          <w:p>
            <w:pPr>
              <w:widowControl/>
              <w:jc w:val="center"/>
              <w:rPr>
                <w:rFonts w:ascii="宋体" w:hAnsi="宋体" w:cs="宋体"/>
                <w:b/>
                <w:kern w:val="0"/>
                <w:szCs w:val="21"/>
              </w:rPr>
            </w:pPr>
            <w:r>
              <w:rPr>
                <w:rFonts w:hint="eastAsia" w:ascii="宋体" w:hAnsi="宋体" w:cs="宋体"/>
                <w:b/>
                <w:kern w:val="0"/>
                <w:szCs w:val="21"/>
              </w:rPr>
              <w:t>指标类别</w:t>
            </w:r>
          </w:p>
        </w:tc>
        <w:tc>
          <w:tcPr>
            <w:tcW w:w="5491" w:type="dxa"/>
            <w:vMerge w:val="restart"/>
            <w:shd w:val="clear" w:color="auto" w:fill="auto"/>
            <w:vAlign w:val="center"/>
          </w:tcPr>
          <w:p>
            <w:pPr>
              <w:widowControl/>
              <w:jc w:val="center"/>
              <w:rPr>
                <w:rFonts w:ascii="宋体" w:hAnsi="宋体" w:cs="宋体"/>
                <w:b/>
                <w:kern w:val="0"/>
                <w:szCs w:val="21"/>
              </w:rPr>
            </w:pPr>
            <w:r>
              <w:rPr>
                <w:rFonts w:hint="eastAsia" w:ascii="宋体" w:hAnsi="宋体" w:cs="宋体"/>
                <w:b/>
                <w:kern w:val="0"/>
                <w:szCs w:val="21"/>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05" w:type="dxa"/>
            <w:gridSpan w:val="2"/>
            <w:vMerge w:val="continue"/>
            <w:vAlign w:val="center"/>
          </w:tcPr>
          <w:p>
            <w:pPr>
              <w:widowControl/>
              <w:jc w:val="left"/>
              <w:rPr>
                <w:rFonts w:ascii="宋体" w:hAnsi="宋体" w:cs="宋体"/>
                <w:kern w:val="0"/>
                <w:szCs w:val="21"/>
              </w:rPr>
            </w:pPr>
          </w:p>
        </w:tc>
        <w:tc>
          <w:tcPr>
            <w:tcW w:w="5491" w:type="dxa"/>
            <w:vMerge w:val="continue"/>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4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总体要求</w:t>
            </w:r>
          </w:p>
        </w:tc>
        <w:tc>
          <w:tcPr>
            <w:tcW w:w="156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制造商/外型</w:t>
            </w:r>
          </w:p>
        </w:tc>
        <w:tc>
          <w:tcPr>
            <w:tcW w:w="5491"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国内外知名厂商；2U机架式，标配原厂导轨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24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处理器</w:t>
            </w:r>
          </w:p>
        </w:tc>
        <w:tc>
          <w:tcPr>
            <w:tcW w:w="156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CPU型号</w:t>
            </w:r>
          </w:p>
        </w:tc>
        <w:tc>
          <w:tcPr>
            <w:tcW w:w="5491"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配置≥2颗相当于或优于Intel 至强可扩展系列金牌</w:t>
            </w:r>
            <w:r>
              <w:rPr>
                <w:rFonts w:ascii="宋体" w:hAnsi="宋体" w:cs="宋体"/>
                <w:kern w:val="0"/>
                <w:szCs w:val="21"/>
              </w:rPr>
              <w:t>5218</w:t>
            </w:r>
            <w:r>
              <w:rPr>
                <w:rFonts w:hint="eastAsia" w:ascii="宋体" w:hAnsi="宋体" w:cs="宋体"/>
                <w:kern w:val="0"/>
                <w:szCs w:val="21"/>
              </w:rPr>
              <w:t>处理器 (≥</w:t>
            </w:r>
            <w:r>
              <w:rPr>
                <w:rFonts w:ascii="宋体" w:hAnsi="宋体" w:cs="宋体"/>
                <w:kern w:val="0"/>
                <w:szCs w:val="21"/>
              </w:rPr>
              <w:t>2.3GHz/16核/125W</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44"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内存</w:t>
            </w:r>
          </w:p>
        </w:tc>
        <w:tc>
          <w:tcPr>
            <w:tcW w:w="1561" w:type="dxa"/>
            <w:shd w:val="clear" w:color="auto" w:fill="auto"/>
            <w:vAlign w:val="center"/>
          </w:tcPr>
          <w:p>
            <w:pPr>
              <w:widowControl/>
              <w:jc w:val="center"/>
              <w:rPr>
                <w:rFonts w:ascii="微软雅黑" w:hAnsi="微软雅黑" w:eastAsia="微软雅黑" w:cs="宋体"/>
                <w:kern w:val="0"/>
                <w:szCs w:val="21"/>
              </w:rPr>
            </w:pPr>
            <w:r>
              <w:rPr>
                <w:rFonts w:hint="eastAsia" w:ascii="宋体" w:hAnsi="宋体" w:cs="宋体"/>
                <w:kern w:val="0"/>
                <w:szCs w:val="21"/>
              </w:rPr>
              <w:t>内存实配规格和扩展能力</w:t>
            </w:r>
          </w:p>
        </w:tc>
        <w:tc>
          <w:tcPr>
            <w:tcW w:w="5491"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256</w:t>
            </w:r>
            <w:r>
              <w:rPr>
                <w:rFonts w:hint="eastAsia" w:ascii="宋体" w:hAnsi="宋体" w:cs="宋体"/>
                <w:kern w:val="0"/>
                <w:szCs w:val="21"/>
              </w:rPr>
              <w:t>GB（4x</w:t>
            </w:r>
            <w:r>
              <w:rPr>
                <w:rFonts w:ascii="宋体" w:hAnsi="宋体" w:cs="宋体"/>
                <w:kern w:val="0"/>
                <w:szCs w:val="21"/>
              </w:rPr>
              <w:t>32GB</w:t>
            </w:r>
            <w:r>
              <w:rPr>
                <w:rFonts w:hint="eastAsia" w:ascii="宋体" w:hAnsi="宋体" w:cs="宋体"/>
                <w:kern w:val="0"/>
                <w:szCs w:val="21"/>
              </w:rPr>
              <w:t>） 2</w:t>
            </w:r>
            <w:r>
              <w:rPr>
                <w:rFonts w:ascii="宋体" w:hAnsi="宋体" w:cs="宋体"/>
                <w:kern w:val="0"/>
                <w:szCs w:val="21"/>
              </w:rPr>
              <w:t>933</w:t>
            </w:r>
            <w:r>
              <w:rPr>
                <w:rFonts w:hint="eastAsia" w:ascii="宋体" w:hAnsi="宋体" w:cs="宋体"/>
                <w:kern w:val="0"/>
                <w:szCs w:val="21"/>
              </w:rPr>
              <w:t xml:space="preserve">MHz DDR4内存 </w:t>
            </w:r>
            <w:r>
              <w:rPr>
                <w:rFonts w:ascii="宋体" w:hAnsi="宋体" w:cs="宋体"/>
                <w:kern w:val="0"/>
                <w:szCs w:val="21"/>
              </w:rPr>
              <w:t>;</w:t>
            </w:r>
            <w:r>
              <w:rPr>
                <w:rFonts w:hint="eastAsia" w:ascii="宋体" w:hAnsi="宋体" w:cs="宋体"/>
                <w:kern w:val="0"/>
                <w:szCs w:val="21"/>
              </w:rPr>
              <w:t>本次2U机箱中已配置≥24个内存插槽；最</w:t>
            </w:r>
            <w:r>
              <w:t>大</w:t>
            </w:r>
            <w:r>
              <w:rPr>
                <w:rFonts w:hint="eastAsia"/>
              </w:rPr>
              <w:t>可支持</w:t>
            </w:r>
            <w:r>
              <w:rPr>
                <w:rFonts w:hint="eastAsia" w:ascii="宋体" w:hAnsi="宋体" w:cs="宋体"/>
                <w:kern w:val="0"/>
                <w:szCs w:val="21"/>
              </w:rPr>
              <w:t>≥12根英特尔®傲腾</w:t>
            </w:r>
            <w:r>
              <w:rPr>
                <w:rFonts w:hint="eastAsia" w:ascii="宋体" w:hAnsi="宋体" w:cs="宋体"/>
                <w:kern w:val="0"/>
                <w:szCs w:val="21"/>
                <w:vertAlign w:val="superscript"/>
              </w:rPr>
              <w:t>®</w:t>
            </w:r>
            <w:r>
              <w:rPr>
                <w:rFonts w:hint="eastAsia" w:ascii="宋体" w:hAnsi="宋体" w:cs="宋体"/>
                <w:kern w:val="0"/>
                <w:szCs w:val="21"/>
              </w:rPr>
              <w:t>数据中心级持久内存（DCPMM）；最大可扩展至≥6TB持久内存；持久内存具有内存通道上的数据永久性存储能力，针对数据库和分析工作负载提供更高的效率,投标时提原厂盖章截图或原厂盖章的技术确认函说明。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44" w:type="dxa"/>
            <w:vMerge w:val="continue"/>
            <w:vAlign w:val="center"/>
          </w:tcPr>
          <w:p>
            <w:pPr>
              <w:widowControl/>
              <w:jc w:val="left"/>
              <w:rPr>
                <w:rFonts w:ascii="宋体" w:hAnsi="宋体" w:cs="宋体"/>
                <w:kern w:val="0"/>
                <w:szCs w:val="21"/>
              </w:rPr>
            </w:pPr>
          </w:p>
        </w:tc>
        <w:tc>
          <w:tcPr>
            <w:tcW w:w="156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内存保护技术</w:t>
            </w:r>
          </w:p>
        </w:tc>
        <w:tc>
          <w:tcPr>
            <w:tcW w:w="5491"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Advanced ECC先进内存保护技术及在线备用模式,可支持</w:t>
            </w:r>
            <w:r>
              <w:rPr>
                <w:rFonts w:ascii="宋体" w:hAnsi="宋体" w:cs="宋体"/>
                <w:kern w:val="0"/>
                <w:szCs w:val="21"/>
              </w:rPr>
              <w:t>RDIMM</w:t>
            </w:r>
            <w:r>
              <w:rPr>
                <w:rFonts w:hint="eastAsia" w:ascii="宋体" w:hAnsi="宋体" w:cs="宋体"/>
                <w:kern w:val="0"/>
                <w:szCs w:val="21"/>
              </w:rPr>
              <w:t>和</w:t>
            </w:r>
            <w:r>
              <w:rPr>
                <w:rFonts w:ascii="宋体" w:hAnsi="宋体" w:cs="宋体"/>
                <w:kern w:val="0"/>
                <w:szCs w:val="21"/>
              </w:rPr>
              <w:t>LRDIMM</w:t>
            </w:r>
            <w:r>
              <w:rPr>
                <w:rFonts w:hint="eastAsia" w:ascii="宋体" w:hAnsi="宋体" w:cs="宋体"/>
                <w:kern w:val="0"/>
                <w:szCs w:val="21"/>
              </w:rPr>
              <w:t>内存；具备内存主动式检测，用户可验证内存是否经过厂商认证，投标时提供原厂盖章截图或原厂盖章的技术确认函说明。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1244"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存储</w:t>
            </w:r>
          </w:p>
        </w:tc>
        <w:tc>
          <w:tcPr>
            <w:tcW w:w="156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实配硬盘及托架</w:t>
            </w:r>
          </w:p>
        </w:tc>
        <w:tc>
          <w:tcPr>
            <w:tcW w:w="5491"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w:t>
            </w:r>
            <w:r>
              <w:t xml:space="preserve"> </w:t>
            </w:r>
            <w:r>
              <w:rPr>
                <w:rFonts w:ascii="宋体" w:hAnsi="宋体" w:cs="宋体"/>
                <w:kern w:val="0"/>
                <w:szCs w:val="21"/>
              </w:rPr>
              <w:t>2 块480GB 2.5’ 热插拔SSD硬盘</w:t>
            </w:r>
            <w:r>
              <w:rPr>
                <w:rFonts w:hint="eastAsia" w:ascii="宋体" w:hAnsi="宋体" w:cs="宋体"/>
                <w:kern w:val="0"/>
                <w:szCs w:val="21"/>
              </w:rPr>
              <w:t>，2U机箱中最大可扩展至≥</w:t>
            </w:r>
            <w:r>
              <w:rPr>
                <w:rFonts w:ascii="宋体" w:hAnsi="宋体" w:cs="宋体"/>
                <w:kern w:val="0"/>
                <w:szCs w:val="21"/>
              </w:rPr>
              <w:t>30个热插拔硬盘槽位。</w:t>
            </w:r>
            <w:r>
              <w:rPr>
                <w:rFonts w:hint="eastAsia" w:ascii="宋体" w:hAnsi="宋体" w:cs="宋体"/>
                <w:kern w:val="0"/>
                <w:szCs w:val="21"/>
              </w:rPr>
              <w:t>硬盘托架具备Raid重建时不可拔出硬盘提示指示灯。通过硬盘前部专用指示灯显示硬盘是否可拔出, 拥有6个以上指示灯状态来显示硬盘工作情况,可以记录驱动器错误日志。投标时提原厂盖章截图或原厂盖章的技术确认函说明。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4" w:type="dxa"/>
            <w:vMerge w:val="continue"/>
            <w:vAlign w:val="center"/>
          </w:tcPr>
          <w:p>
            <w:pPr>
              <w:widowControl/>
              <w:jc w:val="left"/>
              <w:rPr>
                <w:rFonts w:ascii="宋体" w:hAnsi="宋体" w:cs="宋体"/>
                <w:kern w:val="0"/>
                <w:szCs w:val="21"/>
              </w:rPr>
            </w:pPr>
          </w:p>
        </w:tc>
        <w:tc>
          <w:tcPr>
            <w:tcW w:w="1561"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阵列控制器</w:t>
            </w:r>
          </w:p>
        </w:tc>
        <w:tc>
          <w:tcPr>
            <w:tcW w:w="5491" w:type="dxa"/>
            <w:vMerge w:val="restart"/>
            <w:shd w:val="clear" w:color="auto" w:fill="auto"/>
            <w:vAlign w:val="center"/>
          </w:tcPr>
          <w:p>
            <w:pPr>
              <w:widowControl/>
              <w:jc w:val="left"/>
              <w:rPr>
                <w:rFonts w:ascii="宋体" w:hAnsi="宋体" w:cs="宋体"/>
                <w:kern w:val="0"/>
                <w:szCs w:val="21"/>
              </w:rPr>
            </w:pPr>
            <w:r>
              <w:rPr>
                <w:rFonts w:hint="eastAsia" w:ascii="宋体" w:hAnsi="宋体" w:cs="宋体"/>
                <w:kern w:val="0"/>
                <w:szCs w:val="21"/>
              </w:rPr>
              <w:t>≥1个标配</w:t>
            </w:r>
            <w:r>
              <w:rPr>
                <w:rFonts w:ascii="宋体" w:hAnsi="宋体" w:cs="宋体"/>
                <w:kern w:val="0"/>
                <w:sz w:val="22"/>
              </w:rPr>
              <w:t>RAID阵列控制器</w:t>
            </w:r>
            <w:r>
              <w:rPr>
                <w:rFonts w:hint="eastAsia" w:ascii="宋体" w:hAnsi="宋体" w:cs="宋体"/>
                <w:kern w:val="0"/>
                <w:szCs w:val="21"/>
              </w:rPr>
              <w:t>（不占用PCIE扩展槽）</w:t>
            </w:r>
            <w:r>
              <w:rPr>
                <w:rFonts w:ascii="宋体" w:hAnsi="宋体" w:cs="宋体"/>
                <w:kern w:val="0"/>
                <w:sz w:val="22"/>
              </w:rPr>
              <w:t>，配置2GB非易失性阵列缓存，配置大电容方案，</w:t>
            </w:r>
            <w:r>
              <w:rPr>
                <w:rFonts w:hint="eastAsia" w:ascii="宋体" w:hAnsi="宋体" w:cs="宋体"/>
                <w:kern w:val="0"/>
                <w:sz w:val="22"/>
              </w:rPr>
              <w:t>配置</w:t>
            </w:r>
            <w:r>
              <w:rPr>
                <w:rFonts w:ascii="宋体" w:hAnsi="宋体" w:cs="宋体"/>
                <w:kern w:val="0"/>
                <w:sz w:val="22"/>
              </w:rPr>
              <w:t>12Gbps SAS磁盘阵列控制器，支持Raid0/1/10/5/50/6/60, Raid 1/10 ADM 3盘镜像，调整缓存读写比例等功能。可支持≥4GB缓存，</w:t>
            </w:r>
            <w:r>
              <w:rPr>
                <w:rFonts w:hint="eastAsia" w:ascii="宋体" w:hAnsi="宋体" w:cs="宋体"/>
                <w:kern w:val="0"/>
                <w:sz w:val="22"/>
              </w:rPr>
              <w:t>支持缓存数据保护，且后备保护不受时间限制；</w:t>
            </w:r>
            <w:r>
              <w:rPr>
                <w:rFonts w:hint="eastAsia" w:ascii="宋体" w:hAnsi="宋体" w:cs="宋体"/>
                <w:kern w:val="0"/>
                <w:szCs w:val="21"/>
              </w:rPr>
              <w:t>投标时提原厂盖章截图或原厂盖章的技术确认函说明。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4" w:type="dxa"/>
            <w:vMerge w:val="continue"/>
            <w:vAlign w:val="center"/>
          </w:tcPr>
          <w:p>
            <w:pPr>
              <w:widowControl/>
              <w:jc w:val="left"/>
              <w:rPr>
                <w:rFonts w:ascii="宋体" w:hAnsi="宋体" w:cs="宋体"/>
                <w:kern w:val="0"/>
                <w:szCs w:val="21"/>
              </w:rPr>
            </w:pPr>
          </w:p>
        </w:tc>
        <w:tc>
          <w:tcPr>
            <w:tcW w:w="1561" w:type="dxa"/>
            <w:vMerge w:val="continue"/>
            <w:vAlign w:val="center"/>
          </w:tcPr>
          <w:p>
            <w:pPr>
              <w:widowControl/>
              <w:jc w:val="left"/>
              <w:rPr>
                <w:rFonts w:ascii="宋体" w:hAnsi="宋体" w:cs="宋体"/>
                <w:kern w:val="0"/>
                <w:szCs w:val="21"/>
              </w:rPr>
            </w:pPr>
          </w:p>
        </w:tc>
        <w:tc>
          <w:tcPr>
            <w:tcW w:w="5491" w:type="dxa"/>
            <w:vMerge w:val="continue"/>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44" w:type="dxa"/>
            <w:vMerge w:val="continue"/>
            <w:vAlign w:val="center"/>
          </w:tcPr>
          <w:p>
            <w:pPr>
              <w:widowControl/>
              <w:jc w:val="left"/>
              <w:rPr>
                <w:rFonts w:ascii="宋体" w:hAnsi="宋体" w:cs="宋体"/>
                <w:kern w:val="0"/>
                <w:szCs w:val="21"/>
              </w:rPr>
            </w:pPr>
          </w:p>
        </w:tc>
        <w:tc>
          <w:tcPr>
            <w:tcW w:w="156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启动盘可选项</w:t>
            </w:r>
          </w:p>
        </w:tc>
        <w:tc>
          <w:tcPr>
            <w:tcW w:w="5491"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支持</w:t>
            </w:r>
            <w:r>
              <w:rPr>
                <w:rFonts w:ascii="宋体" w:hAnsi="宋体" w:cs="宋体"/>
                <w:kern w:val="0"/>
                <w:szCs w:val="21"/>
              </w:rPr>
              <w:t>8GB双MicroSD和双M.2 SSD配置Raid1，作为虚拟化或者操作系统部署盘位；</w:t>
            </w:r>
            <w:r>
              <w:rPr>
                <w:rFonts w:hint="eastAsia" w:ascii="宋体" w:hAnsi="宋体" w:cs="宋体"/>
                <w:kern w:val="0"/>
                <w:szCs w:val="21"/>
              </w:rPr>
              <w:t>支持原厂基于</w:t>
            </w:r>
            <w:r>
              <w:rPr>
                <w:rFonts w:ascii="宋体" w:hAnsi="宋体" w:cs="宋体"/>
                <w:kern w:val="0"/>
                <w:szCs w:val="21"/>
              </w:rPr>
              <w:t>USB通道的双MicroSD卡部署方案</w:t>
            </w:r>
            <w:r>
              <w:rPr>
                <w:rFonts w:hint="eastAsia" w:ascii="宋体" w:hAnsi="宋体" w:cs="宋体"/>
                <w:kern w:val="0"/>
                <w:szCs w:val="21"/>
              </w:rPr>
              <w:t>，作为操作系统安装盘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4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I/O</w:t>
            </w:r>
          </w:p>
        </w:tc>
        <w:tc>
          <w:tcPr>
            <w:tcW w:w="156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PCI I/O插槽</w:t>
            </w:r>
          </w:p>
        </w:tc>
        <w:tc>
          <w:tcPr>
            <w:tcW w:w="5491"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最大≥</w:t>
            </w:r>
            <w:r>
              <w:rPr>
                <w:rFonts w:ascii="宋体" w:hAnsi="宋体" w:cs="宋体"/>
                <w:kern w:val="0"/>
                <w:szCs w:val="21"/>
              </w:rPr>
              <w:t>8个标准PCIE3.0插槽；</w:t>
            </w:r>
            <w:r>
              <w:rPr>
                <w:rFonts w:hint="eastAsia" w:ascii="宋体" w:hAnsi="宋体" w:cs="宋体"/>
                <w:kern w:val="0"/>
                <w:szCs w:val="21"/>
              </w:rPr>
              <w:t>本次配置需求至少</w:t>
            </w:r>
            <w:r>
              <w:rPr>
                <w:rFonts w:ascii="宋体" w:hAnsi="宋体" w:cs="宋体"/>
                <w:kern w:val="0"/>
                <w:szCs w:val="21"/>
              </w:rPr>
              <w:t>3</w:t>
            </w:r>
            <w:r>
              <w:rPr>
                <w:rFonts w:hint="eastAsia" w:ascii="宋体" w:hAnsi="宋体" w:cs="宋体"/>
                <w:kern w:val="0"/>
                <w:szCs w:val="21"/>
              </w:rPr>
              <w:t>条全高PCIE3.0插槽；最大可</w:t>
            </w:r>
            <w:r>
              <w:t>支持</w:t>
            </w:r>
            <w:r>
              <w:rPr>
                <w:rFonts w:hint="eastAsia" w:ascii="宋体" w:hAnsi="宋体" w:cs="宋体"/>
                <w:kern w:val="0"/>
                <w:szCs w:val="21"/>
              </w:rPr>
              <w:t>≥</w:t>
            </w:r>
            <w:r>
              <w:t>7个单宽</w:t>
            </w:r>
            <w:r>
              <w:rPr>
                <w:rFonts w:hint="eastAsia"/>
              </w:rPr>
              <w:t>或</w:t>
            </w:r>
            <w:r>
              <w:t>3个双宽</w:t>
            </w:r>
            <w:r>
              <w:rPr>
                <w:rFonts w:hint="eastAsia"/>
              </w:rPr>
              <w:t>G</w:t>
            </w:r>
            <w:r>
              <w:t>PU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4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网络</w:t>
            </w:r>
          </w:p>
        </w:tc>
        <w:tc>
          <w:tcPr>
            <w:tcW w:w="156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网卡</w:t>
            </w:r>
          </w:p>
        </w:tc>
        <w:tc>
          <w:tcPr>
            <w:tcW w:w="5491"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口万</w:t>
            </w:r>
            <w:r>
              <w:rPr>
                <w:rFonts w:ascii="宋体" w:hAnsi="宋体" w:cs="宋体"/>
                <w:kern w:val="0"/>
                <w:szCs w:val="21"/>
              </w:rPr>
              <w:t>兆以太网卡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44"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可用性</w:t>
            </w:r>
          </w:p>
        </w:tc>
        <w:tc>
          <w:tcPr>
            <w:tcW w:w="156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冗余电源</w:t>
            </w:r>
          </w:p>
        </w:tc>
        <w:tc>
          <w:tcPr>
            <w:tcW w:w="5491"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2个≥</w:t>
            </w:r>
            <w:r>
              <w:rPr>
                <w:rFonts w:ascii="宋体" w:hAnsi="宋体" w:cs="宋体"/>
                <w:kern w:val="0"/>
                <w:szCs w:val="21"/>
              </w:rPr>
              <w:t>1600</w:t>
            </w:r>
            <w:r>
              <w:rPr>
                <w:rFonts w:hint="eastAsia" w:ascii="宋体" w:hAnsi="宋体" w:cs="宋体"/>
                <w:kern w:val="0"/>
                <w:szCs w:val="21"/>
              </w:rPr>
              <w:t>w铂金版热插拔冗余电源，</w:t>
            </w:r>
            <w:r>
              <w:rPr>
                <w:rFonts w:ascii="宋体" w:hAnsi="宋体" w:cs="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44" w:type="dxa"/>
            <w:vMerge w:val="continue"/>
            <w:vAlign w:val="center"/>
          </w:tcPr>
          <w:p>
            <w:pPr>
              <w:widowControl/>
              <w:jc w:val="left"/>
              <w:rPr>
                <w:rFonts w:ascii="宋体" w:hAnsi="宋体" w:cs="宋体"/>
                <w:kern w:val="0"/>
                <w:szCs w:val="21"/>
              </w:rPr>
            </w:pPr>
          </w:p>
        </w:tc>
        <w:tc>
          <w:tcPr>
            <w:tcW w:w="156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冗余风扇</w:t>
            </w:r>
          </w:p>
        </w:tc>
        <w:tc>
          <w:tcPr>
            <w:tcW w:w="5491"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热插拔冗余风扇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44"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可管理性</w:t>
            </w:r>
          </w:p>
        </w:tc>
        <w:tc>
          <w:tcPr>
            <w:tcW w:w="1561"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远程管理卡</w:t>
            </w:r>
          </w:p>
        </w:tc>
        <w:tc>
          <w:tcPr>
            <w:tcW w:w="5491"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配置≥1Gb独立的远程管理控制端口，配置虚拟KVM功能, 实现与操作系统无关的远程对设备的完全控制，包括远程的开机、关机、重启、更新Firmware、虚拟软驱、虚拟光驱、虚拟文件夹等操作，提供设备健康日记、设备控制台录屏/回放功能，能够提供电源监控，可支持动态功率封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44" w:type="dxa"/>
            <w:vMerge w:val="continue"/>
            <w:vAlign w:val="center"/>
          </w:tcPr>
          <w:p>
            <w:pPr>
              <w:widowControl/>
              <w:jc w:val="left"/>
              <w:rPr>
                <w:rFonts w:ascii="宋体" w:hAnsi="宋体" w:cs="宋体"/>
                <w:kern w:val="0"/>
                <w:szCs w:val="21"/>
              </w:rPr>
            </w:pPr>
          </w:p>
        </w:tc>
        <w:tc>
          <w:tcPr>
            <w:tcW w:w="1561" w:type="dxa"/>
            <w:vMerge w:val="continue"/>
            <w:vAlign w:val="center"/>
          </w:tcPr>
          <w:p>
            <w:pPr>
              <w:widowControl/>
              <w:jc w:val="left"/>
              <w:rPr>
                <w:rFonts w:ascii="宋体" w:hAnsi="宋体" w:cs="宋体"/>
                <w:kern w:val="0"/>
                <w:szCs w:val="21"/>
              </w:rPr>
            </w:pPr>
          </w:p>
        </w:tc>
        <w:tc>
          <w:tcPr>
            <w:tcW w:w="5491"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配置4GB Flash，可存放系统日志，内嵌操作系统导航安装环境，实现无物理光盘介质部署操作系统。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244" w:type="dxa"/>
            <w:vMerge w:val="continue"/>
            <w:vAlign w:val="center"/>
          </w:tcPr>
          <w:p>
            <w:pPr>
              <w:widowControl/>
              <w:jc w:val="left"/>
              <w:rPr>
                <w:rFonts w:ascii="宋体" w:hAnsi="宋体" w:cs="宋体"/>
                <w:kern w:val="0"/>
                <w:szCs w:val="21"/>
              </w:rPr>
            </w:pPr>
          </w:p>
        </w:tc>
        <w:tc>
          <w:tcPr>
            <w:tcW w:w="1561" w:type="dxa"/>
            <w:vMerge w:val="continue"/>
            <w:vAlign w:val="center"/>
          </w:tcPr>
          <w:p>
            <w:pPr>
              <w:widowControl/>
              <w:jc w:val="left"/>
              <w:rPr>
                <w:rFonts w:ascii="宋体" w:hAnsi="宋体" w:cs="宋体"/>
                <w:kern w:val="0"/>
                <w:szCs w:val="21"/>
              </w:rPr>
            </w:pPr>
          </w:p>
        </w:tc>
        <w:tc>
          <w:tcPr>
            <w:tcW w:w="5491"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支持联合管理功能，无需软件即可实现多台设备统一管理功能，如监控硬件健康状况，固件升级等。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24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服务</w:t>
            </w:r>
          </w:p>
        </w:tc>
        <w:tc>
          <w:tcPr>
            <w:tcW w:w="156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售后服务</w:t>
            </w:r>
          </w:p>
        </w:tc>
        <w:tc>
          <w:tcPr>
            <w:tcW w:w="5491" w:type="dxa"/>
            <w:shd w:val="clear" w:color="auto" w:fill="auto"/>
            <w:vAlign w:val="center"/>
          </w:tcPr>
          <w:p>
            <w:pPr>
              <w:widowControl/>
              <w:rPr>
                <w:rFonts w:ascii="宋体" w:hAnsi="宋体" w:cs="宋体"/>
                <w:kern w:val="0"/>
                <w:szCs w:val="21"/>
              </w:rPr>
            </w:pPr>
            <w:r>
              <w:rPr>
                <w:rFonts w:hint="eastAsia" w:ascii="宋体" w:hAnsi="宋体" w:cs="宋体"/>
                <w:kern w:val="0"/>
                <w:szCs w:val="21"/>
              </w:rPr>
              <w:t>提供原厂家的现场安装、调试服务，设备原厂商提供至少3年质保和3年7*24小时现场保修服务；提供针对此项目的原厂售后服务承诺函。</w:t>
            </w:r>
          </w:p>
        </w:tc>
      </w:tr>
    </w:tbl>
    <w:p>
      <w:pPr>
        <w:pStyle w:val="2"/>
        <w:numPr>
          <w:ilvl w:val="0"/>
          <w:numId w:val="3"/>
        </w:numPr>
        <w:spacing w:before="0" w:after="0"/>
        <w:rPr>
          <w:rFonts w:ascii="宋体" w:hAnsi="宋体"/>
          <w:sz w:val="32"/>
          <w:szCs w:val="32"/>
        </w:rPr>
      </w:pPr>
      <w:r>
        <w:rPr>
          <w:rFonts w:hint="eastAsia" w:ascii="宋体" w:hAnsi="宋体"/>
          <w:sz w:val="32"/>
          <w:szCs w:val="32"/>
        </w:rPr>
        <w:t>系统安全保障要求</w:t>
      </w:r>
    </w:p>
    <w:p>
      <w:pPr>
        <w:spacing w:line="360" w:lineRule="auto"/>
        <w:ind w:firstLine="420" w:firstLineChars="200"/>
        <w:rPr>
          <w:rFonts w:hint="eastAsia" w:ascii="宋体" w:hAnsi="宋体"/>
        </w:rPr>
      </w:pPr>
      <w:r>
        <w:rPr>
          <w:rFonts w:hint="eastAsia" w:ascii="宋体" w:hAnsi="宋体"/>
        </w:rPr>
        <w:t>系统需配合院方通过信息系统安全等级保护三级认证，当系统不满足时需提供免费整改服务，直至通过为止。</w:t>
      </w:r>
    </w:p>
    <w:p>
      <w:pPr>
        <w:pStyle w:val="2"/>
        <w:numPr>
          <w:ilvl w:val="0"/>
          <w:numId w:val="3"/>
        </w:numPr>
        <w:spacing w:before="0" w:after="0"/>
        <w:rPr>
          <w:rFonts w:ascii="宋体" w:hAnsi="宋体"/>
          <w:sz w:val="21"/>
          <w:szCs w:val="21"/>
        </w:rPr>
      </w:pPr>
      <w:r>
        <w:rPr>
          <w:rFonts w:hint="eastAsia" w:ascii="宋体" w:hAnsi="宋体"/>
          <w:sz w:val="32"/>
          <w:szCs w:val="32"/>
        </w:rPr>
        <w:t>项目工期</w:t>
      </w:r>
      <w:r>
        <w:rPr>
          <w:rFonts w:hint="eastAsia" w:ascii="宋体" w:hAnsi="宋体"/>
          <w:sz w:val="32"/>
          <w:szCs w:val="32"/>
          <w:lang w:val="en-US"/>
        </w:rPr>
        <w:t>及实施要求</w:t>
      </w:r>
    </w:p>
    <w:p>
      <w:pPr>
        <w:spacing w:line="360" w:lineRule="auto"/>
        <w:ind w:firstLine="420" w:firstLineChars="200"/>
        <w:rPr>
          <w:rFonts w:ascii="宋体" w:hAnsi="宋体"/>
        </w:rPr>
      </w:pPr>
      <w:r>
        <w:rPr>
          <w:rFonts w:hint="eastAsia" w:ascii="宋体" w:hAnsi="宋体"/>
        </w:rPr>
        <w:t>1</w:t>
      </w:r>
      <w:r>
        <w:rPr>
          <w:rFonts w:ascii="宋体" w:hAnsi="宋体"/>
        </w:rPr>
        <w:t>.</w:t>
      </w:r>
      <w:r>
        <w:rPr>
          <w:rFonts w:hint="eastAsia" w:ascii="宋体" w:hAnsi="宋体"/>
        </w:rPr>
        <w:t>自合同签订日起，须在_</w:t>
      </w:r>
      <w:r>
        <w:rPr>
          <w:rFonts w:ascii="宋体" w:hAnsi="宋体"/>
          <w:u w:val="single"/>
        </w:rPr>
        <w:t>10</w:t>
      </w:r>
      <w:r>
        <w:rPr>
          <w:rFonts w:hint="eastAsia" w:ascii="宋体" w:hAnsi="宋体"/>
        </w:rPr>
        <w:t>_个工作日内对《用户需求说明书》进行补充、确认或提出意见。</w:t>
      </w:r>
    </w:p>
    <w:p>
      <w:pPr>
        <w:spacing w:line="360" w:lineRule="auto"/>
        <w:ind w:firstLine="420" w:firstLineChars="200"/>
        <w:rPr>
          <w:rFonts w:ascii="宋体" w:hAnsi="宋体"/>
        </w:rPr>
      </w:pPr>
      <w:r>
        <w:rPr>
          <w:rFonts w:hint="eastAsia" w:ascii="宋体" w:hAnsi="宋体"/>
        </w:rPr>
        <w:t>2</w:t>
      </w:r>
      <w:r>
        <w:rPr>
          <w:rFonts w:ascii="宋体" w:hAnsi="宋体"/>
        </w:rPr>
        <w:t>.</w:t>
      </w:r>
      <w:r>
        <w:rPr>
          <w:rFonts w:hint="eastAsia" w:ascii="宋体" w:hAnsi="宋体"/>
        </w:rPr>
        <w:t>对《用户需求说明书》提出意见后，院方组织进行用户需求调研，根据调研情况提供业务调研记录、现况分析、功能设计及说明，双方共同整理并在</w:t>
      </w:r>
      <w:r>
        <w:rPr>
          <w:rFonts w:hint="eastAsia" w:ascii="宋体" w:hAnsi="宋体"/>
          <w:u w:val="single"/>
        </w:rPr>
        <w:t xml:space="preserve"> </w:t>
      </w:r>
      <w:r>
        <w:rPr>
          <w:rFonts w:ascii="宋体" w:hAnsi="宋体"/>
          <w:u w:val="single"/>
        </w:rPr>
        <w:t>10</w:t>
      </w:r>
      <w:r>
        <w:rPr>
          <w:rFonts w:hint="eastAsia" w:ascii="宋体" w:hAnsi="宋体"/>
          <w:u w:val="single"/>
        </w:rPr>
        <w:t xml:space="preserve"> </w:t>
      </w:r>
      <w:r>
        <w:rPr>
          <w:rFonts w:hint="eastAsia" w:ascii="宋体" w:hAnsi="宋体"/>
        </w:rPr>
        <w:t>个工作日内确认《需求规格说明书》。</w:t>
      </w:r>
    </w:p>
    <w:p>
      <w:pPr>
        <w:spacing w:line="360" w:lineRule="auto"/>
        <w:ind w:firstLine="420" w:firstLineChars="200"/>
        <w:rPr>
          <w:rFonts w:ascii="宋体" w:hAnsi="宋体"/>
        </w:rPr>
      </w:pPr>
      <w:r>
        <w:rPr>
          <w:rFonts w:hint="eastAsia" w:ascii="宋体" w:hAnsi="宋体"/>
        </w:rPr>
        <w:t>3</w:t>
      </w:r>
      <w:r>
        <w:rPr>
          <w:rFonts w:ascii="宋体" w:hAnsi="宋体"/>
        </w:rPr>
        <w:t>.</w:t>
      </w:r>
      <w:r>
        <w:rPr>
          <w:rFonts w:hint="eastAsia" w:ascii="宋体" w:hAnsi="宋体"/>
        </w:rPr>
        <w:t>须在《需求规格说明书》确认后的_</w:t>
      </w:r>
      <w:r>
        <w:rPr>
          <w:rFonts w:ascii="宋体" w:hAnsi="宋体"/>
          <w:u w:val="single"/>
        </w:rPr>
        <w:t>180</w:t>
      </w:r>
      <w:r>
        <w:rPr>
          <w:rFonts w:hint="eastAsia" w:ascii="宋体" w:hAnsi="宋体"/>
        </w:rPr>
        <w:t>_个工作日内完成实施导入和保证系统正常工作。</w:t>
      </w:r>
    </w:p>
    <w:p>
      <w:pPr>
        <w:spacing w:line="360" w:lineRule="auto"/>
        <w:ind w:firstLine="420" w:firstLineChars="200"/>
        <w:rPr>
          <w:rFonts w:ascii="宋体" w:hAnsi="宋体"/>
        </w:rPr>
      </w:pPr>
      <w:r>
        <w:rPr>
          <w:rFonts w:hint="eastAsia" w:ascii="宋体" w:hAnsi="宋体"/>
        </w:rPr>
        <w:t>4</w:t>
      </w:r>
      <w:r>
        <w:rPr>
          <w:rFonts w:ascii="宋体" w:hAnsi="宋体"/>
        </w:rPr>
        <w:t>.</w:t>
      </w:r>
      <w:r>
        <w:rPr>
          <w:rFonts w:hint="eastAsia" w:ascii="宋体" w:hAnsi="宋体"/>
        </w:rPr>
        <w:t>完成软件实施，并根据院方提出的新需求完成修改后，系统运行_</w:t>
      </w:r>
      <w:r>
        <w:rPr>
          <w:rFonts w:ascii="宋体" w:hAnsi="宋体"/>
          <w:u w:val="single"/>
        </w:rPr>
        <w:t>1</w:t>
      </w:r>
      <w:r>
        <w:rPr>
          <w:rFonts w:hint="eastAsia" w:ascii="宋体" w:hAnsi="宋体"/>
        </w:rPr>
        <w:t>_个月以上无软件故障出现，则向院方申请验收。</w:t>
      </w:r>
    </w:p>
    <w:p>
      <w:pPr>
        <w:pStyle w:val="2"/>
        <w:numPr>
          <w:ilvl w:val="0"/>
          <w:numId w:val="3"/>
        </w:numPr>
        <w:spacing w:before="0" w:after="0"/>
        <w:rPr>
          <w:rFonts w:ascii="宋体" w:hAnsi="宋体"/>
          <w:color w:val="FF0000"/>
          <w:sz w:val="32"/>
          <w:szCs w:val="32"/>
        </w:rPr>
      </w:pPr>
      <w:r>
        <w:rPr>
          <w:rFonts w:hint="eastAsia" w:ascii="宋体" w:hAnsi="宋体"/>
          <w:sz w:val="32"/>
          <w:szCs w:val="32"/>
        </w:rPr>
        <w:t>集成技术及实施</w:t>
      </w:r>
      <w:r>
        <w:rPr>
          <w:rFonts w:ascii="宋体" w:hAnsi="宋体"/>
          <w:sz w:val="32"/>
          <w:szCs w:val="32"/>
        </w:rPr>
        <w:t>服务要求</w:t>
      </w:r>
    </w:p>
    <w:p>
      <w:pPr>
        <w:spacing w:line="360" w:lineRule="auto"/>
        <w:ind w:firstLine="420" w:firstLineChars="200"/>
        <w:rPr>
          <w:rFonts w:ascii="宋体" w:hAnsi="宋体"/>
        </w:rPr>
      </w:pPr>
      <w:r>
        <w:rPr>
          <w:rFonts w:hint="eastAsia" w:ascii="宋体" w:hAnsi="宋体"/>
        </w:rPr>
        <w:t>项目实施</w:t>
      </w:r>
      <w:r>
        <w:rPr>
          <w:rFonts w:ascii="宋体" w:hAnsi="宋体"/>
        </w:rPr>
        <w:t>期</w:t>
      </w:r>
      <w:r>
        <w:rPr>
          <w:rFonts w:hint="eastAsia" w:ascii="宋体" w:hAnsi="宋体"/>
        </w:rPr>
        <w:t>内承建商提供专职工程师</w:t>
      </w:r>
      <w:r>
        <w:rPr>
          <w:rFonts w:ascii="宋体" w:hAnsi="宋体"/>
          <w:u w:val="single"/>
        </w:rPr>
        <w:t xml:space="preserve"> 1 </w:t>
      </w:r>
      <w:r>
        <w:rPr>
          <w:rFonts w:hint="eastAsia" w:ascii="宋体" w:hAnsi="宋体"/>
        </w:rPr>
        <w:t>名负责本项目。必要时常驻本院，期间工作时间与院方工作时间一致，并且提供7*24小时响应服务。</w:t>
      </w:r>
    </w:p>
    <w:p>
      <w:pPr>
        <w:spacing w:line="360" w:lineRule="auto"/>
        <w:ind w:firstLine="420" w:firstLineChars="200"/>
        <w:rPr>
          <w:rFonts w:ascii="宋体" w:hAnsi="宋体"/>
        </w:rPr>
      </w:pPr>
      <w:r>
        <w:rPr>
          <w:rFonts w:hint="eastAsia" w:ascii="宋体" w:hAnsi="宋体"/>
        </w:rPr>
        <w:t>在项目实施前，结合院方项目需求，根据《网络安全等级保护制度》自评等保级别。需向医院提交设计方案进行安全评审，保证安全技术措施同步规划，系统建设根据信息系统安全等级保护要求进行建设。</w:t>
      </w:r>
    </w:p>
    <w:p>
      <w:pPr>
        <w:spacing w:line="360" w:lineRule="auto"/>
        <w:ind w:firstLine="420" w:firstLineChars="200"/>
        <w:rPr>
          <w:rFonts w:ascii="宋体" w:hAnsi="宋体"/>
        </w:rPr>
      </w:pPr>
      <w:r>
        <w:rPr>
          <w:rFonts w:hint="eastAsia" w:ascii="宋体" w:hAnsi="宋体"/>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pPr>
        <w:spacing w:line="360" w:lineRule="auto"/>
        <w:ind w:firstLine="420" w:firstLineChars="200"/>
        <w:rPr>
          <w:rFonts w:ascii="宋体" w:hAnsi="宋体"/>
        </w:rPr>
      </w:pPr>
      <w:r>
        <w:rPr>
          <w:rFonts w:hint="eastAsia" w:ascii="宋体" w:hAnsi="宋体"/>
        </w:rPr>
        <w:t>项目承建商需根据院方的详细需求，提交项目系统的安装、调试及培训实施方案，方案得到院方确认后实施，保证系统按时、正常地投入运行。</w:t>
      </w:r>
    </w:p>
    <w:p>
      <w:pPr>
        <w:spacing w:line="360" w:lineRule="auto"/>
        <w:ind w:firstLine="420" w:firstLineChars="200"/>
        <w:rPr>
          <w:rFonts w:ascii="宋体" w:hAnsi="宋体"/>
        </w:rPr>
      </w:pPr>
      <w:r>
        <w:rPr>
          <w:rFonts w:hint="eastAsia" w:ascii="宋体" w:hAnsi="宋体"/>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pPr>
        <w:spacing w:line="360" w:lineRule="auto"/>
        <w:ind w:firstLine="420" w:firstLineChars="200"/>
        <w:rPr>
          <w:rFonts w:ascii="宋体" w:hAnsi="宋体"/>
        </w:rPr>
      </w:pPr>
      <w:r>
        <w:rPr>
          <w:rFonts w:hint="eastAsia" w:ascii="宋体" w:hAnsi="宋体"/>
        </w:rPr>
        <w:t>验收由承建商给出具体的验收计划、测试的内容和方法，经院方审核通过后，方可进行验收测试。</w:t>
      </w:r>
    </w:p>
    <w:p>
      <w:pPr>
        <w:pStyle w:val="2"/>
        <w:numPr>
          <w:ilvl w:val="0"/>
          <w:numId w:val="3"/>
        </w:numPr>
        <w:spacing w:before="0" w:after="0"/>
        <w:rPr>
          <w:rFonts w:ascii="宋体" w:hAnsi="宋体"/>
          <w:color w:val="FF0000"/>
          <w:sz w:val="32"/>
          <w:szCs w:val="32"/>
        </w:rPr>
      </w:pPr>
      <w:r>
        <w:rPr>
          <w:rFonts w:hint="eastAsia" w:ascii="宋体" w:hAnsi="宋体"/>
          <w:sz w:val="32"/>
          <w:szCs w:val="32"/>
        </w:rPr>
        <w:t>后续维护服务</w:t>
      </w:r>
    </w:p>
    <w:p>
      <w:pPr>
        <w:spacing w:line="360" w:lineRule="auto"/>
        <w:ind w:firstLine="420" w:firstLineChars="200"/>
        <w:rPr>
          <w:rFonts w:ascii="宋体" w:hAnsi="宋体"/>
        </w:rPr>
      </w:pPr>
      <w:r>
        <w:rPr>
          <w:rFonts w:hint="eastAsia" w:ascii="宋体" w:hAnsi="宋体"/>
        </w:rPr>
        <w:t>软件免费维护期从合同标的验收合格之日算起，期限为</w:t>
      </w:r>
      <w:r>
        <w:rPr>
          <w:rFonts w:ascii="宋体" w:hAnsi="宋体"/>
          <w:u w:val="single"/>
        </w:rPr>
        <w:t xml:space="preserve"> 24 </w:t>
      </w:r>
      <w:r>
        <w:rPr>
          <w:rFonts w:hint="eastAsia" w:ascii="宋体" w:hAnsi="宋体"/>
        </w:rPr>
        <w:t>个月。在免费维护期内，承建商提供技术支持和指导，以及软件的局部改进完善以及故障情况下的现场问题解决。</w:t>
      </w:r>
    </w:p>
    <w:p>
      <w:pPr>
        <w:spacing w:line="360" w:lineRule="auto"/>
        <w:ind w:firstLine="420" w:firstLineChars="200"/>
        <w:rPr>
          <w:rFonts w:ascii="宋体" w:hAnsi="宋体"/>
        </w:rPr>
      </w:pPr>
      <w:r>
        <w:rPr>
          <w:rFonts w:hint="eastAsia" w:ascii="宋体" w:hAnsi="宋体"/>
        </w:rPr>
        <w:t>在免费维护期结束前，须由承建商和院方进行一次全面检查，任何缺陷必须由承建商负责修复，在修复之后，承建商应将缺陷原因、修复内容、完成修理及恢复正常的时间和日期等报告给院方，形成项目总结报告。</w:t>
      </w:r>
    </w:p>
    <w:p>
      <w:pPr>
        <w:spacing w:line="360" w:lineRule="auto"/>
        <w:ind w:firstLine="420" w:firstLineChars="200"/>
        <w:rPr>
          <w:rFonts w:ascii="宋体" w:hAnsi="宋体"/>
        </w:rPr>
      </w:pPr>
      <w:bookmarkStart w:id="2" w:name="_GoBack"/>
      <w:bookmarkEnd w:id="2"/>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caps/>
        <w:color w:val="000000" w:themeColor="text1"/>
        <w14:textFill>
          <w14:solidFill>
            <w14:schemeClr w14:val="tx1"/>
          </w14:solidFill>
        </w14:textFill>
      </w:rPr>
    </w:pPr>
    <w:r>
      <w:rPr>
        <w:caps/>
        <w:color w:val="000000" w:themeColor="text1"/>
        <w14:textFill>
          <w14:solidFill>
            <w14:schemeClr w14:val="tx1"/>
          </w14:solidFill>
        </w14:textFill>
      </w:rPr>
      <w:fldChar w:fldCharType="begin"/>
    </w:r>
    <w:r>
      <w:rPr>
        <w:caps/>
        <w:color w:val="000000" w:themeColor="text1"/>
        <w14:textFill>
          <w14:solidFill>
            <w14:schemeClr w14:val="tx1"/>
          </w14:solidFill>
        </w14:textFill>
      </w:rPr>
      <w:instrText xml:space="preserve">PAGE   \* MERGEFORMAT</w:instrText>
    </w:r>
    <w:r>
      <w:rPr>
        <w:caps/>
        <w:color w:val="000000" w:themeColor="text1"/>
        <w14:textFill>
          <w14:solidFill>
            <w14:schemeClr w14:val="tx1"/>
          </w14:solidFill>
        </w14:textFill>
      </w:rPr>
      <w:fldChar w:fldCharType="separate"/>
    </w:r>
    <w:r>
      <w:rPr>
        <w:caps/>
        <w:color w:val="000000" w:themeColor="text1"/>
        <w14:textFill>
          <w14:solidFill>
            <w14:schemeClr w14:val="tx1"/>
          </w14:solidFill>
        </w14:textFill>
      </w:rPr>
      <w:t>1</w:t>
    </w:r>
    <w:r>
      <w:rPr>
        <w:caps/>
        <w:color w:val="000000" w:themeColor="text1"/>
        <w14:textFill>
          <w14:solidFill>
            <w14:schemeClr w14:val="tx1"/>
          </w14:solidFill>
        </w14:textFill>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
    <w:nsid w:val="3EBB3C91"/>
    <w:multiLevelType w:val="multilevel"/>
    <w:tmpl w:val="3EBB3C91"/>
    <w:lvl w:ilvl="0" w:tentative="0">
      <w:start w:val="1"/>
      <w:numFmt w:val="decimal"/>
      <w:pStyle w:val="58"/>
      <w:lvlText w:val="%1. "/>
      <w:lvlJc w:val="left"/>
      <w:pPr>
        <w:ind w:left="420" w:hanging="420"/>
      </w:pPr>
      <w:rPr>
        <w:rFonts w:hint="default" w:ascii="Times New Roman" w:hAnsi="Times New Roman" w:eastAsia="宋体"/>
        <w:b/>
        <w:i w:val="0"/>
      </w:rPr>
    </w:lvl>
    <w:lvl w:ilvl="1" w:tentative="0">
      <w:start w:val="1"/>
      <w:numFmt w:val="decimal"/>
      <w:pStyle w:val="51"/>
      <w:isLgl/>
      <w:suff w:val="space"/>
      <w:lvlText w:val="%1.%2 "/>
      <w:lvlJc w:val="left"/>
      <w:pPr>
        <w:ind w:left="3913" w:hanging="794"/>
      </w:pPr>
      <w:rPr>
        <w:rFonts w:hint="eastAsia"/>
      </w:rPr>
    </w:lvl>
    <w:lvl w:ilvl="2" w:tentative="0">
      <w:start w:val="1"/>
      <w:numFmt w:val="decimal"/>
      <w:pStyle w:val="57"/>
      <w:isLgl/>
      <w:suff w:val="space"/>
      <w:lvlText w:val="%1.%2.%3 "/>
      <w:lvlJc w:val="left"/>
      <w:pPr>
        <w:ind w:left="907" w:hanging="907"/>
      </w:pPr>
      <w:rPr>
        <w:rFonts w:hint="eastAsia"/>
      </w:rPr>
    </w:lvl>
    <w:lvl w:ilvl="3" w:tentative="0">
      <w:start w:val="1"/>
      <w:numFmt w:val="decimal"/>
      <w:pStyle w:val="56"/>
      <w:isLgl/>
      <w:suff w:val="space"/>
      <w:lvlText w:val="%1.%2.%3.%4 "/>
      <w:lvlJc w:val="left"/>
      <w:pPr>
        <w:ind w:left="1021" w:hanging="1021"/>
      </w:pPr>
      <w:rPr>
        <w:rFonts w:hint="eastAsia"/>
      </w:rPr>
    </w:lvl>
    <w:lvl w:ilvl="4" w:tentative="0">
      <w:start w:val="1"/>
      <w:numFmt w:val="decimal"/>
      <w:pStyle w:val="61"/>
      <w:isLgl/>
      <w:suff w:val="space"/>
      <w:lvlText w:val="%1.%2.%3.%4.%5 "/>
      <w:lvlJc w:val="left"/>
      <w:pPr>
        <w:ind w:left="1134" w:hanging="1134"/>
      </w:pPr>
      <w:rPr>
        <w:rFonts w:hint="eastAsia"/>
      </w:rPr>
    </w:lvl>
    <w:lvl w:ilvl="5" w:tentative="0">
      <w:start w:val="1"/>
      <w:numFmt w:val="decimal"/>
      <w:pStyle w:val="55"/>
      <w:isLgl/>
      <w:suff w:val="space"/>
      <w:lvlText w:val="%1.%2.%3.%4.%5.%6 "/>
      <w:lvlJc w:val="left"/>
      <w:pPr>
        <w:ind w:left="1247" w:hanging="1247"/>
      </w:pPr>
      <w:rPr>
        <w:rFonts w:hint="eastAsia"/>
      </w:rPr>
    </w:lvl>
    <w:lvl w:ilvl="6" w:tentative="0">
      <w:start w:val="1"/>
      <w:numFmt w:val="decimal"/>
      <w:lvlRestart w:val="1"/>
      <w:pStyle w:val="50"/>
      <w:isLgl/>
      <w:suff w:val="space"/>
      <w:lvlText w:val="图 %1.%7 "/>
      <w:lvlJc w:val="left"/>
      <w:pPr>
        <w:ind w:left="0" w:firstLine="0"/>
      </w:pPr>
      <w:rPr>
        <w:rFonts w:hint="eastAsia"/>
      </w:rPr>
    </w:lvl>
    <w:lvl w:ilvl="7" w:tentative="0">
      <w:start w:val="1"/>
      <w:numFmt w:val="decimal"/>
      <w:lvlRestart w:val="1"/>
      <w:pStyle w:val="60"/>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43"/>
    <w:rsid w:val="000051D2"/>
    <w:rsid w:val="000079DD"/>
    <w:rsid w:val="00012DCC"/>
    <w:rsid w:val="00016B63"/>
    <w:rsid w:val="00032A82"/>
    <w:rsid w:val="00033769"/>
    <w:rsid w:val="00042DAC"/>
    <w:rsid w:val="0004334E"/>
    <w:rsid w:val="00046B39"/>
    <w:rsid w:val="00054706"/>
    <w:rsid w:val="00066DE7"/>
    <w:rsid w:val="00074EDD"/>
    <w:rsid w:val="000757C1"/>
    <w:rsid w:val="00085C34"/>
    <w:rsid w:val="00086AE0"/>
    <w:rsid w:val="0009064D"/>
    <w:rsid w:val="00090A18"/>
    <w:rsid w:val="00090C68"/>
    <w:rsid w:val="000A5344"/>
    <w:rsid w:val="000B41B7"/>
    <w:rsid w:val="000C7F92"/>
    <w:rsid w:val="000D5317"/>
    <w:rsid w:val="000E276C"/>
    <w:rsid w:val="00106D68"/>
    <w:rsid w:val="00107C8C"/>
    <w:rsid w:val="001106CE"/>
    <w:rsid w:val="001107F8"/>
    <w:rsid w:val="001116F6"/>
    <w:rsid w:val="00114F8A"/>
    <w:rsid w:val="001161EB"/>
    <w:rsid w:val="00121E40"/>
    <w:rsid w:val="0012322D"/>
    <w:rsid w:val="00123CDF"/>
    <w:rsid w:val="00123DE2"/>
    <w:rsid w:val="00123FCC"/>
    <w:rsid w:val="00124692"/>
    <w:rsid w:val="00130DDF"/>
    <w:rsid w:val="00134F80"/>
    <w:rsid w:val="00135BF9"/>
    <w:rsid w:val="001365DD"/>
    <w:rsid w:val="00136606"/>
    <w:rsid w:val="00140E0C"/>
    <w:rsid w:val="0014437A"/>
    <w:rsid w:val="001530B6"/>
    <w:rsid w:val="00153870"/>
    <w:rsid w:val="00153AB3"/>
    <w:rsid w:val="001561FE"/>
    <w:rsid w:val="00156B1F"/>
    <w:rsid w:val="001576B1"/>
    <w:rsid w:val="00162D29"/>
    <w:rsid w:val="00164878"/>
    <w:rsid w:val="00165091"/>
    <w:rsid w:val="001650F6"/>
    <w:rsid w:val="00171903"/>
    <w:rsid w:val="00174C50"/>
    <w:rsid w:val="001767D1"/>
    <w:rsid w:val="0018200C"/>
    <w:rsid w:val="001833B6"/>
    <w:rsid w:val="00186090"/>
    <w:rsid w:val="00190CD2"/>
    <w:rsid w:val="00194BFE"/>
    <w:rsid w:val="00194F01"/>
    <w:rsid w:val="001A22A1"/>
    <w:rsid w:val="001A56E1"/>
    <w:rsid w:val="001B4850"/>
    <w:rsid w:val="001B7966"/>
    <w:rsid w:val="001B7D79"/>
    <w:rsid w:val="001C003E"/>
    <w:rsid w:val="001C23B3"/>
    <w:rsid w:val="001C7BC6"/>
    <w:rsid w:val="001D4A68"/>
    <w:rsid w:val="001D57E5"/>
    <w:rsid w:val="001D7749"/>
    <w:rsid w:val="001E3B38"/>
    <w:rsid w:val="001E46E4"/>
    <w:rsid w:val="00200054"/>
    <w:rsid w:val="002000DE"/>
    <w:rsid w:val="00201019"/>
    <w:rsid w:val="0020180D"/>
    <w:rsid w:val="00202EFF"/>
    <w:rsid w:val="0020509F"/>
    <w:rsid w:val="00207A96"/>
    <w:rsid w:val="00214A6F"/>
    <w:rsid w:val="00216A4A"/>
    <w:rsid w:val="002173AB"/>
    <w:rsid w:val="00221F1F"/>
    <w:rsid w:val="00223E47"/>
    <w:rsid w:val="0023177A"/>
    <w:rsid w:val="002336A7"/>
    <w:rsid w:val="00234D65"/>
    <w:rsid w:val="00241D77"/>
    <w:rsid w:val="002469E4"/>
    <w:rsid w:val="00247605"/>
    <w:rsid w:val="002509F5"/>
    <w:rsid w:val="002535AA"/>
    <w:rsid w:val="002575B2"/>
    <w:rsid w:val="00261CBC"/>
    <w:rsid w:val="00265DE7"/>
    <w:rsid w:val="00266FE4"/>
    <w:rsid w:val="00270260"/>
    <w:rsid w:val="002722CA"/>
    <w:rsid w:val="002834D3"/>
    <w:rsid w:val="002853BF"/>
    <w:rsid w:val="00292528"/>
    <w:rsid w:val="00293567"/>
    <w:rsid w:val="00295A06"/>
    <w:rsid w:val="0029669B"/>
    <w:rsid w:val="002A01D6"/>
    <w:rsid w:val="002A4778"/>
    <w:rsid w:val="002B4098"/>
    <w:rsid w:val="002B4A53"/>
    <w:rsid w:val="002B62BD"/>
    <w:rsid w:val="002C0F8B"/>
    <w:rsid w:val="002C44B0"/>
    <w:rsid w:val="002C53D1"/>
    <w:rsid w:val="002C7392"/>
    <w:rsid w:val="002D6BE1"/>
    <w:rsid w:val="002E2550"/>
    <w:rsid w:val="002E36C5"/>
    <w:rsid w:val="002F0931"/>
    <w:rsid w:val="002F18E1"/>
    <w:rsid w:val="002F31F1"/>
    <w:rsid w:val="003020E8"/>
    <w:rsid w:val="003024F8"/>
    <w:rsid w:val="00303343"/>
    <w:rsid w:val="00303CAB"/>
    <w:rsid w:val="003042A2"/>
    <w:rsid w:val="00304636"/>
    <w:rsid w:val="00311322"/>
    <w:rsid w:val="003129A0"/>
    <w:rsid w:val="00314487"/>
    <w:rsid w:val="00314A5A"/>
    <w:rsid w:val="003204E8"/>
    <w:rsid w:val="00320CB5"/>
    <w:rsid w:val="00320F1B"/>
    <w:rsid w:val="00322973"/>
    <w:rsid w:val="00325B18"/>
    <w:rsid w:val="00326F87"/>
    <w:rsid w:val="003321CB"/>
    <w:rsid w:val="003325F0"/>
    <w:rsid w:val="00341038"/>
    <w:rsid w:val="00345D64"/>
    <w:rsid w:val="00352E7C"/>
    <w:rsid w:val="00353276"/>
    <w:rsid w:val="00353418"/>
    <w:rsid w:val="00356A80"/>
    <w:rsid w:val="00360458"/>
    <w:rsid w:val="00366980"/>
    <w:rsid w:val="00370A5D"/>
    <w:rsid w:val="003802E2"/>
    <w:rsid w:val="0038581B"/>
    <w:rsid w:val="00385E95"/>
    <w:rsid w:val="00385FED"/>
    <w:rsid w:val="00397B7E"/>
    <w:rsid w:val="003A7269"/>
    <w:rsid w:val="003C0FB7"/>
    <w:rsid w:val="003C6D81"/>
    <w:rsid w:val="003C7A9F"/>
    <w:rsid w:val="003D0F80"/>
    <w:rsid w:val="003D2595"/>
    <w:rsid w:val="003D2A87"/>
    <w:rsid w:val="003D3248"/>
    <w:rsid w:val="003E1E16"/>
    <w:rsid w:val="003E7083"/>
    <w:rsid w:val="003F3286"/>
    <w:rsid w:val="003F629F"/>
    <w:rsid w:val="003F77D4"/>
    <w:rsid w:val="004003F7"/>
    <w:rsid w:val="00403938"/>
    <w:rsid w:val="004111D6"/>
    <w:rsid w:val="00413DA3"/>
    <w:rsid w:val="00414171"/>
    <w:rsid w:val="00415C7E"/>
    <w:rsid w:val="0041787F"/>
    <w:rsid w:val="00423450"/>
    <w:rsid w:val="0042702D"/>
    <w:rsid w:val="00435C81"/>
    <w:rsid w:val="0044060A"/>
    <w:rsid w:val="00440F72"/>
    <w:rsid w:val="00445703"/>
    <w:rsid w:val="004565AA"/>
    <w:rsid w:val="00456A2C"/>
    <w:rsid w:val="00460F4B"/>
    <w:rsid w:val="004630DC"/>
    <w:rsid w:val="00466A44"/>
    <w:rsid w:val="00470D2A"/>
    <w:rsid w:val="00474AE0"/>
    <w:rsid w:val="0047796F"/>
    <w:rsid w:val="00482931"/>
    <w:rsid w:val="00495574"/>
    <w:rsid w:val="004A44FF"/>
    <w:rsid w:val="004B62D1"/>
    <w:rsid w:val="004B6387"/>
    <w:rsid w:val="004C03DB"/>
    <w:rsid w:val="004C2C5B"/>
    <w:rsid w:val="004C3D43"/>
    <w:rsid w:val="004D27A1"/>
    <w:rsid w:val="004E2D8F"/>
    <w:rsid w:val="004E5E61"/>
    <w:rsid w:val="004F1410"/>
    <w:rsid w:val="00500264"/>
    <w:rsid w:val="00501DD0"/>
    <w:rsid w:val="00501F95"/>
    <w:rsid w:val="0050263B"/>
    <w:rsid w:val="005107CD"/>
    <w:rsid w:val="00510B1E"/>
    <w:rsid w:val="005120A9"/>
    <w:rsid w:val="00517D7C"/>
    <w:rsid w:val="00520646"/>
    <w:rsid w:val="0052176F"/>
    <w:rsid w:val="0052604B"/>
    <w:rsid w:val="0053088D"/>
    <w:rsid w:val="0053335B"/>
    <w:rsid w:val="00534BF6"/>
    <w:rsid w:val="00537CDE"/>
    <w:rsid w:val="005409FC"/>
    <w:rsid w:val="00544CED"/>
    <w:rsid w:val="005454EB"/>
    <w:rsid w:val="005563D3"/>
    <w:rsid w:val="00556507"/>
    <w:rsid w:val="00556B6B"/>
    <w:rsid w:val="0056570D"/>
    <w:rsid w:val="00575F76"/>
    <w:rsid w:val="005766CE"/>
    <w:rsid w:val="00580F0E"/>
    <w:rsid w:val="005839E5"/>
    <w:rsid w:val="00584D43"/>
    <w:rsid w:val="0058530E"/>
    <w:rsid w:val="00587EFD"/>
    <w:rsid w:val="00591388"/>
    <w:rsid w:val="00592ED1"/>
    <w:rsid w:val="0059358B"/>
    <w:rsid w:val="005944F9"/>
    <w:rsid w:val="00596428"/>
    <w:rsid w:val="00596CC5"/>
    <w:rsid w:val="005A04AE"/>
    <w:rsid w:val="005A4D1C"/>
    <w:rsid w:val="005B046D"/>
    <w:rsid w:val="005B33AE"/>
    <w:rsid w:val="005C49D7"/>
    <w:rsid w:val="005C60FB"/>
    <w:rsid w:val="005C66EA"/>
    <w:rsid w:val="005C7E23"/>
    <w:rsid w:val="005C7EF5"/>
    <w:rsid w:val="005D038A"/>
    <w:rsid w:val="005D1C7F"/>
    <w:rsid w:val="005D2402"/>
    <w:rsid w:val="005D2BF6"/>
    <w:rsid w:val="005D3A19"/>
    <w:rsid w:val="005D3A60"/>
    <w:rsid w:val="005E7C53"/>
    <w:rsid w:val="005F0356"/>
    <w:rsid w:val="005F3776"/>
    <w:rsid w:val="005F73BC"/>
    <w:rsid w:val="00600186"/>
    <w:rsid w:val="00600923"/>
    <w:rsid w:val="006053FC"/>
    <w:rsid w:val="006124AF"/>
    <w:rsid w:val="00612F3F"/>
    <w:rsid w:val="00614751"/>
    <w:rsid w:val="00620E68"/>
    <w:rsid w:val="00621839"/>
    <w:rsid w:val="00623637"/>
    <w:rsid w:val="00624343"/>
    <w:rsid w:val="0062754C"/>
    <w:rsid w:val="006279C6"/>
    <w:rsid w:val="00632F39"/>
    <w:rsid w:val="00643540"/>
    <w:rsid w:val="00644F1D"/>
    <w:rsid w:val="0064661D"/>
    <w:rsid w:val="00646B59"/>
    <w:rsid w:val="00651CDB"/>
    <w:rsid w:val="00656361"/>
    <w:rsid w:val="006604C2"/>
    <w:rsid w:val="006610C9"/>
    <w:rsid w:val="00663E5F"/>
    <w:rsid w:val="00670BD4"/>
    <w:rsid w:val="0067295B"/>
    <w:rsid w:val="006735E7"/>
    <w:rsid w:val="006861F5"/>
    <w:rsid w:val="00697FBB"/>
    <w:rsid w:val="006B2085"/>
    <w:rsid w:val="006B21B8"/>
    <w:rsid w:val="006B2320"/>
    <w:rsid w:val="006B5F6F"/>
    <w:rsid w:val="006B7B58"/>
    <w:rsid w:val="006C1FC7"/>
    <w:rsid w:val="006C36EB"/>
    <w:rsid w:val="006D4B15"/>
    <w:rsid w:val="006D59F7"/>
    <w:rsid w:val="006D677C"/>
    <w:rsid w:val="006E15C3"/>
    <w:rsid w:val="006E4640"/>
    <w:rsid w:val="006E4D5A"/>
    <w:rsid w:val="006E5E07"/>
    <w:rsid w:val="006E7C72"/>
    <w:rsid w:val="006F0434"/>
    <w:rsid w:val="00701D12"/>
    <w:rsid w:val="0070239F"/>
    <w:rsid w:val="00713984"/>
    <w:rsid w:val="00714153"/>
    <w:rsid w:val="00714F01"/>
    <w:rsid w:val="0072158A"/>
    <w:rsid w:val="00722A7A"/>
    <w:rsid w:val="0072309C"/>
    <w:rsid w:val="0072695B"/>
    <w:rsid w:val="007305F0"/>
    <w:rsid w:val="00741536"/>
    <w:rsid w:val="0074224C"/>
    <w:rsid w:val="00750A70"/>
    <w:rsid w:val="00752912"/>
    <w:rsid w:val="007556BE"/>
    <w:rsid w:val="007621CC"/>
    <w:rsid w:val="00762464"/>
    <w:rsid w:val="00762798"/>
    <w:rsid w:val="00763945"/>
    <w:rsid w:val="00764B5E"/>
    <w:rsid w:val="0076668A"/>
    <w:rsid w:val="00770AB7"/>
    <w:rsid w:val="00774D69"/>
    <w:rsid w:val="00776523"/>
    <w:rsid w:val="00784C08"/>
    <w:rsid w:val="00785EDF"/>
    <w:rsid w:val="00786A29"/>
    <w:rsid w:val="00795F59"/>
    <w:rsid w:val="007A2302"/>
    <w:rsid w:val="007C0A5B"/>
    <w:rsid w:val="007C0F72"/>
    <w:rsid w:val="007C440C"/>
    <w:rsid w:val="007D22AB"/>
    <w:rsid w:val="007E5FD6"/>
    <w:rsid w:val="007E71E6"/>
    <w:rsid w:val="007F3554"/>
    <w:rsid w:val="007F5726"/>
    <w:rsid w:val="007F60F5"/>
    <w:rsid w:val="00800FB0"/>
    <w:rsid w:val="0081266C"/>
    <w:rsid w:val="00813B2A"/>
    <w:rsid w:val="00814143"/>
    <w:rsid w:val="008168FB"/>
    <w:rsid w:val="00821580"/>
    <w:rsid w:val="00822BA6"/>
    <w:rsid w:val="008250A6"/>
    <w:rsid w:val="008419E9"/>
    <w:rsid w:val="00842D5E"/>
    <w:rsid w:val="008548FB"/>
    <w:rsid w:val="008623FD"/>
    <w:rsid w:val="00863A94"/>
    <w:rsid w:val="00866774"/>
    <w:rsid w:val="00873B97"/>
    <w:rsid w:val="0087670C"/>
    <w:rsid w:val="008804D5"/>
    <w:rsid w:val="00882033"/>
    <w:rsid w:val="00895101"/>
    <w:rsid w:val="008A233B"/>
    <w:rsid w:val="008A62AC"/>
    <w:rsid w:val="008A6DE6"/>
    <w:rsid w:val="008B1FE0"/>
    <w:rsid w:val="008B2206"/>
    <w:rsid w:val="008B2CBD"/>
    <w:rsid w:val="008B6B15"/>
    <w:rsid w:val="008C255D"/>
    <w:rsid w:val="008C48B7"/>
    <w:rsid w:val="008C5F95"/>
    <w:rsid w:val="008D3291"/>
    <w:rsid w:val="008D59AA"/>
    <w:rsid w:val="008E145D"/>
    <w:rsid w:val="008E2595"/>
    <w:rsid w:val="008E2940"/>
    <w:rsid w:val="008E2B56"/>
    <w:rsid w:val="008E69C8"/>
    <w:rsid w:val="008F62D5"/>
    <w:rsid w:val="008F6B26"/>
    <w:rsid w:val="00900232"/>
    <w:rsid w:val="00900BAA"/>
    <w:rsid w:val="00903734"/>
    <w:rsid w:val="00903878"/>
    <w:rsid w:val="00903CF6"/>
    <w:rsid w:val="009052C7"/>
    <w:rsid w:val="00905FFA"/>
    <w:rsid w:val="00912982"/>
    <w:rsid w:val="0092017A"/>
    <w:rsid w:val="00922032"/>
    <w:rsid w:val="00925C23"/>
    <w:rsid w:val="00927539"/>
    <w:rsid w:val="00927E08"/>
    <w:rsid w:val="009303FA"/>
    <w:rsid w:val="00932AE3"/>
    <w:rsid w:val="00941F0C"/>
    <w:rsid w:val="00942570"/>
    <w:rsid w:val="00942E99"/>
    <w:rsid w:val="00943004"/>
    <w:rsid w:val="0096068A"/>
    <w:rsid w:val="0096248F"/>
    <w:rsid w:val="00966A88"/>
    <w:rsid w:val="00973A47"/>
    <w:rsid w:val="0098018F"/>
    <w:rsid w:val="00981ED8"/>
    <w:rsid w:val="009822C7"/>
    <w:rsid w:val="00982AA3"/>
    <w:rsid w:val="00982CCD"/>
    <w:rsid w:val="009863EF"/>
    <w:rsid w:val="00986A41"/>
    <w:rsid w:val="0098719A"/>
    <w:rsid w:val="00991FF2"/>
    <w:rsid w:val="0099315B"/>
    <w:rsid w:val="0099570B"/>
    <w:rsid w:val="00995DD9"/>
    <w:rsid w:val="009B4476"/>
    <w:rsid w:val="009B7589"/>
    <w:rsid w:val="009C1946"/>
    <w:rsid w:val="009C1F02"/>
    <w:rsid w:val="009C3783"/>
    <w:rsid w:val="009C4E7E"/>
    <w:rsid w:val="009D5B0C"/>
    <w:rsid w:val="009D6951"/>
    <w:rsid w:val="009D7DD1"/>
    <w:rsid w:val="009E0351"/>
    <w:rsid w:val="009E214B"/>
    <w:rsid w:val="009E53AF"/>
    <w:rsid w:val="009F0270"/>
    <w:rsid w:val="009F5575"/>
    <w:rsid w:val="009F61FA"/>
    <w:rsid w:val="00A05796"/>
    <w:rsid w:val="00A13CB0"/>
    <w:rsid w:val="00A14FD8"/>
    <w:rsid w:val="00A22CA1"/>
    <w:rsid w:val="00A3010D"/>
    <w:rsid w:val="00A37239"/>
    <w:rsid w:val="00A4595D"/>
    <w:rsid w:val="00A51146"/>
    <w:rsid w:val="00A61D3A"/>
    <w:rsid w:val="00A66833"/>
    <w:rsid w:val="00A66C46"/>
    <w:rsid w:val="00A70DCF"/>
    <w:rsid w:val="00A72437"/>
    <w:rsid w:val="00A73FDF"/>
    <w:rsid w:val="00A74CEB"/>
    <w:rsid w:val="00A824B9"/>
    <w:rsid w:val="00A870DD"/>
    <w:rsid w:val="00A94215"/>
    <w:rsid w:val="00A96157"/>
    <w:rsid w:val="00A969AF"/>
    <w:rsid w:val="00A9729E"/>
    <w:rsid w:val="00AA1F69"/>
    <w:rsid w:val="00AA4CDF"/>
    <w:rsid w:val="00AB2E95"/>
    <w:rsid w:val="00AB348F"/>
    <w:rsid w:val="00AB46DC"/>
    <w:rsid w:val="00AB64FC"/>
    <w:rsid w:val="00AB7D36"/>
    <w:rsid w:val="00AC1390"/>
    <w:rsid w:val="00AC13EE"/>
    <w:rsid w:val="00AC4663"/>
    <w:rsid w:val="00AD3A0A"/>
    <w:rsid w:val="00AE1DD2"/>
    <w:rsid w:val="00AE4106"/>
    <w:rsid w:val="00AF1AFB"/>
    <w:rsid w:val="00B0722C"/>
    <w:rsid w:val="00B12138"/>
    <w:rsid w:val="00B17749"/>
    <w:rsid w:val="00B17AE9"/>
    <w:rsid w:val="00B17C05"/>
    <w:rsid w:val="00B20334"/>
    <w:rsid w:val="00B20819"/>
    <w:rsid w:val="00B225B9"/>
    <w:rsid w:val="00B22F11"/>
    <w:rsid w:val="00B24AB1"/>
    <w:rsid w:val="00B326BC"/>
    <w:rsid w:val="00B36BD9"/>
    <w:rsid w:val="00B41A4C"/>
    <w:rsid w:val="00B43095"/>
    <w:rsid w:val="00B43D01"/>
    <w:rsid w:val="00B446CA"/>
    <w:rsid w:val="00B5093C"/>
    <w:rsid w:val="00B50F30"/>
    <w:rsid w:val="00B54356"/>
    <w:rsid w:val="00B55FE5"/>
    <w:rsid w:val="00B62917"/>
    <w:rsid w:val="00B64CD0"/>
    <w:rsid w:val="00B65FE0"/>
    <w:rsid w:val="00B74609"/>
    <w:rsid w:val="00B752B2"/>
    <w:rsid w:val="00B77A67"/>
    <w:rsid w:val="00B80E39"/>
    <w:rsid w:val="00B824A5"/>
    <w:rsid w:val="00B8588F"/>
    <w:rsid w:val="00B858F1"/>
    <w:rsid w:val="00B85A4B"/>
    <w:rsid w:val="00B8684C"/>
    <w:rsid w:val="00B87F31"/>
    <w:rsid w:val="00B97CD9"/>
    <w:rsid w:val="00BA3BA6"/>
    <w:rsid w:val="00BA5A2D"/>
    <w:rsid w:val="00BA5B8F"/>
    <w:rsid w:val="00BB2B54"/>
    <w:rsid w:val="00BC1F2B"/>
    <w:rsid w:val="00BC3CA1"/>
    <w:rsid w:val="00BC49E5"/>
    <w:rsid w:val="00BC6DB1"/>
    <w:rsid w:val="00BC76D8"/>
    <w:rsid w:val="00BD3194"/>
    <w:rsid w:val="00BD5B5F"/>
    <w:rsid w:val="00BD5C5A"/>
    <w:rsid w:val="00BD5FA8"/>
    <w:rsid w:val="00BE23E5"/>
    <w:rsid w:val="00BE31E6"/>
    <w:rsid w:val="00BF1713"/>
    <w:rsid w:val="00BF2772"/>
    <w:rsid w:val="00BF757E"/>
    <w:rsid w:val="00BF7C0E"/>
    <w:rsid w:val="00BF7F5A"/>
    <w:rsid w:val="00C17719"/>
    <w:rsid w:val="00C20730"/>
    <w:rsid w:val="00C2470A"/>
    <w:rsid w:val="00C335D8"/>
    <w:rsid w:val="00C44FAB"/>
    <w:rsid w:val="00C50E12"/>
    <w:rsid w:val="00C54491"/>
    <w:rsid w:val="00C60111"/>
    <w:rsid w:val="00C7018A"/>
    <w:rsid w:val="00C71B43"/>
    <w:rsid w:val="00C74D8F"/>
    <w:rsid w:val="00C751A9"/>
    <w:rsid w:val="00C766DD"/>
    <w:rsid w:val="00C76BDF"/>
    <w:rsid w:val="00C775CE"/>
    <w:rsid w:val="00C8030E"/>
    <w:rsid w:val="00C85BE3"/>
    <w:rsid w:val="00C91697"/>
    <w:rsid w:val="00C92DD7"/>
    <w:rsid w:val="00C92EAA"/>
    <w:rsid w:val="00C964A7"/>
    <w:rsid w:val="00C97BAD"/>
    <w:rsid w:val="00CA06C0"/>
    <w:rsid w:val="00CA148F"/>
    <w:rsid w:val="00CA29F9"/>
    <w:rsid w:val="00CA63FB"/>
    <w:rsid w:val="00CB09AE"/>
    <w:rsid w:val="00CB6B73"/>
    <w:rsid w:val="00CC218D"/>
    <w:rsid w:val="00CC6334"/>
    <w:rsid w:val="00CC677A"/>
    <w:rsid w:val="00CD008E"/>
    <w:rsid w:val="00CD49B4"/>
    <w:rsid w:val="00CD5B18"/>
    <w:rsid w:val="00CD6EDC"/>
    <w:rsid w:val="00CE0F8C"/>
    <w:rsid w:val="00CE2D1F"/>
    <w:rsid w:val="00CE6EC8"/>
    <w:rsid w:val="00CF1561"/>
    <w:rsid w:val="00CF1A40"/>
    <w:rsid w:val="00CF36EF"/>
    <w:rsid w:val="00CF4AE2"/>
    <w:rsid w:val="00CF5090"/>
    <w:rsid w:val="00CF5EA4"/>
    <w:rsid w:val="00D07DD9"/>
    <w:rsid w:val="00D1110F"/>
    <w:rsid w:val="00D15B10"/>
    <w:rsid w:val="00D163E4"/>
    <w:rsid w:val="00D219F6"/>
    <w:rsid w:val="00D223A8"/>
    <w:rsid w:val="00D23E20"/>
    <w:rsid w:val="00D30FA6"/>
    <w:rsid w:val="00D32842"/>
    <w:rsid w:val="00D34FAA"/>
    <w:rsid w:val="00D407EB"/>
    <w:rsid w:val="00D454AB"/>
    <w:rsid w:val="00D536AB"/>
    <w:rsid w:val="00D54E0C"/>
    <w:rsid w:val="00D5537A"/>
    <w:rsid w:val="00D71136"/>
    <w:rsid w:val="00D77F36"/>
    <w:rsid w:val="00D81EA9"/>
    <w:rsid w:val="00D841FA"/>
    <w:rsid w:val="00D9057D"/>
    <w:rsid w:val="00DA026E"/>
    <w:rsid w:val="00DA576E"/>
    <w:rsid w:val="00DA5CBD"/>
    <w:rsid w:val="00DA68C3"/>
    <w:rsid w:val="00DB0A86"/>
    <w:rsid w:val="00DB57B7"/>
    <w:rsid w:val="00DC33CF"/>
    <w:rsid w:val="00DC3415"/>
    <w:rsid w:val="00DD393A"/>
    <w:rsid w:val="00DD3DE6"/>
    <w:rsid w:val="00DE4534"/>
    <w:rsid w:val="00DF06FF"/>
    <w:rsid w:val="00DF31D4"/>
    <w:rsid w:val="00DF3D3A"/>
    <w:rsid w:val="00DF4228"/>
    <w:rsid w:val="00E002C9"/>
    <w:rsid w:val="00E00E15"/>
    <w:rsid w:val="00E04106"/>
    <w:rsid w:val="00E06670"/>
    <w:rsid w:val="00E1684E"/>
    <w:rsid w:val="00E17266"/>
    <w:rsid w:val="00E25265"/>
    <w:rsid w:val="00E26E0B"/>
    <w:rsid w:val="00E34E6C"/>
    <w:rsid w:val="00E37CC5"/>
    <w:rsid w:val="00E47752"/>
    <w:rsid w:val="00E53030"/>
    <w:rsid w:val="00E56652"/>
    <w:rsid w:val="00E60598"/>
    <w:rsid w:val="00E62C9E"/>
    <w:rsid w:val="00E63369"/>
    <w:rsid w:val="00E63569"/>
    <w:rsid w:val="00E72A7A"/>
    <w:rsid w:val="00E80756"/>
    <w:rsid w:val="00E81F96"/>
    <w:rsid w:val="00E8302B"/>
    <w:rsid w:val="00E83E34"/>
    <w:rsid w:val="00E847A3"/>
    <w:rsid w:val="00E84F8C"/>
    <w:rsid w:val="00E85360"/>
    <w:rsid w:val="00E85641"/>
    <w:rsid w:val="00E85DA4"/>
    <w:rsid w:val="00E862C9"/>
    <w:rsid w:val="00E86B42"/>
    <w:rsid w:val="00E95892"/>
    <w:rsid w:val="00E97354"/>
    <w:rsid w:val="00EA6408"/>
    <w:rsid w:val="00EA72FB"/>
    <w:rsid w:val="00EB1806"/>
    <w:rsid w:val="00EC0483"/>
    <w:rsid w:val="00EC07D9"/>
    <w:rsid w:val="00EC0820"/>
    <w:rsid w:val="00EC33A4"/>
    <w:rsid w:val="00ED0897"/>
    <w:rsid w:val="00ED73FF"/>
    <w:rsid w:val="00ED7F01"/>
    <w:rsid w:val="00ED7FC9"/>
    <w:rsid w:val="00EE4612"/>
    <w:rsid w:val="00EE51DE"/>
    <w:rsid w:val="00EE609F"/>
    <w:rsid w:val="00EF3DE7"/>
    <w:rsid w:val="00EF4DC8"/>
    <w:rsid w:val="00EF5E01"/>
    <w:rsid w:val="00EF6EC0"/>
    <w:rsid w:val="00F02058"/>
    <w:rsid w:val="00F0343C"/>
    <w:rsid w:val="00F04CDC"/>
    <w:rsid w:val="00F04CE5"/>
    <w:rsid w:val="00F050FF"/>
    <w:rsid w:val="00F11C25"/>
    <w:rsid w:val="00F13514"/>
    <w:rsid w:val="00F1360F"/>
    <w:rsid w:val="00F16AA8"/>
    <w:rsid w:val="00F21791"/>
    <w:rsid w:val="00F30587"/>
    <w:rsid w:val="00F3226A"/>
    <w:rsid w:val="00F33DB0"/>
    <w:rsid w:val="00F4012D"/>
    <w:rsid w:val="00F45DB8"/>
    <w:rsid w:val="00F54D29"/>
    <w:rsid w:val="00F62BCD"/>
    <w:rsid w:val="00F723F8"/>
    <w:rsid w:val="00F74B77"/>
    <w:rsid w:val="00F76354"/>
    <w:rsid w:val="00F764FE"/>
    <w:rsid w:val="00F80625"/>
    <w:rsid w:val="00F827B6"/>
    <w:rsid w:val="00F83DCE"/>
    <w:rsid w:val="00F83E64"/>
    <w:rsid w:val="00F92BE5"/>
    <w:rsid w:val="00F97C80"/>
    <w:rsid w:val="00FA0574"/>
    <w:rsid w:val="00FB68D3"/>
    <w:rsid w:val="00FB7F76"/>
    <w:rsid w:val="00FC1E89"/>
    <w:rsid w:val="00FC4B75"/>
    <w:rsid w:val="00FC4BCE"/>
    <w:rsid w:val="00FD0EA2"/>
    <w:rsid w:val="00FE2435"/>
    <w:rsid w:val="00FE7554"/>
    <w:rsid w:val="00FF17FE"/>
    <w:rsid w:val="00FF7E1C"/>
    <w:rsid w:val="05FF1595"/>
    <w:rsid w:val="0B7A7251"/>
    <w:rsid w:val="18DF2EC1"/>
    <w:rsid w:val="292F0982"/>
    <w:rsid w:val="42200080"/>
    <w:rsid w:val="488C513A"/>
    <w:rsid w:val="4CD174D7"/>
    <w:rsid w:val="553B1EE9"/>
    <w:rsid w:val="658B50AB"/>
    <w:rsid w:val="674925B7"/>
    <w:rsid w:val="729A7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numPr>
        <w:ilvl w:val="0"/>
        <w:numId w:val="1"/>
      </w:numPr>
      <w:spacing w:before="340" w:after="330" w:line="578" w:lineRule="auto"/>
      <w:outlineLvl w:val="0"/>
    </w:pPr>
    <w:rPr>
      <w:b/>
      <w:bCs/>
      <w:kern w:val="44"/>
      <w:sz w:val="44"/>
      <w:szCs w:val="44"/>
      <w:lang w:val="zh-CN"/>
    </w:rPr>
  </w:style>
  <w:style w:type="paragraph" w:styleId="3">
    <w:name w:val="heading 2"/>
    <w:basedOn w:val="1"/>
    <w:next w:val="1"/>
    <w:link w:val="26"/>
    <w:qFormat/>
    <w:uiPriority w:val="0"/>
    <w:pPr>
      <w:keepNext/>
      <w:keepLines/>
      <w:spacing w:before="260" w:after="260" w:line="416" w:lineRule="auto"/>
      <w:outlineLvl w:val="1"/>
    </w:pPr>
    <w:rPr>
      <w:rFonts w:ascii="等线 Light" w:hAnsi="等线 Light" w:eastAsia="等线 Light"/>
      <w:b/>
      <w:bCs/>
      <w:sz w:val="32"/>
      <w:szCs w:val="32"/>
      <w:lang w:val="zh-CN"/>
    </w:rPr>
  </w:style>
  <w:style w:type="paragraph" w:styleId="4">
    <w:name w:val="heading 3"/>
    <w:basedOn w:val="1"/>
    <w:next w:val="1"/>
    <w:link w:val="27"/>
    <w:qFormat/>
    <w:uiPriority w:val="0"/>
    <w:pPr>
      <w:keepNext/>
      <w:keepLines/>
      <w:spacing w:before="260" w:after="260" w:line="416" w:lineRule="auto"/>
      <w:outlineLvl w:val="2"/>
    </w:pPr>
    <w:rPr>
      <w:b/>
      <w:bCs/>
      <w:sz w:val="30"/>
      <w:szCs w:val="30"/>
      <w:lang w:val="zh-CN"/>
    </w:rPr>
  </w:style>
  <w:style w:type="paragraph" w:styleId="5">
    <w:name w:val="heading 4"/>
    <w:basedOn w:val="1"/>
    <w:next w:val="1"/>
    <w:link w:val="28"/>
    <w:qFormat/>
    <w:uiPriority w:val="0"/>
    <w:pPr>
      <w:keepNext/>
      <w:keepLines/>
      <w:numPr>
        <w:ilvl w:val="3"/>
        <w:numId w:val="1"/>
      </w:numPr>
      <w:spacing w:before="280" w:after="290" w:line="376" w:lineRule="auto"/>
      <w:outlineLvl w:val="3"/>
    </w:pPr>
    <w:rPr>
      <w:rFonts w:ascii="宋体" w:hAnsi="宋体"/>
      <w:b/>
      <w:bCs/>
      <w:sz w:val="28"/>
      <w:szCs w:val="28"/>
      <w:lang w:val="zh-CN"/>
    </w:rPr>
  </w:style>
  <w:style w:type="paragraph" w:styleId="6">
    <w:name w:val="heading 5"/>
    <w:basedOn w:val="1"/>
    <w:next w:val="1"/>
    <w:link w:val="29"/>
    <w:qFormat/>
    <w:uiPriority w:val="0"/>
    <w:pPr>
      <w:keepNext/>
      <w:keepLines/>
      <w:numPr>
        <w:ilvl w:val="4"/>
        <w:numId w:val="1"/>
      </w:numPr>
      <w:spacing w:before="280" w:after="290" w:line="376" w:lineRule="auto"/>
      <w:outlineLvl w:val="4"/>
    </w:pPr>
    <w:rPr>
      <w:b/>
      <w:bCs/>
      <w:sz w:val="28"/>
      <w:szCs w:val="28"/>
      <w:lang w:val="zh-CN"/>
    </w:rPr>
  </w:style>
  <w:style w:type="paragraph" w:styleId="7">
    <w:name w:val="heading 6"/>
    <w:basedOn w:val="1"/>
    <w:next w:val="1"/>
    <w:link w:val="30"/>
    <w:qFormat/>
    <w:uiPriority w:val="0"/>
    <w:pPr>
      <w:keepNext/>
      <w:keepLines/>
      <w:numPr>
        <w:ilvl w:val="5"/>
        <w:numId w:val="1"/>
      </w:numPr>
      <w:spacing w:before="240" w:after="64" w:line="320" w:lineRule="auto"/>
      <w:outlineLvl w:val="5"/>
    </w:pPr>
    <w:rPr>
      <w:rFonts w:ascii="等线 Light" w:hAnsi="等线 Light" w:eastAsia="等线 Light"/>
      <w:b/>
      <w:bCs/>
      <w:sz w:val="24"/>
      <w:lang w:val="zh-CN"/>
    </w:rPr>
  </w:style>
  <w:style w:type="paragraph" w:styleId="8">
    <w:name w:val="heading 7"/>
    <w:basedOn w:val="1"/>
    <w:next w:val="1"/>
    <w:link w:val="31"/>
    <w:qFormat/>
    <w:uiPriority w:val="0"/>
    <w:pPr>
      <w:keepNext/>
      <w:keepLines/>
      <w:numPr>
        <w:ilvl w:val="6"/>
        <w:numId w:val="1"/>
      </w:numPr>
      <w:spacing w:before="240" w:after="64" w:line="320" w:lineRule="auto"/>
      <w:outlineLvl w:val="6"/>
    </w:pPr>
    <w:rPr>
      <w:b/>
      <w:bCs/>
      <w:sz w:val="24"/>
      <w:lang w:val="zh-CN"/>
    </w:rPr>
  </w:style>
  <w:style w:type="paragraph" w:styleId="9">
    <w:name w:val="heading 8"/>
    <w:basedOn w:val="1"/>
    <w:next w:val="1"/>
    <w:link w:val="32"/>
    <w:qFormat/>
    <w:uiPriority w:val="0"/>
    <w:pPr>
      <w:keepNext/>
      <w:keepLines/>
      <w:numPr>
        <w:ilvl w:val="7"/>
        <w:numId w:val="1"/>
      </w:numPr>
      <w:spacing w:before="240" w:after="64" w:line="320" w:lineRule="auto"/>
      <w:outlineLvl w:val="7"/>
    </w:pPr>
    <w:rPr>
      <w:rFonts w:ascii="等线 Light" w:hAnsi="等线 Light" w:eastAsia="等线 Light"/>
      <w:sz w:val="24"/>
      <w:lang w:val="zh-CN"/>
    </w:rPr>
  </w:style>
  <w:style w:type="paragraph" w:styleId="10">
    <w:name w:val="heading 9"/>
    <w:basedOn w:val="1"/>
    <w:next w:val="1"/>
    <w:link w:val="33"/>
    <w:qFormat/>
    <w:uiPriority w:val="0"/>
    <w:pPr>
      <w:keepNext/>
      <w:keepLines/>
      <w:numPr>
        <w:ilvl w:val="8"/>
        <w:numId w:val="1"/>
      </w:numPr>
      <w:spacing w:before="240" w:after="64" w:line="320" w:lineRule="auto"/>
      <w:outlineLvl w:val="8"/>
    </w:pPr>
    <w:rPr>
      <w:rFonts w:ascii="等线 Light" w:hAnsi="等线 Light" w:eastAsia="等线 Light"/>
      <w:szCs w:val="21"/>
      <w:lang w:val="zh-CN"/>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4"/>
    <w:qFormat/>
    <w:uiPriority w:val="99"/>
    <w:pPr>
      <w:spacing w:before="120" w:beforeLines="50" w:line="360" w:lineRule="auto"/>
      <w:ind w:firstLine="512" w:firstLineChars="200"/>
    </w:pPr>
    <w:rPr>
      <w:spacing w:val="8"/>
      <w:sz w:val="24"/>
      <w:szCs w:val="20"/>
    </w:rPr>
  </w:style>
  <w:style w:type="paragraph" w:styleId="12">
    <w:name w:val="annotation text"/>
    <w:basedOn w:val="1"/>
    <w:link w:val="35"/>
    <w:unhideWhenUsed/>
    <w:qFormat/>
    <w:uiPriority w:val="0"/>
    <w:pPr>
      <w:jc w:val="left"/>
    </w:pPr>
    <w:rPr>
      <w:kern w:val="0"/>
      <w:sz w:val="20"/>
      <w:lang w:val="zh-CN"/>
    </w:rPr>
  </w:style>
  <w:style w:type="paragraph" w:styleId="13">
    <w:name w:val="Plain Text"/>
    <w:basedOn w:val="1"/>
    <w:link w:val="36"/>
    <w:qFormat/>
    <w:uiPriority w:val="0"/>
    <w:rPr>
      <w:rFonts w:ascii="Calibri" w:hAnsi="Courier New"/>
      <w:szCs w:val="20"/>
      <w:lang w:val="zh-CN"/>
    </w:rPr>
  </w:style>
  <w:style w:type="paragraph" w:styleId="14">
    <w:name w:val="Balloon Text"/>
    <w:basedOn w:val="1"/>
    <w:link w:val="37"/>
    <w:qFormat/>
    <w:uiPriority w:val="0"/>
    <w:rPr>
      <w:sz w:val="18"/>
      <w:szCs w:val="18"/>
      <w:lang w:val="zh-CN"/>
    </w:rPr>
  </w:style>
  <w:style w:type="paragraph" w:styleId="15">
    <w:name w:val="footer"/>
    <w:basedOn w:val="1"/>
    <w:link w:val="38"/>
    <w:qFormat/>
    <w:uiPriority w:val="0"/>
    <w:pPr>
      <w:tabs>
        <w:tab w:val="center" w:pos="4153"/>
        <w:tab w:val="right" w:pos="8306"/>
      </w:tabs>
      <w:snapToGrid w:val="0"/>
      <w:jc w:val="left"/>
    </w:pPr>
    <w:rPr>
      <w:sz w:val="18"/>
      <w:szCs w:val="18"/>
      <w:lang w:val="zh-CN"/>
    </w:rPr>
  </w:style>
  <w:style w:type="paragraph" w:styleId="16">
    <w:name w:val="header"/>
    <w:basedOn w:val="1"/>
    <w:link w:val="39"/>
    <w:qFormat/>
    <w:uiPriority w:val="0"/>
    <w:pPr>
      <w:pBdr>
        <w:bottom w:val="single" w:color="auto" w:sz="6" w:space="1"/>
      </w:pBdr>
      <w:tabs>
        <w:tab w:val="center" w:pos="4153"/>
        <w:tab w:val="right" w:pos="8306"/>
      </w:tabs>
      <w:snapToGrid w:val="0"/>
      <w:jc w:val="center"/>
    </w:pPr>
    <w:rPr>
      <w:sz w:val="18"/>
      <w:szCs w:val="18"/>
      <w:lang w:val="zh-CN"/>
    </w:rPr>
  </w:style>
  <w:style w:type="paragraph" w:styleId="17">
    <w:name w:val="Subtitle"/>
    <w:basedOn w:val="1"/>
    <w:next w:val="1"/>
    <w:link w:val="64"/>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annotation subject"/>
    <w:basedOn w:val="12"/>
    <w:next w:val="12"/>
    <w:link w:val="65"/>
    <w:uiPriority w:val="0"/>
    <w:rPr>
      <w:b/>
      <w:bCs/>
      <w:kern w:val="2"/>
      <w:sz w:val="21"/>
      <w:lang w:val="en-US"/>
    </w:rPr>
  </w:style>
  <w:style w:type="table" w:styleId="21">
    <w:name w:val="Table Grid"/>
    <w:basedOn w:val="2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Hyperlink"/>
    <w:qFormat/>
    <w:uiPriority w:val="0"/>
    <w:rPr>
      <w:color w:val="0563C1"/>
      <w:u w:val="single"/>
    </w:rPr>
  </w:style>
  <w:style w:type="character" w:styleId="24">
    <w:name w:val="annotation reference"/>
    <w:unhideWhenUsed/>
    <w:qFormat/>
    <w:uiPriority w:val="99"/>
    <w:rPr>
      <w:sz w:val="21"/>
      <w:szCs w:val="21"/>
    </w:rPr>
  </w:style>
  <w:style w:type="character" w:customStyle="1" w:styleId="25">
    <w:name w:val="标题 1 字符"/>
    <w:link w:val="2"/>
    <w:qFormat/>
    <w:uiPriority w:val="0"/>
    <w:rPr>
      <w:b/>
      <w:bCs/>
      <w:kern w:val="44"/>
      <w:sz w:val="44"/>
      <w:szCs w:val="44"/>
      <w:lang w:val="zh-CN" w:eastAsia="zh-CN"/>
    </w:rPr>
  </w:style>
  <w:style w:type="character" w:customStyle="1" w:styleId="26">
    <w:name w:val="标题 2 字符"/>
    <w:link w:val="3"/>
    <w:qFormat/>
    <w:uiPriority w:val="0"/>
    <w:rPr>
      <w:rFonts w:ascii="等线 Light" w:hAnsi="等线 Light" w:eastAsia="等线 Light" w:cs="Times New Roman"/>
      <w:b/>
      <w:bCs/>
      <w:kern w:val="2"/>
      <w:sz w:val="32"/>
      <w:szCs w:val="32"/>
    </w:rPr>
  </w:style>
  <w:style w:type="character" w:customStyle="1" w:styleId="27">
    <w:name w:val="标题 3 字符"/>
    <w:link w:val="4"/>
    <w:qFormat/>
    <w:uiPriority w:val="0"/>
    <w:rPr>
      <w:b/>
      <w:bCs/>
      <w:kern w:val="2"/>
      <w:sz w:val="30"/>
      <w:szCs w:val="30"/>
    </w:rPr>
  </w:style>
  <w:style w:type="character" w:customStyle="1" w:styleId="28">
    <w:name w:val="标题 4 字符"/>
    <w:link w:val="5"/>
    <w:qFormat/>
    <w:uiPriority w:val="0"/>
    <w:rPr>
      <w:rFonts w:ascii="宋体" w:hAnsi="宋体"/>
      <w:b/>
      <w:bCs/>
      <w:kern w:val="2"/>
      <w:sz w:val="28"/>
      <w:szCs w:val="28"/>
    </w:rPr>
  </w:style>
  <w:style w:type="character" w:customStyle="1" w:styleId="29">
    <w:name w:val="标题 5 字符"/>
    <w:link w:val="6"/>
    <w:qFormat/>
    <w:uiPriority w:val="0"/>
    <w:rPr>
      <w:b/>
      <w:bCs/>
      <w:kern w:val="2"/>
      <w:sz w:val="28"/>
      <w:szCs w:val="28"/>
    </w:rPr>
  </w:style>
  <w:style w:type="character" w:customStyle="1" w:styleId="30">
    <w:name w:val="标题 6 字符"/>
    <w:link w:val="7"/>
    <w:semiHidden/>
    <w:qFormat/>
    <w:uiPriority w:val="0"/>
    <w:rPr>
      <w:rFonts w:ascii="等线 Light" w:hAnsi="等线 Light" w:eastAsia="等线 Light"/>
      <w:b/>
      <w:bCs/>
      <w:kern w:val="2"/>
      <w:sz w:val="24"/>
      <w:szCs w:val="24"/>
    </w:rPr>
  </w:style>
  <w:style w:type="character" w:customStyle="1" w:styleId="31">
    <w:name w:val="标题 7 字符"/>
    <w:link w:val="8"/>
    <w:semiHidden/>
    <w:qFormat/>
    <w:uiPriority w:val="0"/>
    <w:rPr>
      <w:b/>
      <w:bCs/>
      <w:kern w:val="2"/>
      <w:sz w:val="24"/>
      <w:szCs w:val="24"/>
    </w:rPr>
  </w:style>
  <w:style w:type="character" w:customStyle="1" w:styleId="32">
    <w:name w:val="标题 8 字符"/>
    <w:link w:val="9"/>
    <w:semiHidden/>
    <w:qFormat/>
    <w:uiPriority w:val="0"/>
    <w:rPr>
      <w:rFonts w:ascii="等线 Light" w:hAnsi="等线 Light" w:eastAsia="等线 Light"/>
      <w:kern w:val="2"/>
      <w:sz w:val="24"/>
      <w:szCs w:val="24"/>
    </w:rPr>
  </w:style>
  <w:style w:type="character" w:customStyle="1" w:styleId="33">
    <w:name w:val="标题 9 字符"/>
    <w:link w:val="10"/>
    <w:semiHidden/>
    <w:qFormat/>
    <w:uiPriority w:val="0"/>
    <w:rPr>
      <w:rFonts w:ascii="等线 Light" w:hAnsi="等线 Light" w:eastAsia="等线 Light"/>
      <w:kern w:val="2"/>
      <w:sz w:val="21"/>
      <w:szCs w:val="21"/>
    </w:rPr>
  </w:style>
  <w:style w:type="character" w:customStyle="1" w:styleId="34">
    <w:name w:val="正文缩进 字符"/>
    <w:link w:val="11"/>
    <w:qFormat/>
    <w:uiPriority w:val="99"/>
    <w:rPr>
      <w:spacing w:val="8"/>
      <w:kern w:val="2"/>
      <w:sz w:val="24"/>
      <w:lang w:val="en-US" w:eastAsia="zh-CN"/>
    </w:rPr>
  </w:style>
  <w:style w:type="character" w:customStyle="1" w:styleId="35">
    <w:name w:val="批注文字 字符1"/>
    <w:link w:val="12"/>
    <w:qFormat/>
    <w:uiPriority w:val="0"/>
    <w:rPr>
      <w:szCs w:val="24"/>
    </w:rPr>
  </w:style>
  <w:style w:type="character" w:customStyle="1" w:styleId="36">
    <w:name w:val="纯文本 字符"/>
    <w:link w:val="13"/>
    <w:qFormat/>
    <w:uiPriority w:val="0"/>
    <w:rPr>
      <w:rFonts w:ascii="Calibri" w:hAnsi="Courier New"/>
      <w:kern w:val="2"/>
      <w:sz w:val="21"/>
    </w:rPr>
  </w:style>
  <w:style w:type="character" w:customStyle="1" w:styleId="37">
    <w:name w:val="批注框文本 字符"/>
    <w:link w:val="14"/>
    <w:qFormat/>
    <w:uiPriority w:val="0"/>
    <w:rPr>
      <w:kern w:val="2"/>
      <w:sz w:val="18"/>
      <w:szCs w:val="18"/>
    </w:rPr>
  </w:style>
  <w:style w:type="character" w:customStyle="1" w:styleId="38">
    <w:name w:val="页脚 字符1"/>
    <w:link w:val="15"/>
    <w:qFormat/>
    <w:uiPriority w:val="0"/>
    <w:rPr>
      <w:kern w:val="2"/>
      <w:sz w:val="18"/>
      <w:szCs w:val="18"/>
    </w:rPr>
  </w:style>
  <w:style w:type="character" w:customStyle="1" w:styleId="39">
    <w:name w:val="页眉 字符"/>
    <w:link w:val="16"/>
    <w:qFormat/>
    <w:uiPriority w:val="0"/>
    <w:rPr>
      <w:kern w:val="2"/>
      <w:sz w:val="18"/>
      <w:szCs w:val="18"/>
    </w:rPr>
  </w:style>
  <w:style w:type="character" w:customStyle="1" w:styleId="40">
    <w:name w:val="已访问的超链接1"/>
    <w:qFormat/>
    <w:uiPriority w:val="0"/>
    <w:rPr>
      <w:color w:val="800080"/>
      <w:u w:val="single"/>
    </w:rPr>
  </w:style>
  <w:style w:type="character" w:customStyle="1" w:styleId="41">
    <w:name w:val="正文（首行缩进2字符） Char"/>
    <w:link w:val="42"/>
    <w:qFormat/>
    <w:uiPriority w:val="0"/>
    <w:rPr>
      <w:kern w:val="2"/>
      <w:sz w:val="24"/>
      <w:szCs w:val="24"/>
    </w:rPr>
  </w:style>
  <w:style w:type="paragraph" w:customStyle="1" w:styleId="42">
    <w:name w:val="正文（首行缩进2字符）"/>
    <w:basedOn w:val="1"/>
    <w:link w:val="41"/>
    <w:qFormat/>
    <w:uiPriority w:val="0"/>
    <w:pPr>
      <w:spacing w:line="360" w:lineRule="auto"/>
      <w:ind w:firstLine="480" w:firstLineChars="200"/>
    </w:pPr>
    <w:rPr>
      <w:sz w:val="24"/>
      <w:lang w:val="zh-CN"/>
    </w:rPr>
  </w:style>
  <w:style w:type="character" w:customStyle="1" w:styleId="43">
    <w:name w:val="段落 Char1"/>
    <w:link w:val="44"/>
    <w:qFormat/>
    <w:uiPriority w:val="0"/>
    <w:rPr>
      <w:rFonts w:eastAsia="仿宋_GB2312"/>
      <w:sz w:val="24"/>
      <w:szCs w:val="24"/>
      <w:lang w:val="en-US" w:eastAsia="zh-CN" w:bidi="ar-SA"/>
    </w:rPr>
  </w:style>
  <w:style w:type="paragraph" w:customStyle="1" w:styleId="44">
    <w:name w:val="段落"/>
    <w:link w:val="43"/>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5">
    <w:name w:val="正文（安华金和） Char"/>
    <w:link w:val="46"/>
    <w:qFormat/>
    <w:uiPriority w:val="0"/>
    <w:rPr>
      <w:rFonts w:ascii="Arial" w:hAnsi="Arial"/>
      <w:sz w:val="21"/>
      <w:szCs w:val="21"/>
      <w:lang w:val="en-US" w:eastAsia="zh-CN" w:bidi="ar-SA"/>
    </w:rPr>
  </w:style>
  <w:style w:type="paragraph" w:customStyle="1" w:styleId="46">
    <w:name w:val="正文（安华金和）"/>
    <w:link w:val="45"/>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7">
    <w:name w:val="页脚 字符"/>
    <w:qFormat/>
    <w:uiPriority w:val="99"/>
  </w:style>
  <w:style w:type="character" w:customStyle="1" w:styleId="48">
    <w:name w:val="列表段落 字符"/>
    <w:link w:val="49"/>
    <w:qFormat/>
    <w:uiPriority w:val="34"/>
    <w:rPr>
      <w:rFonts w:ascii="等线" w:hAnsi="等线" w:eastAsia="等线"/>
      <w:kern w:val="2"/>
      <w:sz w:val="21"/>
      <w:szCs w:val="22"/>
    </w:rPr>
  </w:style>
  <w:style w:type="paragraph" w:styleId="49">
    <w:name w:val="List Paragraph"/>
    <w:basedOn w:val="1"/>
    <w:link w:val="48"/>
    <w:qFormat/>
    <w:uiPriority w:val="34"/>
    <w:pPr>
      <w:ind w:firstLine="420" w:firstLineChars="200"/>
    </w:pPr>
    <w:rPr>
      <w:rFonts w:ascii="等线" w:hAnsi="等线" w:eastAsia="等线"/>
      <w:szCs w:val="22"/>
      <w:lang w:val="zh-CN"/>
    </w:rPr>
  </w:style>
  <w:style w:type="paragraph" w:customStyle="1" w:styleId="50">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1">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2">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3">
    <w:name w:val="_Style 27"/>
    <w:basedOn w:val="1"/>
    <w:next w:val="49"/>
    <w:qFormat/>
    <w:uiPriority w:val="34"/>
    <w:pPr>
      <w:widowControl/>
      <w:spacing w:line="240" w:lineRule="atLeast"/>
      <w:ind w:firstLine="420" w:firstLineChars="200"/>
    </w:pPr>
    <w:rPr>
      <w:rFonts w:ascii="Arial" w:hAnsi="Arial"/>
      <w:kern w:val="0"/>
      <w:szCs w:val="21"/>
    </w:rPr>
  </w:style>
  <w:style w:type="paragraph" w:customStyle="1" w:styleId="54">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5">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6">
    <w:name w:val="标题 4（DBSec）"/>
    <w:basedOn w:val="5"/>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57">
    <w:name w:val="标题 3（DBSec）"/>
    <w:basedOn w:val="4"/>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58">
    <w:name w:val="标题 1（DBSec）"/>
    <w:basedOn w:val="2"/>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rPr>
  </w:style>
  <w:style w:type="paragraph" w:customStyle="1" w:styleId="59">
    <w:name w:val="彩色列表 - 着色 11"/>
    <w:basedOn w:val="1"/>
    <w:qFormat/>
    <w:uiPriority w:val="34"/>
    <w:pPr>
      <w:spacing w:line="360" w:lineRule="auto"/>
      <w:ind w:firstLine="420" w:firstLineChars="200"/>
    </w:pPr>
    <w:rPr>
      <w:rFonts w:ascii="Arial" w:hAnsi="Arial"/>
      <w:szCs w:val="21"/>
    </w:rPr>
  </w:style>
  <w:style w:type="paragraph" w:customStyle="1" w:styleId="60">
    <w:name w:val="表格标注（安华金和）"/>
    <w:basedOn w:val="50"/>
    <w:next w:val="1"/>
    <w:qFormat/>
    <w:uiPriority w:val="0"/>
    <w:pPr>
      <w:numPr>
        <w:ilvl w:val="7"/>
      </w:numPr>
    </w:pPr>
  </w:style>
  <w:style w:type="paragraph" w:customStyle="1" w:styleId="61">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2">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3">
    <w:name w:val="批注文字 字符"/>
    <w:qFormat/>
    <w:uiPriority w:val="99"/>
    <w:rPr>
      <w:kern w:val="2"/>
      <w:sz w:val="21"/>
      <w:szCs w:val="24"/>
    </w:rPr>
  </w:style>
  <w:style w:type="character" w:customStyle="1" w:styleId="64">
    <w:name w:val="副标题 字符"/>
    <w:link w:val="17"/>
    <w:qFormat/>
    <w:uiPriority w:val="0"/>
    <w:rPr>
      <w:rFonts w:ascii="Cambria" w:hAnsi="Cambria"/>
      <w:b/>
      <w:bCs/>
      <w:kern w:val="28"/>
      <w:sz w:val="32"/>
      <w:szCs w:val="32"/>
      <w:lang w:eastAsia="en-US"/>
    </w:rPr>
  </w:style>
  <w:style w:type="character" w:customStyle="1" w:styleId="65">
    <w:name w:val="批注主题 字符"/>
    <w:basedOn w:val="35"/>
    <w:link w:val="19"/>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1587</Words>
  <Characters>9048</Characters>
  <Lines>75</Lines>
  <Paragraphs>21</Paragraphs>
  <TotalTime>1289</TotalTime>
  <ScaleCrop>false</ScaleCrop>
  <LinksUpToDate>false</LinksUpToDate>
  <CharactersWithSpaces>10614</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2022-01-06T02:42:00Z</dcterms:created>
  <dc:creator>陈永辉</dc:creator>
  <cp:lastModifiedBy>lancet</cp:lastModifiedBy>
  <dcterms:modified xsi:type="dcterms:W3CDTF">2022-03-21T03:46:34Z</dcterms:modified>
  <dc:title>1</dc:title>
  <cp:revision>263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E6BF652D54F944798887341195E59480</vt:lpwstr>
  </property>
</Properties>
</file>