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after="312" w:line="360" w:lineRule="auto"/>
        <w:jc w:val="center"/>
      </w:pPr>
      <w:r>
        <w:rPr>
          <w:rFonts w:ascii="宋体" w:hAnsi="宋体" w:eastAsia="宋体" w:cs="宋体"/>
          <w:b/>
          <w:color w:val="000000"/>
          <w:sz w:val="44"/>
        </w:rPr>
        <w:t>中国慢病管理创新计划项目需求</w:t>
      </w:r>
    </w:p>
    <w:p>
      <w:pPr>
        <w:pStyle w:val="2"/>
      </w:pPr>
      <w:r>
        <w:rPr>
          <w:rFonts w:ascii="宋体" w:hAnsi="宋体" w:eastAsia="宋体" w:cs="宋体"/>
          <w:color w:val="000000"/>
          <w:sz w:val="32"/>
        </w:rPr>
        <w:t>一.项目名称</w:t>
      </w:r>
    </w:p>
    <w:p>
      <w:pPr>
        <w:spacing w:before="0" w:after="0" w:line="360" w:lineRule="auto"/>
        <w:ind w:left="432"/>
        <w:jc w:val="both"/>
        <w:rPr>
          <w:rFonts w:ascii="宋体" w:hAnsi="宋体" w:eastAsia="宋体" w:cs="宋体"/>
          <w:color w:val="000000"/>
          <w:sz w:val="24"/>
          <w:szCs w:val="24"/>
        </w:rPr>
      </w:pPr>
      <w:r>
        <w:rPr>
          <w:rFonts w:ascii="宋体" w:hAnsi="宋体" w:eastAsia="宋体" w:cs="宋体"/>
          <w:color w:val="000000"/>
          <w:sz w:val="24"/>
          <w:szCs w:val="24"/>
        </w:rPr>
        <w:t>项目名称：中国慢病管理创新计划项目</w:t>
      </w:r>
      <w:r>
        <w:rPr>
          <w:rFonts w:hint="eastAsia" w:ascii="宋体" w:hAnsi="宋体" w:eastAsia="宋体" w:cs="宋体"/>
          <w:color w:val="000000"/>
          <w:sz w:val="24"/>
          <w:szCs w:val="24"/>
        </w:rPr>
        <w:t>（一期）</w:t>
      </w:r>
      <w:r>
        <w:rPr>
          <w:rFonts w:ascii="宋体" w:hAnsi="宋体" w:eastAsia="宋体" w:cs="宋体"/>
          <w:color w:val="000000"/>
          <w:sz w:val="24"/>
          <w:szCs w:val="24"/>
        </w:rPr>
        <w:t>。</w:t>
      </w:r>
    </w:p>
    <w:p>
      <w:pPr>
        <w:pStyle w:val="2"/>
      </w:pPr>
      <w:r>
        <w:rPr>
          <w:rFonts w:ascii="宋体" w:hAnsi="宋体" w:eastAsia="宋体" w:cs="宋体"/>
          <w:color w:val="000000"/>
          <w:sz w:val="32"/>
        </w:rPr>
        <w:t>二.项目建设内容及采购清单</w:t>
      </w:r>
    </w:p>
    <w:p>
      <w:pPr>
        <w:spacing w:before="0" w:after="0"/>
        <w:ind w:firstLine="480" w:firstLineChars="200"/>
        <w:jc w:val="both"/>
        <w:rPr>
          <w:rFonts w:ascii="宋体" w:hAnsi="宋体" w:eastAsia="宋体" w:cs="宋体"/>
          <w:color w:val="000000"/>
          <w:sz w:val="24"/>
          <w:szCs w:val="24"/>
        </w:rPr>
      </w:pPr>
      <w:r>
        <w:rPr>
          <w:rFonts w:ascii="宋体" w:hAnsi="宋体" w:eastAsia="宋体" w:cs="宋体"/>
          <w:color w:val="000000"/>
          <w:sz w:val="24"/>
          <w:szCs w:val="24"/>
        </w:rPr>
        <w:t>项目简介：</w:t>
      </w:r>
      <w:r>
        <w:rPr>
          <w:rFonts w:hint="eastAsia" w:ascii="宋体" w:hAnsi="宋体" w:eastAsia="宋体" w:cs="宋体"/>
          <w:color w:val="000000"/>
          <w:sz w:val="24"/>
          <w:szCs w:val="24"/>
        </w:rPr>
        <w:t>围绕</w:t>
      </w:r>
      <w:r>
        <w:rPr>
          <w:rFonts w:ascii="宋体" w:hAnsi="宋体" w:eastAsia="宋体" w:cs="宋体"/>
          <w:color w:val="000000"/>
          <w:sz w:val="24"/>
          <w:szCs w:val="24"/>
        </w:rPr>
        <w:t>乳腺癌、肺癌、妇科</w:t>
      </w:r>
      <w:r>
        <w:rPr>
          <w:rFonts w:hint="eastAsia" w:ascii="宋体" w:hAnsi="宋体" w:eastAsia="宋体" w:cs="宋体"/>
          <w:color w:val="000000"/>
          <w:sz w:val="24"/>
          <w:szCs w:val="24"/>
        </w:rPr>
        <w:t>、肾脏病等慢性疾病，以我院为中心，对我院及此次参与的</w:t>
      </w:r>
      <w:r>
        <w:rPr>
          <w:rFonts w:ascii="宋体" w:hAnsi="宋体" w:eastAsia="宋体" w:cs="宋体"/>
          <w:color w:val="000000"/>
          <w:sz w:val="24"/>
          <w:szCs w:val="24"/>
        </w:rPr>
        <w:t>25家联盟医院（省内24家、省外1家），进行慢性疾病患者相关的临床数据采集、数据标准化及数据治理</w:t>
      </w:r>
      <w:r>
        <w:rPr>
          <w:rFonts w:hint="eastAsia" w:ascii="宋体" w:hAnsi="宋体" w:eastAsia="宋体" w:cs="宋体"/>
          <w:color w:val="000000"/>
          <w:sz w:val="24"/>
          <w:szCs w:val="24"/>
        </w:rPr>
        <w:t>、科研队列管理等</w:t>
      </w:r>
      <w:r>
        <w:rPr>
          <w:rFonts w:ascii="宋体" w:hAnsi="宋体" w:eastAsia="宋体" w:cs="宋体"/>
          <w:color w:val="000000"/>
          <w:sz w:val="24"/>
          <w:szCs w:val="24"/>
        </w:rPr>
        <w:t>工作</w:t>
      </w:r>
      <w:r>
        <w:rPr>
          <w:rFonts w:hint="eastAsia" w:ascii="宋体" w:hAnsi="宋体" w:eastAsia="宋体" w:cs="宋体"/>
          <w:color w:val="000000"/>
          <w:sz w:val="24"/>
          <w:szCs w:val="24"/>
        </w:rPr>
        <w:t>，一期实现以肾脏</w:t>
      </w:r>
      <w:r>
        <w:rPr>
          <w:rFonts w:ascii="宋体" w:hAnsi="宋体" w:eastAsia="宋体" w:cs="宋体"/>
          <w:color w:val="000000"/>
          <w:sz w:val="24"/>
          <w:szCs w:val="24"/>
        </w:rPr>
        <w:t>病</w:t>
      </w:r>
      <w:r>
        <w:rPr>
          <w:rFonts w:hint="eastAsia" w:ascii="宋体" w:hAnsi="宋体" w:eastAsia="宋体" w:cs="宋体"/>
          <w:color w:val="000000"/>
          <w:sz w:val="24"/>
          <w:szCs w:val="24"/>
        </w:rPr>
        <w:t>为主的慢病管理建设工作，后续可支持扩展到</w:t>
      </w:r>
      <w:r>
        <w:rPr>
          <w:rFonts w:ascii="宋体" w:hAnsi="宋体" w:eastAsia="宋体" w:cs="宋体"/>
          <w:color w:val="000000"/>
          <w:sz w:val="24"/>
          <w:szCs w:val="24"/>
        </w:rPr>
        <w:t>乳腺癌、肺癌、妇科</w:t>
      </w:r>
      <w:r>
        <w:rPr>
          <w:rFonts w:hint="eastAsia" w:ascii="宋体" w:hAnsi="宋体" w:eastAsia="宋体" w:cs="宋体"/>
          <w:color w:val="000000"/>
          <w:sz w:val="24"/>
          <w:szCs w:val="24"/>
        </w:rPr>
        <w:t>等方面的</w:t>
      </w:r>
      <w:r>
        <w:rPr>
          <w:rFonts w:ascii="宋体" w:hAnsi="宋体" w:eastAsia="宋体" w:cs="宋体"/>
          <w:color w:val="000000"/>
          <w:sz w:val="24"/>
          <w:szCs w:val="24"/>
        </w:rPr>
        <w:t>疾病。</w:t>
      </w:r>
    </w:p>
    <w:p>
      <w:pPr>
        <w:spacing w:before="0" w:after="0"/>
        <w:ind w:firstLine="480" w:firstLineChars="200"/>
        <w:jc w:val="both"/>
        <w:rPr>
          <w:rFonts w:ascii="宋体" w:hAnsi="宋体" w:eastAsia="宋体" w:cs="宋体"/>
          <w:color w:val="000000"/>
          <w:sz w:val="24"/>
          <w:szCs w:val="24"/>
        </w:rPr>
      </w:pPr>
      <w:r>
        <w:rPr>
          <w:rFonts w:ascii="宋体" w:hAnsi="宋体" w:eastAsia="宋体" w:cs="宋体"/>
          <w:color w:val="000000"/>
          <w:sz w:val="24"/>
          <w:szCs w:val="24"/>
        </w:rPr>
        <w:t>建设目标：从医院前端到数据平台的数据生产流程，以入组患者为维度，将科研所需患者在联盟医院内的医疗数据，采集、汇聚到数据中心，方便后续的科研和诊疗分析使用。建立慢性病队列的数据采集</w:t>
      </w:r>
      <w:r>
        <w:rPr>
          <w:rFonts w:hint="eastAsia" w:ascii="宋体" w:hAnsi="宋体" w:eastAsia="宋体" w:cs="宋体"/>
          <w:color w:val="000000"/>
          <w:sz w:val="24"/>
          <w:szCs w:val="24"/>
        </w:rPr>
        <w:t>生产与数据展示</w:t>
      </w:r>
      <w:r>
        <w:rPr>
          <w:rFonts w:ascii="宋体" w:hAnsi="宋体" w:eastAsia="宋体" w:cs="宋体"/>
          <w:color w:val="000000"/>
          <w:sz w:val="24"/>
          <w:szCs w:val="24"/>
        </w:rPr>
        <w:t>系统</w:t>
      </w:r>
      <w:r>
        <w:rPr>
          <w:rFonts w:hint="eastAsia" w:ascii="宋体" w:hAnsi="宋体" w:eastAsia="宋体" w:cs="宋体"/>
          <w:color w:val="000000"/>
          <w:sz w:val="24"/>
          <w:szCs w:val="24"/>
        </w:rPr>
        <w:t>，同时通过建设我院EDC系统，实现多病种的慢病队列科研数据管理</w:t>
      </w:r>
      <w:r>
        <w:rPr>
          <w:rFonts w:ascii="宋体" w:hAnsi="宋体" w:eastAsia="宋体" w:cs="宋体"/>
          <w:color w:val="000000"/>
          <w:sz w:val="24"/>
          <w:szCs w:val="24"/>
        </w:rPr>
        <w:t>；构建以我院为主中心，联盟医院为核心节点，辐射全国的百万人慢性病队列数据汇聚平台，建立高效的数据共享和研究协作机制。</w:t>
      </w:r>
    </w:p>
    <w:p>
      <w:pPr>
        <w:spacing w:before="0" w:after="0"/>
        <w:ind w:firstLine="480" w:firstLineChars="200"/>
        <w:jc w:val="both"/>
        <w:rPr>
          <w:rFonts w:ascii="宋体" w:hAnsi="宋体" w:eastAsia="宋体" w:cs="宋体"/>
          <w:color w:val="000000"/>
          <w:sz w:val="24"/>
          <w:szCs w:val="24"/>
        </w:rPr>
      </w:pPr>
      <w:r>
        <w:rPr>
          <w:rFonts w:hint="eastAsia" w:ascii="宋体" w:hAnsi="宋体" w:eastAsia="宋体" w:cs="宋体"/>
          <w:color w:val="000000"/>
          <w:sz w:val="24"/>
          <w:szCs w:val="24"/>
        </w:rPr>
        <w:t>项目扩展性：项目一期以肾病为主要病种，进行慢性疾病患者相关的临床数据采集、数据标准化及数据治理工作。通过慢病管理创新计划一期，搭建完成慢病管理的采集、生产、分析与科研体系，可以支持后续横纵向的扩展。横向可以在</w:t>
      </w:r>
      <w:r>
        <w:rPr>
          <w:rFonts w:ascii="宋体" w:hAnsi="宋体" w:eastAsia="宋体" w:cs="宋体"/>
          <w:color w:val="000000"/>
          <w:sz w:val="24"/>
          <w:szCs w:val="24"/>
        </w:rPr>
        <w:t>25</w:t>
      </w:r>
      <w:r>
        <w:rPr>
          <w:rFonts w:hint="eastAsia" w:ascii="宋体" w:hAnsi="宋体" w:eastAsia="宋体" w:cs="宋体"/>
          <w:color w:val="000000"/>
          <w:sz w:val="24"/>
          <w:szCs w:val="24"/>
        </w:rPr>
        <w:t>家联盟</w:t>
      </w:r>
      <w:r>
        <w:rPr>
          <w:rFonts w:ascii="宋体" w:hAnsi="宋体" w:eastAsia="宋体" w:cs="宋体"/>
          <w:color w:val="000000"/>
          <w:sz w:val="24"/>
          <w:szCs w:val="24"/>
        </w:rPr>
        <w:t>医院的基础上进行新</w:t>
      </w:r>
      <w:r>
        <w:rPr>
          <w:rFonts w:hint="eastAsia" w:ascii="宋体" w:hAnsi="宋体" w:eastAsia="宋体" w:cs="宋体"/>
          <w:color w:val="000000"/>
          <w:sz w:val="24"/>
          <w:szCs w:val="24"/>
        </w:rPr>
        <w:t>加入</w:t>
      </w:r>
      <w:r>
        <w:rPr>
          <w:rFonts w:ascii="宋体" w:hAnsi="宋体" w:eastAsia="宋体" w:cs="宋体"/>
          <w:color w:val="000000"/>
          <w:sz w:val="24"/>
          <w:szCs w:val="24"/>
        </w:rPr>
        <w:t>医院的扩展</w:t>
      </w:r>
      <w:r>
        <w:rPr>
          <w:rFonts w:hint="eastAsia" w:ascii="宋体" w:hAnsi="宋体" w:eastAsia="宋体" w:cs="宋体"/>
          <w:color w:val="000000"/>
          <w:sz w:val="24"/>
          <w:szCs w:val="24"/>
        </w:rPr>
        <w:t>；</w:t>
      </w:r>
      <w:r>
        <w:rPr>
          <w:rFonts w:ascii="宋体" w:hAnsi="宋体" w:eastAsia="宋体" w:cs="宋体"/>
          <w:color w:val="000000"/>
          <w:sz w:val="24"/>
          <w:szCs w:val="24"/>
        </w:rPr>
        <w:t>纵向上可以在已实现的</w:t>
      </w:r>
      <w:r>
        <w:rPr>
          <w:rFonts w:hint="eastAsia" w:ascii="宋体" w:hAnsi="宋体" w:eastAsia="宋体" w:cs="宋体"/>
          <w:color w:val="000000"/>
          <w:sz w:val="24"/>
          <w:szCs w:val="24"/>
        </w:rPr>
        <w:t>慢性肾</w:t>
      </w:r>
      <w:r>
        <w:rPr>
          <w:rFonts w:ascii="宋体" w:hAnsi="宋体" w:eastAsia="宋体" w:cs="宋体"/>
          <w:color w:val="000000"/>
          <w:sz w:val="24"/>
          <w:szCs w:val="24"/>
        </w:rPr>
        <w:t>病</w:t>
      </w:r>
      <w:r>
        <w:rPr>
          <w:rFonts w:hint="eastAsia" w:ascii="宋体" w:hAnsi="宋体" w:eastAsia="宋体" w:cs="宋体"/>
          <w:color w:val="000000"/>
          <w:sz w:val="24"/>
          <w:szCs w:val="24"/>
        </w:rPr>
        <w:t>管理基础</w:t>
      </w:r>
      <w:r>
        <w:rPr>
          <w:rFonts w:ascii="宋体" w:hAnsi="宋体" w:eastAsia="宋体" w:cs="宋体"/>
          <w:color w:val="000000"/>
          <w:sz w:val="24"/>
          <w:szCs w:val="24"/>
        </w:rPr>
        <w:t>上，进一步延伸到</w:t>
      </w:r>
      <w:r>
        <w:rPr>
          <w:rFonts w:hint="eastAsia" w:ascii="宋体" w:hAnsi="宋体" w:eastAsia="宋体" w:cs="宋体"/>
          <w:color w:val="000000"/>
          <w:sz w:val="24"/>
          <w:szCs w:val="24"/>
        </w:rPr>
        <w:t>乳腺癌、肺癌、妇科等</w:t>
      </w:r>
      <w:r>
        <w:rPr>
          <w:rFonts w:ascii="宋体" w:hAnsi="宋体" w:eastAsia="宋体" w:cs="宋体"/>
          <w:color w:val="000000"/>
          <w:sz w:val="24"/>
          <w:szCs w:val="24"/>
        </w:rPr>
        <w:t>其他学科病种，扩展慢病管理的研究疾病。</w:t>
      </w:r>
    </w:p>
    <w:p>
      <w:pPr>
        <w:spacing w:before="0" w:after="0"/>
        <w:jc w:val="both"/>
      </w:pPr>
    </w:p>
    <w:p>
      <w:pPr>
        <w:spacing w:before="0" w:after="0"/>
        <w:jc w:val="both"/>
      </w:pPr>
      <w:r>
        <w:rPr>
          <w:rFonts w:ascii="宋体" w:hAnsi="宋体" w:eastAsia="宋体" w:cs="宋体"/>
          <w:color w:val="000000"/>
          <w:sz w:val="21"/>
        </w:rPr>
        <w:t>（一）项目功能模块如下：</w:t>
      </w:r>
    </w:p>
    <w:p>
      <w:pPr>
        <w:spacing w:before="0" w:after="0"/>
        <w:jc w:val="both"/>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73"/>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vAlign w:val="center"/>
          </w:tcPr>
          <w:p>
            <w:pPr>
              <w:spacing w:before="0" w:after="0"/>
              <w:jc w:val="center"/>
            </w:pPr>
            <w:r>
              <w:rPr>
                <w:rFonts w:ascii="宋体" w:hAnsi="宋体" w:eastAsia="宋体" w:cs="宋体"/>
                <w:color w:val="000000"/>
                <w:sz w:val="21"/>
              </w:rPr>
              <w:t>序号</w:t>
            </w:r>
          </w:p>
        </w:tc>
        <w:tc>
          <w:tcPr>
            <w:tcW w:w="3573" w:type="dxa"/>
            <w:tcMar>
              <w:top w:w="0" w:type="dxa"/>
              <w:left w:w="108" w:type="dxa"/>
              <w:bottom w:w="0" w:type="dxa"/>
              <w:right w:w="108" w:type="dxa"/>
            </w:tcMar>
            <w:vAlign w:val="center"/>
          </w:tcPr>
          <w:p>
            <w:pPr>
              <w:spacing w:before="0" w:after="0"/>
              <w:jc w:val="center"/>
            </w:pPr>
            <w:r>
              <w:rPr>
                <w:rFonts w:ascii="宋体" w:hAnsi="宋体" w:eastAsia="宋体" w:cs="宋体"/>
                <w:color w:val="000000"/>
                <w:sz w:val="21"/>
              </w:rPr>
              <w:t>系统名称</w:t>
            </w:r>
          </w:p>
        </w:tc>
        <w:tc>
          <w:tcPr>
            <w:tcW w:w="4782" w:type="dxa"/>
            <w:tcMar>
              <w:top w:w="0" w:type="dxa"/>
              <w:left w:w="108" w:type="dxa"/>
              <w:bottom w:w="0" w:type="dxa"/>
              <w:right w:w="108" w:type="dxa"/>
            </w:tcMar>
            <w:vAlign w:val="center"/>
          </w:tcPr>
          <w:p>
            <w:pPr>
              <w:spacing w:before="0" w:after="0"/>
              <w:jc w:val="center"/>
            </w:pPr>
            <w:r>
              <w:rPr>
                <w:rFonts w:ascii="宋体" w:hAnsi="宋体" w:eastAsia="宋体" w:cs="宋体"/>
                <w:color w:val="000000"/>
                <w:sz w:val="21"/>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tcPr>
          <w:p>
            <w:pPr>
              <w:spacing w:before="0" w:after="0"/>
              <w:jc w:val="center"/>
            </w:pPr>
            <w:r>
              <w:rPr>
                <w:rFonts w:ascii="'Times New Roman'" w:hAnsi="'Times New Roman'" w:eastAsia="'Times New Roman'" w:cs="'Times New Roman'"/>
                <w:color w:val="000000"/>
                <w:sz w:val="21"/>
              </w:rPr>
              <w:t>1</w:t>
            </w:r>
          </w:p>
        </w:tc>
        <w:tc>
          <w:tcPr>
            <w:tcW w:w="3573"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t>慢病院端分布式数据平台</w:t>
            </w:r>
          </w:p>
        </w:tc>
        <w:tc>
          <w:tcPr>
            <w:tcW w:w="4782"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fldChar w:fldCharType="begin"/>
            </w:r>
            <w:r>
              <w:rPr>
                <w:rFonts w:hint="eastAsia" w:ascii="宋体" w:hAnsi="宋体" w:eastAsia="宋体" w:cs="宋体"/>
                <w:color w:val="000000"/>
                <w:sz w:val="21"/>
              </w:rPr>
              <w:instrText xml:space="preserve"> HYPERLINK </w:instrText>
            </w:r>
            <w:r>
              <w:rPr>
                <w:rFonts w:hint="eastAsia" w:ascii="宋体" w:hAnsi="宋体" w:eastAsia="宋体" w:cs="宋体"/>
                <w:color w:val="000000"/>
                <w:sz w:val="21"/>
              </w:rPr>
              <w:fldChar w:fldCharType="separate"/>
            </w:r>
            <w:r>
              <w:rPr>
                <w:rFonts w:hint="eastAsia" w:ascii="宋体" w:hAnsi="宋体" w:eastAsia="宋体" w:cs="宋体"/>
                <w:color w:val="000000"/>
                <w:sz w:val="21"/>
              </w:rPr>
              <w:t>配置详见3.1、慢病院端分布式数据平台功能</w:t>
            </w:r>
            <w:r>
              <w:rPr>
                <w:rFonts w:hint="eastAsia" w:ascii="宋体" w:hAnsi="宋体" w:eastAsia="宋体" w:cs="宋体"/>
                <w:color w:val="000000"/>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tcPr>
          <w:p>
            <w:pPr>
              <w:spacing w:before="0" w:after="0"/>
              <w:jc w:val="center"/>
            </w:pPr>
            <w:r>
              <w:rPr>
                <w:rFonts w:ascii="'Times New Roman'" w:hAnsi="'Times New Roman'" w:eastAsia="'Times New Roman'" w:cs="'Times New Roman'"/>
                <w:color w:val="000000"/>
                <w:sz w:val="21"/>
              </w:rPr>
              <w:t>2</w:t>
            </w:r>
          </w:p>
        </w:tc>
        <w:tc>
          <w:tcPr>
            <w:tcW w:w="3573"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t>慢病中心端数据生产平台</w:t>
            </w:r>
          </w:p>
        </w:tc>
        <w:tc>
          <w:tcPr>
            <w:tcW w:w="4782"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fldChar w:fldCharType="begin"/>
            </w:r>
            <w:r>
              <w:rPr>
                <w:rFonts w:hint="eastAsia" w:ascii="宋体" w:hAnsi="宋体" w:eastAsia="宋体" w:cs="宋体"/>
                <w:color w:val="000000"/>
                <w:sz w:val="21"/>
              </w:rPr>
              <w:instrText xml:space="preserve"> HYPERLINK </w:instrText>
            </w:r>
            <w:r>
              <w:rPr>
                <w:rFonts w:hint="eastAsia" w:ascii="宋体" w:hAnsi="宋体" w:eastAsia="宋体" w:cs="宋体"/>
                <w:color w:val="000000"/>
                <w:sz w:val="21"/>
              </w:rPr>
              <w:fldChar w:fldCharType="separate"/>
            </w:r>
            <w:r>
              <w:rPr>
                <w:rFonts w:hint="eastAsia" w:ascii="宋体" w:hAnsi="宋体" w:eastAsia="宋体" w:cs="宋体"/>
                <w:color w:val="000000"/>
                <w:sz w:val="21"/>
              </w:rPr>
              <w:t>配置详见3.2、慢病中心端数据生产平台功能</w:t>
            </w:r>
            <w:r>
              <w:rPr>
                <w:rFonts w:hint="eastAsia" w:ascii="宋体" w:hAnsi="宋体" w:eastAsia="宋体" w:cs="宋体"/>
                <w:color w:val="000000"/>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tcPr>
          <w:p>
            <w:pPr>
              <w:spacing w:before="0" w:after="0"/>
              <w:jc w:val="center"/>
            </w:pPr>
            <w:r>
              <w:rPr>
                <w:rFonts w:ascii="'Times New Roman'" w:hAnsi="'Times New Roman'" w:eastAsia="'Times New Roman'" w:cs="'Times New Roman'"/>
                <w:color w:val="000000"/>
                <w:sz w:val="21"/>
              </w:rPr>
              <w:t>3</w:t>
            </w:r>
          </w:p>
        </w:tc>
        <w:tc>
          <w:tcPr>
            <w:tcW w:w="3573"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t>慢病多联盟临床科研平台</w:t>
            </w:r>
          </w:p>
        </w:tc>
        <w:tc>
          <w:tcPr>
            <w:tcW w:w="4782"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fldChar w:fldCharType="begin"/>
            </w:r>
            <w:r>
              <w:rPr>
                <w:rFonts w:hint="eastAsia" w:ascii="宋体" w:hAnsi="宋体" w:eastAsia="宋体" w:cs="宋体"/>
                <w:color w:val="000000"/>
                <w:sz w:val="21"/>
              </w:rPr>
              <w:instrText xml:space="preserve"> HYPERLINK </w:instrText>
            </w:r>
            <w:r>
              <w:rPr>
                <w:rFonts w:hint="eastAsia" w:ascii="宋体" w:hAnsi="宋体" w:eastAsia="宋体" w:cs="宋体"/>
                <w:color w:val="000000"/>
                <w:sz w:val="21"/>
              </w:rPr>
              <w:fldChar w:fldCharType="separate"/>
            </w:r>
            <w:r>
              <w:rPr>
                <w:rFonts w:hint="eastAsia" w:ascii="宋体" w:hAnsi="宋体" w:eastAsia="宋体" w:cs="宋体"/>
                <w:color w:val="000000"/>
                <w:sz w:val="21"/>
              </w:rPr>
              <w:t>配置详见3.3、</w:t>
            </w:r>
            <w:r>
              <w:rPr>
                <w:rFonts w:hint="eastAsia" w:ascii="宋体" w:hAnsi="宋体" w:eastAsia="宋体" w:cs="宋体"/>
                <w:color w:val="000000"/>
                <w:sz w:val="21"/>
              </w:rPr>
              <w:t>慢病多联盟临床科研平台功能</w:t>
            </w:r>
            <w:r>
              <w:rPr>
                <w:rFonts w:hint="eastAsia" w:ascii="宋体" w:hAnsi="宋体" w:eastAsia="宋体" w:cs="宋体"/>
                <w:color w:val="000000"/>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tcPr>
          <w:p>
            <w:pPr>
              <w:spacing w:before="0" w:after="0"/>
              <w:jc w:val="center"/>
              <w:rPr>
                <w:rFonts w:hint="eastAsia" w:ascii="'Times New Roman'" w:hAnsi="'Times New Roman'" w:cs="'Times New Roman'"/>
                <w:color w:val="000000"/>
                <w:sz w:val="21"/>
              </w:rPr>
            </w:pPr>
            <w:r>
              <w:rPr>
                <w:rFonts w:hint="eastAsia" w:ascii="'Times New Roman'" w:hAnsi="'Times New Roman'" w:cs="'Times New Roman'"/>
                <w:color w:val="000000"/>
                <w:sz w:val="21"/>
              </w:rPr>
              <w:t>4</w:t>
            </w:r>
          </w:p>
        </w:tc>
        <w:tc>
          <w:tcPr>
            <w:tcW w:w="3573"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t>慢病多中心数据采集和管理</w:t>
            </w:r>
          </w:p>
        </w:tc>
        <w:tc>
          <w:tcPr>
            <w:tcW w:w="4782"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fldChar w:fldCharType="begin"/>
            </w:r>
            <w:r>
              <w:rPr>
                <w:rFonts w:hint="eastAsia" w:ascii="宋体" w:hAnsi="宋体" w:eastAsia="宋体" w:cs="宋体"/>
                <w:color w:val="000000"/>
                <w:sz w:val="21"/>
              </w:rPr>
              <w:instrText xml:space="preserve"> HYPERLINK </w:instrText>
            </w:r>
            <w:r>
              <w:rPr>
                <w:rFonts w:hint="eastAsia" w:ascii="宋体" w:hAnsi="宋体" w:eastAsia="宋体" w:cs="宋体"/>
                <w:color w:val="000000"/>
                <w:sz w:val="21"/>
              </w:rPr>
              <w:fldChar w:fldCharType="separate"/>
            </w:r>
            <w:r>
              <w:rPr>
                <w:rFonts w:hint="eastAsia" w:ascii="宋体" w:hAnsi="宋体" w:eastAsia="宋体" w:cs="宋体"/>
                <w:color w:val="000000"/>
                <w:sz w:val="21"/>
              </w:rPr>
              <w:t>配置详见3.4、</w:t>
            </w:r>
            <w:r>
              <w:rPr>
                <w:rFonts w:hint="eastAsia" w:ascii="宋体" w:hAnsi="宋体" w:eastAsia="宋体" w:cs="宋体"/>
                <w:color w:val="000000"/>
                <w:sz w:val="21"/>
              </w:rPr>
              <w:t>慢病多中心数据采集和管理</w:t>
            </w:r>
            <w:r>
              <w:rPr>
                <w:rFonts w:hint="eastAsia" w:ascii="宋体" w:hAnsi="宋体" w:eastAsia="宋体" w:cs="宋体"/>
                <w:color w:val="000000"/>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top w:w="0" w:type="dxa"/>
              <w:left w:w="108" w:type="dxa"/>
              <w:bottom w:w="0" w:type="dxa"/>
              <w:right w:w="108" w:type="dxa"/>
            </w:tcMar>
          </w:tcPr>
          <w:p>
            <w:pPr>
              <w:spacing w:before="0" w:after="0"/>
              <w:jc w:val="center"/>
            </w:pPr>
            <w:r>
              <w:rPr>
                <w:rFonts w:ascii="'Times New Roman'" w:hAnsi="'Times New Roman'" w:eastAsia="'Times New Roman'" w:cs="'Times New Roman'"/>
                <w:color w:val="000000"/>
                <w:sz w:val="21"/>
              </w:rPr>
              <w:t>5</w:t>
            </w:r>
          </w:p>
        </w:tc>
        <w:tc>
          <w:tcPr>
            <w:tcW w:w="3573"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t>慢病科研数据接口服务</w:t>
            </w:r>
          </w:p>
        </w:tc>
        <w:tc>
          <w:tcPr>
            <w:tcW w:w="4782" w:type="dxa"/>
            <w:tcMar>
              <w:top w:w="0" w:type="dxa"/>
              <w:left w:w="108" w:type="dxa"/>
              <w:bottom w:w="0" w:type="dxa"/>
              <w:right w:w="108" w:type="dxa"/>
            </w:tcMar>
          </w:tcPr>
          <w:p>
            <w:pPr>
              <w:spacing w:before="0" w:after="0"/>
              <w:jc w:val="both"/>
              <w:rPr>
                <w:rFonts w:hint="eastAsia" w:ascii="宋体" w:hAnsi="宋体" w:eastAsia="宋体" w:cs="宋体"/>
                <w:color w:val="000000"/>
                <w:sz w:val="21"/>
              </w:rPr>
            </w:pPr>
            <w:r>
              <w:rPr>
                <w:rFonts w:hint="eastAsia" w:ascii="宋体" w:hAnsi="宋体" w:eastAsia="宋体" w:cs="宋体"/>
                <w:color w:val="000000"/>
                <w:sz w:val="21"/>
              </w:rPr>
              <w:fldChar w:fldCharType="begin"/>
            </w:r>
            <w:r>
              <w:rPr>
                <w:rFonts w:hint="eastAsia" w:ascii="宋体" w:hAnsi="宋体" w:eastAsia="宋体" w:cs="宋体"/>
                <w:color w:val="000000"/>
                <w:sz w:val="21"/>
              </w:rPr>
              <w:instrText xml:space="preserve"> HYPERLINK </w:instrText>
            </w:r>
            <w:r>
              <w:rPr>
                <w:rFonts w:hint="eastAsia" w:ascii="宋体" w:hAnsi="宋体" w:eastAsia="宋体" w:cs="宋体"/>
                <w:color w:val="000000"/>
                <w:sz w:val="21"/>
              </w:rPr>
              <w:fldChar w:fldCharType="separate"/>
            </w:r>
            <w:r>
              <w:rPr>
                <w:rFonts w:hint="eastAsia" w:ascii="宋体" w:hAnsi="宋体" w:eastAsia="宋体" w:cs="宋体"/>
                <w:color w:val="000000"/>
                <w:sz w:val="21"/>
              </w:rPr>
              <w:t>配置详见3.5、慢病科研数据接口服务功能</w:t>
            </w:r>
            <w:r>
              <w:rPr>
                <w:rFonts w:hint="eastAsia" w:ascii="宋体" w:hAnsi="宋体" w:eastAsia="宋体" w:cs="宋体"/>
                <w:color w:val="000000"/>
                <w:sz w:val="21"/>
              </w:rPr>
              <w:fldChar w:fldCharType="end"/>
            </w:r>
          </w:p>
        </w:tc>
      </w:tr>
    </w:tbl>
    <w:p>
      <w:pPr>
        <w:spacing w:before="0" w:after="0"/>
        <w:jc w:val="both"/>
      </w:pPr>
    </w:p>
    <w:p>
      <w:pPr>
        <w:pStyle w:val="2"/>
      </w:pPr>
      <w:r>
        <w:rPr>
          <w:rFonts w:ascii="宋体" w:hAnsi="宋体" w:eastAsia="宋体" w:cs="宋体"/>
          <w:color w:val="000000"/>
          <w:sz w:val="32"/>
        </w:rPr>
        <w:t>三.系统详细功能描述</w:t>
      </w:r>
    </w:p>
    <w:p>
      <w:pPr>
        <w:pStyle w:val="3"/>
      </w:pPr>
      <w:r>
        <w:rPr>
          <w:rFonts w:ascii="宋体" w:hAnsi="宋体" w:eastAsia="宋体" w:cs="宋体"/>
          <w:color w:val="000000"/>
          <w:sz w:val="24"/>
        </w:rPr>
        <w:t>3.1</w:t>
      </w:r>
      <w:r>
        <w:rPr>
          <w:rFonts w:hint="eastAsia" w:ascii="宋体" w:hAnsi="宋体" w:eastAsia="宋体" w:cs="宋体"/>
          <w:color w:val="000000"/>
          <w:sz w:val="24"/>
        </w:rPr>
        <w:t>慢病院端分布式数据平台</w:t>
      </w:r>
      <w:r>
        <w:rPr>
          <w:rFonts w:ascii="宋体" w:hAnsi="宋体" w:eastAsia="宋体" w:cs="宋体"/>
          <w:color w:val="000000"/>
          <w:sz w:val="24"/>
        </w:rPr>
        <w:t>功能</w:t>
      </w:r>
    </w:p>
    <w:p>
      <w:pPr>
        <w:pStyle w:val="4"/>
        <w:rPr>
          <w:rFonts w:ascii="宋体" w:hAnsi="宋体" w:eastAsia="宋体" w:cs="宋体"/>
          <w:color w:val="000000"/>
          <w:sz w:val="24"/>
        </w:rPr>
      </w:pPr>
      <w:bookmarkStart w:id="0" w:name="_Hlk98094586"/>
      <w:r>
        <w:rPr>
          <w:rFonts w:ascii="宋体" w:hAnsi="宋体" w:eastAsia="宋体" w:cs="宋体"/>
          <w:color w:val="000000"/>
          <w:sz w:val="24"/>
        </w:rPr>
        <w:t>3.1.1功能列表</w:t>
      </w:r>
    </w:p>
    <w:tbl>
      <w:tblPr>
        <w:tblStyle w:val="12"/>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0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19"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系统名称</w:t>
            </w:r>
          </w:p>
        </w:tc>
        <w:tc>
          <w:tcPr>
            <w:tcW w:w="1701"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功能模块</w:t>
            </w:r>
          </w:p>
        </w:tc>
        <w:tc>
          <w:tcPr>
            <w:tcW w:w="5387"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9" w:type="dxa"/>
            <w:vMerge w:val="restart"/>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慢病院端分布式数据平台</w:t>
            </w:r>
          </w:p>
        </w:tc>
        <w:tc>
          <w:tcPr>
            <w:tcW w:w="1701"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1、慢性病数据生产管理平台</w:t>
            </w:r>
          </w:p>
        </w:tc>
        <w:tc>
          <w:tcPr>
            <w:tcW w:w="5387"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通过统一的模型管理、数据转模服务、数据采集服务、统一任务调度以及灵活的项目管理、系统管理，灵活支撑数据应用的标准化、流程化、高效灵活的数据开发场景。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19" w:type="dxa"/>
            <w:vMerge w:val="continue"/>
            <w:vAlign w:val="center"/>
          </w:tcPr>
          <w:p>
            <w:pPr>
              <w:widowControl/>
              <w:spacing w:line="360" w:lineRule="auto"/>
              <w:rPr>
                <w:rFonts w:hint="eastAsia" w:ascii="宋体" w:hAnsi="宋体" w:eastAsia="宋体" w:cs="宋体"/>
                <w:color w:val="000000"/>
                <w:kern w:val="0"/>
                <w:sz w:val="20"/>
                <w:szCs w:val="20"/>
              </w:rPr>
            </w:pPr>
          </w:p>
        </w:tc>
        <w:tc>
          <w:tcPr>
            <w:tcW w:w="1701"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2、院端权限与系统管理</w:t>
            </w:r>
          </w:p>
        </w:tc>
        <w:tc>
          <w:tcPr>
            <w:tcW w:w="5387"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提供用户管理、数据权限管理、数据日志管理等安全措施。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9" w:type="dxa"/>
            <w:vMerge w:val="continue"/>
            <w:vAlign w:val="center"/>
          </w:tcPr>
          <w:p>
            <w:pPr>
              <w:widowControl/>
              <w:spacing w:line="360" w:lineRule="auto"/>
              <w:rPr>
                <w:rFonts w:hint="eastAsia" w:ascii="宋体" w:hAnsi="宋体" w:eastAsia="宋体" w:cs="宋体"/>
                <w:color w:val="000000"/>
                <w:kern w:val="0"/>
                <w:sz w:val="20"/>
                <w:szCs w:val="20"/>
              </w:rPr>
            </w:pPr>
          </w:p>
        </w:tc>
        <w:tc>
          <w:tcPr>
            <w:tcW w:w="1701"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3、院端运维管理</w:t>
            </w:r>
          </w:p>
        </w:tc>
        <w:tc>
          <w:tcPr>
            <w:tcW w:w="5387"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支持对服务器、系统、网络等软硬件的全面监控，确保平台平稳健康运行，提供良好的服务。</w:t>
            </w:r>
          </w:p>
        </w:tc>
      </w:tr>
      <w:bookmarkEnd w:id="0"/>
    </w:tbl>
    <w:p>
      <w:pPr>
        <w:spacing w:before="0" w:after="0"/>
        <w:jc w:val="both"/>
      </w:pPr>
    </w:p>
    <w:p>
      <w:pPr>
        <w:spacing w:before="0" w:after="0"/>
        <w:jc w:val="both"/>
      </w:pPr>
    </w:p>
    <w:p>
      <w:pPr>
        <w:pStyle w:val="4"/>
      </w:pPr>
      <w:r>
        <w:rPr>
          <w:rFonts w:ascii="宋体" w:hAnsi="宋体" w:eastAsia="宋体" w:cs="宋体"/>
          <w:color w:val="000000"/>
          <w:sz w:val="24"/>
        </w:rPr>
        <w:t>3.1.2技术要求</w:t>
      </w:r>
      <w:r>
        <w:rPr>
          <w:rFonts w:hint="eastAsia" w:ascii="宋体" w:hAnsi="宋体" w:eastAsia="宋体" w:cs="宋体"/>
          <w:color w:val="000000"/>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794"/>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序号</w:t>
            </w:r>
          </w:p>
        </w:tc>
        <w:tc>
          <w:tcPr>
            <w:tcW w:w="1794"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技术要求</w:t>
            </w:r>
          </w:p>
        </w:tc>
        <w:tc>
          <w:tcPr>
            <w:tcW w:w="6586"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1</w:t>
            </w:r>
          </w:p>
        </w:tc>
        <w:tc>
          <w:tcPr>
            <w:tcW w:w="1794" w:type="dxa"/>
            <w:tcMar>
              <w:top w:w="0" w:type="dxa"/>
              <w:left w:w="108" w:type="dxa"/>
              <w:bottom w:w="0" w:type="dxa"/>
              <w:right w:w="108" w:type="dxa"/>
            </w:tcMar>
          </w:tcPr>
          <w:p>
            <w:pPr>
              <w:spacing w:before="0" w:after="0"/>
              <w:jc w:val="both"/>
            </w:pPr>
            <w:r>
              <w:rPr>
                <w:rFonts w:ascii="宋体" w:hAnsi="宋体" w:eastAsia="宋体" w:cs="宋体"/>
                <w:b/>
                <w:color w:val="000000"/>
                <w:sz w:val="21"/>
              </w:rPr>
              <w:t>数据存储架构</w:t>
            </w:r>
          </w:p>
        </w:tc>
        <w:tc>
          <w:tcPr>
            <w:tcW w:w="6586" w:type="dxa"/>
            <w:tcMar>
              <w:top w:w="0" w:type="dxa"/>
              <w:left w:w="108" w:type="dxa"/>
              <w:bottom w:w="0" w:type="dxa"/>
              <w:right w:w="108" w:type="dxa"/>
            </w:tcMar>
          </w:tcPr>
          <w:p>
            <w:pPr>
              <w:spacing w:before="0" w:after="0"/>
            </w:pPr>
            <w:r>
              <w:rPr>
                <w:rFonts w:ascii="宋体" w:hAnsi="宋体" w:eastAsia="宋体" w:cs="宋体"/>
                <w:color w:val="000000"/>
                <w:sz w:val="21"/>
              </w:rPr>
              <w:t>整个系统需要基于分布式的数据存储架构</w:t>
            </w:r>
          </w:p>
          <w:p>
            <w:pPr>
              <w:spacing w:before="0" w:after="120"/>
              <w:jc w:val="both"/>
            </w:pPr>
            <w:r>
              <w:rPr>
                <w:rFonts w:ascii="宋体" w:hAnsi="宋体" w:eastAsia="宋体" w:cs="宋体"/>
                <w:color w:val="000000"/>
                <w:sz w:val="21"/>
              </w:rPr>
              <w:t>1）实现分布式的数据存储可用性和可扩展性：</w:t>
            </w:r>
          </w:p>
          <w:p>
            <w:pPr>
              <w:spacing w:before="0" w:after="120"/>
              <w:jc w:val="both"/>
            </w:pPr>
            <w:r>
              <w:rPr>
                <w:rFonts w:ascii="宋体" w:hAnsi="宋体" w:eastAsia="宋体" w:cs="宋体"/>
                <w:color w:val="000000"/>
                <w:sz w:val="21"/>
              </w:rPr>
              <w:t>2）数据的存储规模，支持研究期内历史所有临床相关的数据以及未来</w:t>
            </w:r>
            <w:r>
              <w:rPr>
                <w:rFonts w:hint="eastAsia" w:ascii="宋体" w:hAnsi="宋体" w:eastAsia="宋体" w:cs="宋体"/>
                <w:color w:val="000000"/>
                <w:sz w:val="21"/>
              </w:rPr>
              <w:t>1</w:t>
            </w:r>
            <w:r>
              <w:rPr>
                <w:rFonts w:ascii="宋体" w:hAnsi="宋体" w:eastAsia="宋体" w:cs="宋体"/>
                <w:color w:val="000000"/>
                <w:sz w:val="21"/>
              </w:rPr>
              <w:t>0年数据的存储，并且支持多节点的备份；</w:t>
            </w:r>
          </w:p>
          <w:p>
            <w:pPr>
              <w:spacing w:before="0" w:after="120"/>
              <w:jc w:val="both"/>
            </w:pPr>
            <w:r>
              <w:rPr>
                <w:rFonts w:ascii="宋体" w:hAnsi="宋体" w:eastAsia="宋体" w:cs="宋体"/>
                <w:color w:val="000000"/>
                <w:sz w:val="21"/>
              </w:rPr>
              <w:t>3）信息平台具备数据备份功能，数据备份平台提供多种数据恢复方式，便于数据的恢复以及恢复演练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2</w:t>
            </w:r>
          </w:p>
        </w:tc>
        <w:tc>
          <w:tcPr>
            <w:tcW w:w="1794" w:type="dxa"/>
            <w:tcMar>
              <w:top w:w="0" w:type="dxa"/>
              <w:left w:w="108" w:type="dxa"/>
              <w:bottom w:w="0" w:type="dxa"/>
              <w:right w:w="108" w:type="dxa"/>
            </w:tcMar>
          </w:tcPr>
          <w:p>
            <w:pPr>
              <w:spacing w:before="0" w:after="0"/>
            </w:pPr>
            <w:r>
              <w:rPr>
                <w:rFonts w:ascii="宋体" w:hAnsi="宋体" w:eastAsia="宋体" w:cs="宋体"/>
                <w:b/>
                <w:color w:val="000000"/>
                <w:sz w:val="21"/>
              </w:rPr>
              <w:t>分布式计算技术</w:t>
            </w:r>
          </w:p>
        </w:tc>
        <w:tc>
          <w:tcPr>
            <w:tcW w:w="6586" w:type="dxa"/>
            <w:tcMar>
              <w:top w:w="0" w:type="dxa"/>
              <w:left w:w="108" w:type="dxa"/>
              <w:bottom w:w="0" w:type="dxa"/>
              <w:right w:w="108" w:type="dxa"/>
            </w:tcMar>
          </w:tcPr>
          <w:p>
            <w:pPr>
              <w:spacing w:before="0" w:after="0"/>
            </w:pPr>
            <w:r>
              <w:rPr>
                <w:rFonts w:ascii="宋体" w:hAnsi="宋体" w:eastAsia="宋体" w:cs="宋体"/>
                <w:color w:val="000000"/>
                <w:sz w:val="21"/>
              </w:rPr>
              <w:t>系统使用大数据的核心计算引擎</w:t>
            </w:r>
          </w:p>
          <w:p>
            <w:pPr>
              <w:spacing w:before="0" w:after="0"/>
            </w:pPr>
            <w:r>
              <w:rPr>
                <w:rFonts w:ascii="'Times New Roman'" w:hAnsi="'Times New Roman'" w:eastAsia="'Times New Roman'" w:cs="'Times New Roman'"/>
                <w:color w:val="000000"/>
                <w:sz w:val="21"/>
              </w:rPr>
              <w:t>1）</w:t>
            </w:r>
            <w:r>
              <w:rPr>
                <w:rFonts w:ascii="宋体" w:hAnsi="宋体" w:eastAsia="宋体" w:cs="宋体"/>
                <w:color w:val="000000"/>
                <w:sz w:val="21"/>
              </w:rPr>
              <w:t>基于</w:t>
            </w:r>
            <w:r>
              <w:rPr>
                <w:rFonts w:ascii="Times New Roman" w:hAnsi="Times New Roman" w:eastAsia="Times New Roman" w:cs="Times New Roman"/>
                <w:color w:val="000000"/>
                <w:sz w:val="21"/>
              </w:rPr>
              <w:t>HDFS</w:t>
            </w:r>
            <w:r>
              <w:rPr>
                <w:rFonts w:ascii="宋体" w:hAnsi="宋体" w:eastAsia="宋体" w:cs="宋体"/>
                <w:color w:val="000000"/>
                <w:sz w:val="21"/>
              </w:rPr>
              <w:t>的文件和</w:t>
            </w:r>
            <w:r>
              <w:rPr>
                <w:rFonts w:ascii="Times New Roman" w:hAnsi="Times New Roman" w:eastAsia="Times New Roman" w:cs="Times New Roman"/>
                <w:color w:val="000000"/>
                <w:sz w:val="21"/>
              </w:rPr>
              <w:t>Hive</w:t>
            </w:r>
            <w:r>
              <w:rPr>
                <w:rFonts w:ascii="宋体" w:hAnsi="宋体" w:eastAsia="宋体" w:cs="宋体"/>
                <w:color w:val="000000"/>
                <w:sz w:val="21"/>
              </w:rPr>
              <w:t>的数据表，提供</w:t>
            </w:r>
            <w:r>
              <w:rPr>
                <w:rFonts w:ascii="Times New Roman" w:hAnsi="Times New Roman" w:eastAsia="Times New Roman" w:cs="Times New Roman"/>
                <w:color w:val="000000"/>
                <w:sz w:val="21"/>
              </w:rPr>
              <w:t>TB</w:t>
            </w:r>
            <w:r>
              <w:rPr>
                <w:rFonts w:ascii="宋体" w:hAnsi="宋体" w:eastAsia="宋体" w:cs="宋体"/>
                <w:color w:val="000000"/>
                <w:sz w:val="21"/>
              </w:rPr>
              <w:t>甚至</w:t>
            </w:r>
            <w:r>
              <w:rPr>
                <w:rFonts w:ascii="Times New Roman" w:hAnsi="Times New Roman" w:eastAsia="Times New Roman" w:cs="Times New Roman"/>
                <w:color w:val="000000"/>
                <w:sz w:val="21"/>
              </w:rPr>
              <w:t>PB</w:t>
            </w:r>
            <w:r>
              <w:rPr>
                <w:rFonts w:ascii="宋体" w:hAnsi="宋体" w:eastAsia="宋体" w:cs="宋体"/>
                <w:color w:val="000000"/>
                <w:sz w:val="21"/>
              </w:rPr>
              <w:t>级别的数据分析和计算</w:t>
            </w:r>
          </w:p>
          <w:p>
            <w:pPr>
              <w:spacing w:before="0" w:after="0"/>
            </w:pPr>
            <w:r>
              <w:rPr>
                <w:rFonts w:ascii="'Times New Roman'" w:hAnsi="'Times New Roman'" w:eastAsia="'Times New Roman'" w:cs="'Times New Roman'"/>
                <w:color w:val="000000"/>
                <w:sz w:val="21"/>
              </w:rPr>
              <w:t>2）</w:t>
            </w:r>
            <w:r>
              <w:rPr>
                <w:rFonts w:ascii="宋体" w:hAnsi="宋体" w:eastAsia="宋体" w:cs="宋体"/>
                <w:color w:val="000000"/>
                <w:sz w:val="21"/>
              </w:rPr>
              <w:t>支持交互式计算和复杂算法</w:t>
            </w:r>
          </w:p>
          <w:p>
            <w:pPr>
              <w:spacing w:before="0" w:after="0"/>
            </w:pPr>
            <w:r>
              <w:rPr>
                <w:rFonts w:ascii="宋体" w:hAnsi="宋体" w:eastAsia="宋体" w:cs="宋体"/>
                <w:color w:val="000000"/>
                <w:sz w:val="21"/>
              </w:rPr>
              <w:t>3）支持多种资源管理器：如</w:t>
            </w:r>
            <w:r>
              <w:rPr>
                <w:rFonts w:ascii="'Times New Roman'" w:hAnsi="'Times New Roman'" w:eastAsia="'Times New Roman'" w:cs="'Times New Roman'"/>
                <w:color w:val="000000"/>
                <w:sz w:val="21"/>
              </w:rPr>
              <w:t>YARN</w:t>
            </w:r>
            <w:r>
              <w:rPr>
                <w:rFonts w:ascii="宋体" w:hAnsi="宋体" w:eastAsia="宋体" w:cs="宋体"/>
                <w:color w:val="000000"/>
                <w:sz w:val="21"/>
              </w:rPr>
              <w:t>，</w:t>
            </w:r>
            <w:r>
              <w:rPr>
                <w:rFonts w:ascii="Times New Roman" w:hAnsi="Times New Roman" w:eastAsia="Times New Roman" w:cs="Times New Roman"/>
                <w:color w:val="000000"/>
                <w:sz w:val="21"/>
              </w:rPr>
              <w:t>Kubernetes</w:t>
            </w:r>
            <w:r>
              <w:rPr>
                <w:rFonts w:ascii="宋体" w:hAnsi="宋体" w:eastAsia="宋体" w:cs="宋体"/>
                <w:color w:val="000000"/>
                <w:sz w:val="21"/>
              </w:rPr>
              <w:t>等</w:t>
            </w:r>
          </w:p>
          <w:p>
            <w:pPr>
              <w:spacing w:before="0" w:after="120"/>
              <w:jc w:val="both"/>
            </w:pPr>
            <w:r>
              <w:rPr>
                <w:rFonts w:ascii="'Times New Roman'" w:hAnsi="'Times New Roman'" w:eastAsia="'Times New Roman'" w:cs="'Times New Roman'"/>
                <w:color w:val="000000"/>
                <w:sz w:val="21"/>
              </w:rPr>
              <w:t>4</w:t>
            </w:r>
            <w:r>
              <w:rPr>
                <w:rFonts w:ascii="宋体" w:hAnsi="宋体" w:eastAsia="宋体" w:cs="宋体"/>
                <w:color w:val="000000"/>
                <w:sz w:val="21"/>
              </w:rPr>
              <w:t>）大数据平台架构采用微服务和容器架构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3</w:t>
            </w:r>
          </w:p>
        </w:tc>
        <w:tc>
          <w:tcPr>
            <w:tcW w:w="1794" w:type="dxa"/>
            <w:tcMar>
              <w:top w:w="0" w:type="dxa"/>
              <w:left w:w="108" w:type="dxa"/>
              <w:bottom w:w="0" w:type="dxa"/>
              <w:right w:w="108" w:type="dxa"/>
            </w:tcMar>
          </w:tcPr>
          <w:p>
            <w:pPr>
              <w:spacing w:before="0" w:after="0"/>
            </w:pPr>
            <w:r>
              <w:rPr>
                <w:rFonts w:ascii="宋体" w:hAnsi="宋体" w:eastAsia="宋体" w:cs="宋体"/>
                <w:b/>
                <w:color w:val="000000"/>
                <w:sz w:val="21"/>
              </w:rPr>
              <w:t>全自动化数据生产</w:t>
            </w:r>
          </w:p>
        </w:tc>
        <w:tc>
          <w:tcPr>
            <w:tcW w:w="6586" w:type="dxa"/>
            <w:tcMar>
              <w:top w:w="0" w:type="dxa"/>
              <w:left w:w="108" w:type="dxa"/>
              <w:bottom w:w="0" w:type="dxa"/>
              <w:right w:w="108" w:type="dxa"/>
            </w:tcMar>
          </w:tcPr>
          <w:p>
            <w:pPr>
              <w:spacing w:before="0" w:after="0"/>
            </w:pPr>
            <w:r>
              <w:rPr>
                <w:rFonts w:ascii="宋体" w:hAnsi="宋体" w:eastAsia="宋体" w:cs="宋体"/>
                <w:color w:val="000000"/>
                <w:sz w:val="21"/>
              </w:rPr>
              <w:t>实现医疗大数据自动采集服务平台</w:t>
            </w:r>
          </w:p>
          <w:p>
            <w:pPr>
              <w:spacing w:before="0" w:after="120"/>
              <w:jc w:val="both"/>
            </w:pPr>
            <w:r>
              <w:rPr>
                <w:rFonts w:ascii="宋体" w:hAnsi="宋体" w:eastAsia="宋体" w:cs="宋体"/>
                <w:color w:val="000000"/>
                <w:sz w:val="21"/>
              </w:rPr>
              <w:t>1）采集主要分为全量历史数据采集流程和增量数据采集流程，使用统一数据生产管理系统；</w:t>
            </w:r>
          </w:p>
          <w:p>
            <w:pPr>
              <w:spacing w:before="0" w:after="120"/>
              <w:jc w:val="both"/>
            </w:pPr>
            <w:r>
              <w:rPr>
                <w:rFonts w:ascii="宋体" w:hAnsi="宋体" w:eastAsia="宋体" w:cs="宋体"/>
                <w:color w:val="000000"/>
                <w:sz w:val="21"/>
              </w:rPr>
              <w:t>2）数据采集、转模、清洗实现全自动处理，并有流程管控方便数据生产人员管理数据生产过程；</w:t>
            </w:r>
          </w:p>
          <w:p>
            <w:pPr>
              <w:spacing w:before="0" w:after="120"/>
              <w:jc w:val="both"/>
            </w:pPr>
            <w:r>
              <w:rPr>
                <w:rFonts w:ascii="宋体" w:hAnsi="宋体" w:eastAsia="宋体" w:cs="宋体"/>
                <w:color w:val="000000"/>
                <w:sz w:val="21"/>
              </w:rPr>
              <w:t>3）采用数据同步（</w:t>
            </w:r>
            <w:r>
              <w:rPr>
                <w:rFonts w:ascii="Times New Roman" w:hAnsi="Times New Roman" w:eastAsia="Times New Roman" w:cs="Times New Roman"/>
                <w:color w:val="000000"/>
                <w:sz w:val="21"/>
              </w:rPr>
              <w:t>OGG\CDC</w:t>
            </w:r>
            <w:r>
              <w:rPr>
                <w:rFonts w:ascii="宋体" w:hAnsi="宋体" w:eastAsia="宋体" w:cs="宋体"/>
                <w:color w:val="000000"/>
                <w:sz w:val="21"/>
              </w:rPr>
              <w:t>等）、备份和数据</w:t>
            </w:r>
            <w:r>
              <w:rPr>
                <w:rFonts w:ascii="Times New Roman" w:hAnsi="Times New Roman" w:eastAsia="Times New Roman" w:cs="Times New Roman"/>
                <w:color w:val="000000"/>
                <w:sz w:val="21"/>
              </w:rPr>
              <w:t>ETL</w:t>
            </w:r>
            <w:r>
              <w:rPr>
                <w:rFonts w:ascii="宋体" w:hAnsi="宋体" w:eastAsia="宋体" w:cs="宋体"/>
                <w:color w:val="000000"/>
                <w:sz w:val="21"/>
              </w:rPr>
              <w:t>技术，使用开放数据集成标准化流程，实现全业务数据的自动汇聚持续更新，完成不同数据源模型的统一转化；</w:t>
            </w:r>
          </w:p>
          <w:p>
            <w:pPr>
              <w:spacing w:before="0" w:after="120"/>
              <w:jc w:val="both"/>
            </w:pPr>
            <w:r>
              <w:rPr>
                <w:rFonts w:ascii="宋体" w:hAnsi="宋体" w:eastAsia="宋体" w:cs="宋体"/>
                <w:color w:val="000000"/>
                <w:sz w:val="21"/>
              </w:rPr>
              <w:t>4）平台覆盖患者全周期全维度数据，进行多模态智能化数据处理。无缝集成辖区内各医疗机构、各信息化系统，统一逻辑处理各种不同数据源；</w:t>
            </w:r>
          </w:p>
          <w:p>
            <w:pPr>
              <w:spacing w:before="0" w:after="120"/>
              <w:jc w:val="both"/>
            </w:pPr>
            <w:r>
              <w:rPr>
                <w:rFonts w:ascii="宋体" w:hAnsi="宋体" w:eastAsia="宋体" w:cs="宋体"/>
                <w:color w:val="000000"/>
                <w:sz w:val="21"/>
              </w:rPr>
              <w:t>5）数据源配置功能，具备多种数据源的配置、支持数据库连通性测试；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4</w:t>
            </w:r>
          </w:p>
        </w:tc>
        <w:tc>
          <w:tcPr>
            <w:tcW w:w="1794" w:type="dxa"/>
            <w:tcMar>
              <w:top w:w="0" w:type="dxa"/>
              <w:left w:w="108" w:type="dxa"/>
              <w:bottom w:w="0" w:type="dxa"/>
              <w:right w:w="108" w:type="dxa"/>
            </w:tcMar>
          </w:tcPr>
          <w:p>
            <w:pPr>
              <w:spacing w:before="0" w:after="0"/>
            </w:pPr>
            <w:r>
              <w:rPr>
                <w:rFonts w:ascii="宋体" w:hAnsi="宋体" w:eastAsia="宋体" w:cs="宋体"/>
                <w:b/>
                <w:color w:val="000000"/>
                <w:sz w:val="21"/>
              </w:rPr>
              <w:t>数据质控</w:t>
            </w:r>
          </w:p>
        </w:tc>
        <w:tc>
          <w:tcPr>
            <w:tcW w:w="6586" w:type="dxa"/>
            <w:tcMar>
              <w:top w:w="0" w:type="dxa"/>
              <w:left w:w="108" w:type="dxa"/>
              <w:bottom w:w="0" w:type="dxa"/>
              <w:right w:w="108" w:type="dxa"/>
            </w:tcMar>
          </w:tcPr>
          <w:p>
            <w:pPr>
              <w:spacing w:before="0" w:after="0"/>
            </w:pPr>
            <w:r>
              <w:rPr>
                <w:rFonts w:ascii="宋体" w:hAnsi="宋体" w:eastAsia="宋体" w:cs="宋体"/>
                <w:color w:val="000000"/>
                <w:sz w:val="21"/>
              </w:rPr>
              <w:t>系统可实现自动化质控，确保数据一致性、准确性</w:t>
            </w:r>
          </w:p>
          <w:p>
            <w:pPr>
              <w:spacing w:before="0" w:after="120"/>
              <w:jc w:val="both"/>
            </w:pPr>
            <w:r>
              <w:rPr>
                <w:rFonts w:ascii="宋体" w:hAnsi="宋体" w:eastAsia="宋体" w:cs="宋体"/>
                <w:color w:val="000000"/>
                <w:sz w:val="21"/>
              </w:rPr>
              <w:t>1）平台具备自动化质控体系，开放数据质检能力，使医疗机构可自定义数据质控规则，支持对数据自动识别及人工核查校正。</w:t>
            </w:r>
          </w:p>
          <w:p>
            <w:pPr>
              <w:spacing w:before="0" w:after="120"/>
              <w:jc w:val="both"/>
            </w:pPr>
            <w:r>
              <w:rPr>
                <w:rFonts w:ascii="宋体" w:hAnsi="宋体" w:eastAsia="宋体" w:cs="宋体"/>
                <w:color w:val="000000"/>
                <w:sz w:val="21"/>
              </w:rPr>
              <w:t>2）系统实现全流程质控，支持以下质控指标：完整性、规范性、有效性、准确性、唯一性、关联性、分布性；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5</w:t>
            </w:r>
          </w:p>
        </w:tc>
        <w:tc>
          <w:tcPr>
            <w:tcW w:w="1794" w:type="dxa"/>
            <w:tcMar>
              <w:top w:w="0" w:type="dxa"/>
              <w:left w:w="108" w:type="dxa"/>
              <w:bottom w:w="0" w:type="dxa"/>
              <w:right w:w="108" w:type="dxa"/>
            </w:tcMar>
          </w:tcPr>
          <w:p>
            <w:pPr>
              <w:spacing w:before="0" w:after="0"/>
            </w:pPr>
            <w:r>
              <w:rPr>
                <w:rFonts w:ascii="宋体" w:hAnsi="宋体" w:eastAsia="宋体" w:cs="宋体"/>
                <w:b/>
                <w:color w:val="000000"/>
                <w:sz w:val="21"/>
              </w:rPr>
              <w:t>数据安全性</w:t>
            </w:r>
          </w:p>
        </w:tc>
        <w:tc>
          <w:tcPr>
            <w:tcW w:w="6586" w:type="dxa"/>
            <w:tcMar>
              <w:top w:w="0" w:type="dxa"/>
              <w:left w:w="108" w:type="dxa"/>
              <w:bottom w:w="0" w:type="dxa"/>
              <w:right w:w="108" w:type="dxa"/>
            </w:tcMar>
          </w:tcPr>
          <w:p>
            <w:pPr>
              <w:spacing w:before="0" w:after="120"/>
              <w:ind w:firstLine="210" w:firstLineChars="100"/>
              <w:jc w:val="both"/>
            </w:pPr>
            <w:r>
              <w:rPr>
                <w:rFonts w:ascii="宋体" w:hAnsi="宋体" w:eastAsia="宋体" w:cs="宋体"/>
                <w:color w:val="000000"/>
                <w:sz w:val="21"/>
              </w:rPr>
              <w:t>系统安全防护技术架构根据等级保护2.0三级要求，此外还包括：</w:t>
            </w:r>
          </w:p>
          <w:p>
            <w:pPr>
              <w:spacing w:before="0" w:after="120"/>
              <w:jc w:val="both"/>
            </w:pPr>
            <w:r>
              <w:rPr>
                <w:rFonts w:ascii="宋体" w:hAnsi="宋体" w:eastAsia="宋体" w:cs="宋体"/>
                <w:color w:val="000000"/>
                <w:sz w:val="21"/>
              </w:rPr>
              <w:t>1）实现数据全生命周期安全</w:t>
            </w:r>
          </w:p>
          <w:p>
            <w:pPr>
              <w:spacing w:before="0" w:after="120"/>
              <w:ind w:firstLine="210" w:firstLineChars="100"/>
              <w:jc w:val="both"/>
            </w:pPr>
            <w:r>
              <w:rPr>
                <w:rFonts w:ascii="宋体" w:hAnsi="宋体" w:eastAsia="宋体" w:cs="宋体"/>
                <w:color w:val="000000"/>
                <w:sz w:val="21"/>
              </w:rPr>
              <w:t xml:space="preserve">根据《数据安全能力成熟度模型》 </w:t>
            </w:r>
            <w:r>
              <w:rPr>
                <w:rFonts w:ascii="Times New Roman" w:hAnsi="Times New Roman" w:eastAsia="Times New Roman" w:cs="Times New Roman"/>
                <w:color w:val="000000"/>
                <w:sz w:val="21"/>
              </w:rPr>
              <w:t>(GBT 37988-2019)</w:t>
            </w:r>
            <w:r>
              <w:rPr>
                <w:rFonts w:ascii="宋体" w:hAnsi="宋体" w:eastAsia="宋体" w:cs="宋体"/>
                <w:color w:val="000000"/>
                <w:sz w:val="21"/>
              </w:rPr>
              <w:t>构建全生命周期数据安全防护体系，重点对数据的归集、存储、应用和共享过程构建充分的安全控制。</w:t>
            </w:r>
          </w:p>
          <w:p>
            <w:pPr>
              <w:spacing w:before="0" w:after="120"/>
              <w:jc w:val="both"/>
            </w:pPr>
            <w:r>
              <w:rPr>
                <w:rFonts w:ascii="宋体" w:hAnsi="宋体" w:eastAsia="宋体" w:cs="宋体"/>
                <w:color w:val="000000"/>
                <w:sz w:val="21"/>
              </w:rPr>
              <w:t>2）平台需构建数据隐私保护体系，开放隐私保护能力，使医疗机构可自定义数据隐私规则，支持自定义规则实现数据隐私保护。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7</w:t>
            </w:r>
          </w:p>
        </w:tc>
        <w:tc>
          <w:tcPr>
            <w:tcW w:w="1794" w:type="dxa"/>
            <w:tcMar>
              <w:top w:w="0" w:type="dxa"/>
              <w:left w:w="108" w:type="dxa"/>
              <w:bottom w:w="0" w:type="dxa"/>
              <w:right w:w="108" w:type="dxa"/>
            </w:tcMar>
          </w:tcPr>
          <w:p>
            <w:pPr>
              <w:spacing w:before="0" w:after="0"/>
            </w:pPr>
            <w:r>
              <w:rPr>
                <w:rFonts w:ascii="宋体" w:hAnsi="宋体" w:eastAsia="宋体" w:cs="宋体"/>
                <w:b/>
                <w:color w:val="000000"/>
                <w:sz w:val="21"/>
              </w:rPr>
              <w:t>数据处理技术</w:t>
            </w:r>
          </w:p>
        </w:tc>
        <w:tc>
          <w:tcPr>
            <w:tcW w:w="6586" w:type="dxa"/>
            <w:tcMar>
              <w:top w:w="0" w:type="dxa"/>
              <w:left w:w="108" w:type="dxa"/>
              <w:bottom w:w="0" w:type="dxa"/>
              <w:right w:w="108" w:type="dxa"/>
            </w:tcMar>
          </w:tcPr>
          <w:p>
            <w:pPr>
              <w:spacing w:before="0" w:after="0"/>
              <w:ind w:firstLine="2"/>
              <w:jc w:val="both"/>
            </w:pPr>
            <w:r>
              <w:rPr>
                <w:rFonts w:ascii="宋体" w:hAnsi="宋体" w:eastAsia="宋体" w:cs="宋体"/>
                <w:color w:val="000000"/>
                <w:sz w:val="21"/>
              </w:rPr>
              <w:t>1）在数据处理阶段使用多源异构数据处理技术</w:t>
            </w:r>
          </w:p>
          <w:p>
            <w:pPr>
              <w:spacing w:before="0" w:after="0"/>
              <w:ind w:firstLine="2"/>
              <w:jc w:val="both"/>
            </w:pPr>
            <w:r>
              <w:rPr>
                <w:rFonts w:ascii="宋体" w:hAnsi="宋体" w:eastAsia="宋体" w:cs="宋体"/>
                <w:color w:val="000000"/>
                <w:sz w:val="21"/>
              </w:rPr>
              <w:t>2）通过智能的运算模型及不同的数据元标准，对数据进行清洗加工，并实现数据整合。数据整合分为患者维度、就诊维度、医嘱维度</w:t>
            </w:r>
            <w:r>
              <w:rPr>
                <w:rFonts w:hint="eastAsia" w:ascii="宋体" w:hAnsi="宋体" w:eastAsia="宋体" w:cs="宋体"/>
                <w:color w:val="000000"/>
                <w:sz w:val="21"/>
              </w:rPr>
              <w:t>，或符合医院最后整合的需求</w:t>
            </w:r>
            <w:r>
              <w:rPr>
                <w:rFonts w:ascii="宋体" w:hAnsi="宋体" w:eastAsia="宋体" w:cs="宋体"/>
                <w:color w:val="000000"/>
                <w:sz w:val="21"/>
              </w:rPr>
              <w:t>。</w:t>
            </w:r>
          </w:p>
        </w:tc>
      </w:tr>
    </w:tbl>
    <w:p>
      <w:pPr>
        <w:spacing w:before="0" w:after="0"/>
        <w:jc w:val="both"/>
      </w:pPr>
    </w:p>
    <w:p>
      <w:pPr>
        <w:pStyle w:val="3"/>
      </w:pPr>
      <w:r>
        <w:rPr>
          <w:rFonts w:ascii="宋体" w:hAnsi="宋体" w:eastAsia="宋体" w:cs="宋体"/>
          <w:color w:val="000000"/>
          <w:sz w:val="24"/>
        </w:rPr>
        <w:t>3.2</w:t>
      </w:r>
      <w:r>
        <w:rPr>
          <w:rFonts w:hint="eastAsia" w:ascii="宋体" w:hAnsi="宋体" w:eastAsia="宋体" w:cs="宋体"/>
          <w:color w:val="000000"/>
          <w:sz w:val="24"/>
        </w:rPr>
        <w:t>慢病中心端数据生产平台功能</w:t>
      </w:r>
    </w:p>
    <w:p>
      <w:pPr>
        <w:pStyle w:val="4"/>
        <w:rPr>
          <w:rFonts w:ascii="宋体" w:hAnsi="宋体" w:eastAsia="宋体" w:cs="宋体"/>
          <w:color w:val="000000"/>
          <w:sz w:val="24"/>
        </w:rPr>
      </w:pPr>
      <w:r>
        <w:rPr>
          <w:rFonts w:ascii="宋体" w:hAnsi="宋体" w:eastAsia="宋体" w:cs="宋体"/>
          <w:color w:val="000000"/>
          <w:sz w:val="24"/>
        </w:rPr>
        <w:t>3.2.1功能列表</w:t>
      </w:r>
    </w:p>
    <w:tbl>
      <w:tblPr>
        <w:tblStyle w:val="12"/>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261"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系统名称</w:t>
            </w:r>
          </w:p>
        </w:tc>
        <w:tc>
          <w:tcPr>
            <w:tcW w:w="1843"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功能模块</w:t>
            </w:r>
          </w:p>
        </w:tc>
        <w:tc>
          <w:tcPr>
            <w:tcW w:w="5103"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61" w:type="dxa"/>
            <w:vMerge w:val="restart"/>
            <w:shd w:val="clear" w:color="auto" w:fill="auto"/>
          </w:tcPr>
          <w:p>
            <w:pPr>
              <w:widowControl/>
              <w:spacing w:line="360" w:lineRule="auto"/>
              <w:rPr>
                <w:rFonts w:hint="eastAsia" w:ascii="宋体" w:hAnsi="宋体" w:eastAsia="宋体" w:cs="宋体"/>
                <w:color w:val="000000"/>
                <w:kern w:val="0"/>
                <w:sz w:val="20"/>
                <w:szCs w:val="20"/>
              </w:rPr>
            </w:pPr>
            <w:bookmarkStart w:id="1" w:name="_Hlk99535356"/>
            <w:r>
              <w:rPr>
                <w:rFonts w:hint="eastAsia" w:ascii="宋体" w:hAnsi="宋体" w:eastAsia="宋体" w:cs="宋体"/>
                <w:color w:val="000000"/>
                <w:kern w:val="0"/>
                <w:sz w:val="20"/>
                <w:szCs w:val="20"/>
              </w:rPr>
              <w:t>慢病中心端数据生产平台</w:t>
            </w:r>
            <w:bookmarkEnd w:id="1"/>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1、慢病大数据存储与计算平台</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基于hadoop框架、MPP分布式架构、CDH大数据计算，对医院TB甚至PB级别海量数据做高效的分布式存储和计算，实现高并发、高可用和灵活扩容以及容灾备份机制。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2、慢病数据采集、集成和管理</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支持多厂商在就诊的诊疗记录和检查、治疗等环节产生的各类异构数据，包括历史数据和增量数据进行一站式可视化的数据采集。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3、慢病数据治理功能</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通过构建数据元标准、值域标准、命名标准等数据标准，调用EMPI患者主索引服务对数据按患者进行去重，对数据进行清洗、解密、脱敏等数据处理以及及时对处理结果数据的质控保障，将脏数据、不符合标准的数据处理成符合使用标准的标准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4、慢病自然语言处理</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结合NLP（自然语言处理技术）技术和其他相关技术结合，构建可以批量自动实现电子病历解析的系统,实现结构化的文本识别。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5、中心端平台管理</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提供用户管理、数据权限管理、数据日志管理等安全措施，确保平台安全、合规，保障数据资产价值最大化。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84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6、中心端服务器监控管理平台</w:t>
            </w:r>
          </w:p>
        </w:tc>
        <w:tc>
          <w:tcPr>
            <w:tcW w:w="510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支持对服务器、系统、网络等软硬件的全面监控，确保平台平稳健康运行，提供良好的服务。</w:t>
            </w:r>
          </w:p>
        </w:tc>
      </w:tr>
    </w:tbl>
    <w:p/>
    <w:p>
      <w:pPr>
        <w:pStyle w:val="4"/>
        <w:rPr>
          <w:rFonts w:ascii="宋体" w:hAnsi="宋体" w:eastAsia="宋体" w:cs="宋体"/>
          <w:color w:val="000000"/>
          <w:sz w:val="24"/>
        </w:rPr>
      </w:pPr>
      <w:r>
        <w:rPr>
          <w:rFonts w:ascii="宋体" w:hAnsi="宋体" w:eastAsia="宋体" w:cs="宋体"/>
          <w:color w:val="000000"/>
          <w:sz w:val="24"/>
        </w:rPr>
        <w:t>3.2.2技术要求</w:t>
      </w:r>
      <w:r>
        <w:rPr>
          <w:rFonts w:hint="eastAsia" w:ascii="宋体" w:hAnsi="宋体" w:eastAsia="宋体" w:cs="宋体"/>
          <w:color w:val="000000"/>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840"/>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序号</w:t>
            </w:r>
          </w:p>
        </w:tc>
        <w:tc>
          <w:tcPr>
            <w:tcW w:w="184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技术要求</w:t>
            </w:r>
          </w:p>
        </w:tc>
        <w:tc>
          <w:tcPr>
            <w:tcW w:w="674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1</w:t>
            </w:r>
          </w:p>
        </w:tc>
        <w:tc>
          <w:tcPr>
            <w:tcW w:w="1840" w:type="dxa"/>
            <w:tcMar>
              <w:top w:w="0" w:type="dxa"/>
              <w:left w:w="108" w:type="dxa"/>
              <w:bottom w:w="0" w:type="dxa"/>
              <w:right w:w="108" w:type="dxa"/>
            </w:tcMar>
          </w:tcPr>
          <w:p>
            <w:pPr>
              <w:spacing w:before="0" w:after="0"/>
              <w:jc w:val="both"/>
            </w:pPr>
            <w:r>
              <w:rPr>
                <w:rFonts w:ascii="宋体" w:hAnsi="宋体" w:eastAsia="宋体" w:cs="宋体"/>
                <w:b/>
                <w:color w:val="000000"/>
                <w:sz w:val="21"/>
              </w:rPr>
              <w:t>数据存储架构</w:t>
            </w:r>
          </w:p>
        </w:tc>
        <w:tc>
          <w:tcPr>
            <w:tcW w:w="6740" w:type="dxa"/>
            <w:tcMar>
              <w:top w:w="0" w:type="dxa"/>
              <w:left w:w="108" w:type="dxa"/>
              <w:bottom w:w="0" w:type="dxa"/>
              <w:right w:w="108" w:type="dxa"/>
            </w:tcMar>
          </w:tcPr>
          <w:p>
            <w:pPr>
              <w:spacing w:before="0" w:after="0"/>
            </w:pPr>
            <w:r>
              <w:rPr>
                <w:rFonts w:ascii="宋体" w:hAnsi="宋体" w:eastAsia="宋体" w:cs="宋体"/>
                <w:color w:val="000000"/>
                <w:sz w:val="21"/>
              </w:rPr>
              <w:t>整个系统需要基于分布式的数据存储架构</w:t>
            </w:r>
          </w:p>
          <w:p>
            <w:pPr>
              <w:spacing w:before="0" w:after="120"/>
              <w:jc w:val="both"/>
            </w:pPr>
            <w:r>
              <w:rPr>
                <w:rFonts w:ascii="宋体" w:hAnsi="宋体" w:eastAsia="宋体" w:cs="宋体"/>
                <w:color w:val="000000"/>
                <w:sz w:val="21"/>
              </w:rPr>
              <w:t>1）实现分布式的数据存储可用性和可扩展性：</w:t>
            </w:r>
          </w:p>
          <w:p>
            <w:pPr>
              <w:spacing w:before="0" w:after="120"/>
              <w:jc w:val="both"/>
            </w:pPr>
            <w:r>
              <w:rPr>
                <w:rFonts w:ascii="宋体" w:hAnsi="宋体" w:eastAsia="宋体" w:cs="宋体"/>
                <w:color w:val="000000"/>
                <w:sz w:val="21"/>
              </w:rPr>
              <w:t>2）数据的存储规模，支持研究期内历史所有临床相关的数据以及未来</w:t>
            </w:r>
            <w:r>
              <w:rPr>
                <w:rFonts w:hint="eastAsia" w:ascii="宋体" w:hAnsi="宋体" w:eastAsia="宋体" w:cs="宋体"/>
                <w:color w:val="000000"/>
                <w:sz w:val="21"/>
              </w:rPr>
              <w:t>1</w:t>
            </w:r>
            <w:r>
              <w:rPr>
                <w:rFonts w:ascii="宋体" w:hAnsi="宋体" w:eastAsia="宋体" w:cs="宋体"/>
                <w:color w:val="000000"/>
                <w:sz w:val="21"/>
              </w:rPr>
              <w:t>0年数据的存储，并且支持多节点的备份；</w:t>
            </w:r>
          </w:p>
          <w:p>
            <w:pPr>
              <w:spacing w:before="0" w:after="120"/>
              <w:jc w:val="both"/>
            </w:pPr>
            <w:r>
              <w:rPr>
                <w:rFonts w:ascii="宋体" w:hAnsi="宋体" w:eastAsia="宋体" w:cs="宋体"/>
                <w:color w:val="000000"/>
                <w:sz w:val="21"/>
              </w:rPr>
              <w:t>3）信息平台具备数据备份功能，数据备份平台提供多种数据恢复方式，便于数据的恢复以及恢复演练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2</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分布式计算技术</w:t>
            </w:r>
          </w:p>
        </w:tc>
        <w:tc>
          <w:tcPr>
            <w:tcW w:w="6740" w:type="dxa"/>
            <w:tcMar>
              <w:top w:w="0" w:type="dxa"/>
              <w:left w:w="108" w:type="dxa"/>
              <w:bottom w:w="0" w:type="dxa"/>
              <w:right w:w="108" w:type="dxa"/>
            </w:tcMar>
          </w:tcPr>
          <w:p>
            <w:pPr>
              <w:spacing w:before="0" w:after="0"/>
            </w:pPr>
            <w:r>
              <w:rPr>
                <w:rFonts w:ascii="宋体" w:hAnsi="宋体" w:eastAsia="宋体" w:cs="宋体"/>
                <w:color w:val="000000"/>
                <w:sz w:val="21"/>
              </w:rPr>
              <w:t>系统使用大数据的核心计算引擎</w:t>
            </w:r>
          </w:p>
          <w:p>
            <w:pPr>
              <w:spacing w:before="0" w:after="0"/>
            </w:pPr>
            <w:r>
              <w:rPr>
                <w:rFonts w:ascii="'Times New Roman'" w:hAnsi="'Times New Roman'" w:eastAsia="'Times New Roman'" w:cs="'Times New Roman'"/>
                <w:color w:val="000000"/>
                <w:sz w:val="21"/>
              </w:rPr>
              <w:t>1</w:t>
            </w:r>
            <w:r>
              <w:rPr>
                <w:rFonts w:hint="eastAsia" w:ascii="宋体" w:hAnsi="宋体" w:eastAsia="宋体" w:cs="宋体"/>
                <w:color w:val="000000"/>
                <w:sz w:val="21"/>
              </w:rPr>
              <w:t>）</w:t>
            </w:r>
            <w:r>
              <w:rPr>
                <w:rFonts w:ascii="宋体" w:hAnsi="宋体" w:eastAsia="宋体" w:cs="宋体"/>
                <w:color w:val="000000"/>
                <w:sz w:val="21"/>
              </w:rPr>
              <w:t>基于</w:t>
            </w:r>
            <w:r>
              <w:rPr>
                <w:rFonts w:ascii="Times New Roman" w:hAnsi="Times New Roman" w:eastAsia="Times New Roman" w:cs="Times New Roman"/>
                <w:color w:val="000000"/>
                <w:sz w:val="21"/>
              </w:rPr>
              <w:t>HDFS</w:t>
            </w:r>
            <w:r>
              <w:rPr>
                <w:rFonts w:ascii="宋体" w:hAnsi="宋体" w:eastAsia="宋体" w:cs="宋体"/>
                <w:color w:val="000000"/>
                <w:sz w:val="21"/>
              </w:rPr>
              <w:t>的文件和</w:t>
            </w:r>
            <w:r>
              <w:rPr>
                <w:rFonts w:ascii="Times New Roman" w:hAnsi="Times New Roman" w:eastAsia="Times New Roman" w:cs="Times New Roman"/>
                <w:color w:val="000000"/>
                <w:sz w:val="21"/>
              </w:rPr>
              <w:t>Hive</w:t>
            </w:r>
            <w:r>
              <w:rPr>
                <w:rFonts w:ascii="宋体" w:hAnsi="宋体" w:eastAsia="宋体" w:cs="宋体"/>
                <w:color w:val="000000"/>
                <w:sz w:val="21"/>
              </w:rPr>
              <w:t>的数据表，提供</w:t>
            </w:r>
            <w:r>
              <w:rPr>
                <w:rFonts w:ascii="Times New Roman" w:hAnsi="Times New Roman" w:eastAsia="Times New Roman" w:cs="Times New Roman"/>
                <w:color w:val="000000"/>
                <w:sz w:val="21"/>
              </w:rPr>
              <w:t>TB</w:t>
            </w:r>
            <w:r>
              <w:rPr>
                <w:rFonts w:ascii="宋体" w:hAnsi="宋体" w:eastAsia="宋体" w:cs="宋体"/>
                <w:color w:val="000000"/>
                <w:sz w:val="21"/>
              </w:rPr>
              <w:t>甚至</w:t>
            </w:r>
            <w:r>
              <w:rPr>
                <w:rFonts w:ascii="Times New Roman" w:hAnsi="Times New Roman" w:eastAsia="Times New Roman" w:cs="Times New Roman"/>
                <w:color w:val="000000"/>
                <w:sz w:val="21"/>
              </w:rPr>
              <w:t>PB</w:t>
            </w:r>
            <w:r>
              <w:rPr>
                <w:rFonts w:ascii="宋体" w:hAnsi="宋体" w:eastAsia="宋体" w:cs="宋体"/>
                <w:color w:val="000000"/>
                <w:sz w:val="21"/>
              </w:rPr>
              <w:t>级别的数据分析和计算</w:t>
            </w:r>
          </w:p>
          <w:p>
            <w:pPr>
              <w:spacing w:before="0" w:after="0"/>
            </w:pPr>
            <w:r>
              <w:rPr>
                <w:rFonts w:ascii="'Times New Roman'" w:hAnsi="'Times New Roman'" w:eastAsia="'Times New Roman'" w:cs="'Times New Roman'"/>
                <w:color w:val="000000"/>
                <w:sz w:val="21"/>
              </w:rPr>
              <w:t>2</w:t>
            </w:r>
            <w:r>
              <w:rPr>
                <w:rFonts w:hint="eastAsia" w:ascii="宋体" w:hAnsi="宋体" w:eastAsia="宋体" w:cs="宋体"/>
                <w:color w:val="000000"/>
                <w:sz w:val="21"/>
              </w:rPr>
              <w:t>）</w:t>
            </w:r>
            <w:r>
              <w:rPr>
                <w:rFonts w:ascii="宋体" w:hAnsi="宋体" w:eastAsia="宋体" w:cs="宋体"/>
                <w:color w:val="000000"/>
                <w:sz w:val="21"/>
              </w:rPr>
              <w:t>支持交互式计算和复杂算法</w:t>
            </w:r>
          </w:p>
          <w:p>
            <w:pPr>
              <w:spacing w:before="0" w:after="0"/>
            </w:pPr>
            <w:r>
              <w:rPr>
                <w:rFonts w:ascii="宋体" w:hAnsi="宋体" w:eastAsia="宋体" w:cs="宋体"/>
                <w:color w:val="000000"/>
                <w:sz w:val="21"/>
              </w:rPr>
              <w:t>3）支持多种资源管理器：如</w:t>
            </w:r>
            <w:r>
              <w:rPr>
                <w:rFonts w:ascii="'Times New Roman'" w:hAnsi="'Times New Roman'" w:eastAsia="'Times New Roman'" w:cs="'Times New Roman'"/>
                <w:color w:val="000000"/>
                <w:sz w:val="21"/>
              </w:rPr>
              <w:t>YARN</w:t>
            </w:r>
            <w:r>
              <w:rPr>
                <w:rFonts w:ascii="宋体" w:hAnsi="宋体" w:eastAsia="宋体" w:cs="宋体"/>
                <w:color w:val="000000"/>
                <w:sz w:val="21"/>
              </w:rPr>
              <w:t>，</w:t>
            </w:r>
            <w:r>
              <w:rPr>
                <w:rFonts w:ascii="Times New Roman" w:hAnsi="Times New Roman" w:eastAsia="Times New Roman" w:cs="Times New Roman"/>
                <w:color w:val="000000"/>
                <w:sz w:val="21"/>
              </w:rPr>
              <w:t>Kubernetes</w:t>
            </w:r>
            <w:r>
              <w:rPr>
                <w:rFonts w:ascii="宋体" w:hAnsi="宋体" w:eastAsia="宋体" w:cs="宋体"/>
                <w:color w:val="000000"/>
                <w:sz w:val="21"/>
              </w:rPr>
              <w:t>等</w:t>
            </w:r>
          </w:p>
          <w:p>
            <w:pPr>
              <w:spacing w:before="0" w:after="120"/>
              <w:jc w:val="both"/>
            </w:pPr>
            <w:r>
              <w:rPr>
                <w:rFonts w:ascii="'Times New Roman'" w:hAnsi="'Times New Roman'" w:eastAsia="'Times New Roman'" w:cs="'Times New Roman'"/>
                <w:color w:val="000000"/>
                <w:sz w:val="21"/>
              </w:rPr>
              <w:t>4</w:t>
            </w:r>
            <w:r>
              <w:rPr>
                <w:rFonts w:ascii="宋体" w:hAnsi="宋体" w:eastAsia="宋体" w:cs="宋体"/>
                <w:color w:val="000000"/>
                <w:sz w:val="21"/>
              </w:rPr>
              <w:t>）大数据平台架构采用微服务和容器架构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3</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全自动化数据生产</w:t>
            </w:r>
          </w:p>
        </w:tc>
        <w:tc>
          <w:tcPr>
            <w:tcW w:w="6740" w:type="dxa"/>
            <w:tcMar>
              <w:top w:w="0" w:type="dxa"/>
              <w:left w:w="108" w:type="dxa"/>
              <w:bottom w:w="0" w:type="dxa"/>
              <w:right w:w="108" w:type="dxa"/>
            </w:tcMar>
          </w:tcPr>
          <w:p>
            <w:pPr>
              <w:spacing w:before="0" w:after="0"/>
            </w:pPr>
            <w:r>
              <w:rPr>
                <w:rFonts w:ascii="宋体" w:hAnsi="宋体" w:eastAsia="宋体" w:cs="宋体"/>
                <w:color w:val="000000"/>
                <w:sz w:val="21"/>
              </w:rPr>
              <w:t>实现医疗大数据自动采集服务平台</w:t>
            </w:r>
          </w:p>
          <w:p>
            <w:pPr>
              <w:spacing w:before="0" w:after="120"/>
              <w:jc w:val="both"/>
            </w:pPr>
            <w:r>
              <w:rPr>
                <w:rFonts w:ascii="宋体" w:hAnsi="宋体" w:eastAsia="宋体" w:cs="宋体"/>
                <w:color w:val="000000"/>
                <w:sz w:val="21"/>
              </w:rPr>
              <w:t>1）采集主要分为全量历史数据采集流程和增量数据采集流程，使用统一数据生产管理系统；</w:t>
            </w:r>
          </w:p>
          <w:p>
            <w:pPr>
              <w:spacing w:before="0" w:after="120"/>
              <w:jc w:val="both"/>
            </w:pPr>
            <w:r>
              <w:rPr>
                <w:rFonts w:ascii="宋体" w:hAnsi="宋体" w:eastAsia="宋体" w:cs="宋体"/>
                <w:color w:val="000000"/>
                <w:sz w:val="21"/>
              </w:rPr>
              <w:t>2）数据采集、转模、清洗实现全自动处理，并有流程管控方便数据生产人员管理数据生产过程；</w:t>
            </w:r>
          </w:p>
          <w:p>
            <w:pPr>
              <w:spacing w:before="0" w:after="120"/>
              <w:jc w:val="both"/>
            </w:pPr>
            <w:r>
              <w:rPr>
                <w:rFonts w:ascii="宋体" w:hAnsi="宋体" w:eastAsia="宋体" w:cs="宋体"/>
                <w:color w:val="000000"/>
                <w:sz w:val="21"/>
              </w:rPr>
              <w:t>3）采用数据同步（</w:t>
            </w:r>
            <w:r>
              <w:rPr>
                <w:rFonts w:ascii="Times New Roman" w:hAnsi="Times New Roman" w:eastAsia="Times New Roman" w:cs="Times New Roman"/>
                <w:color w:val="000000"/>
                <w:sz w:val="21"/>
              </w:rPr>
              <w:t>OGG\CDC</w:t>
            </w:r>
            <w:r>
              <w:rPr>
                <w:rFonts w:ascii="宋体" w:hAnsi="宋体" w:eastAsia="宋体" w:cs="宋体"/>
                <w:color w:val="000000"/>
                <w:sz w:val="21"/>
              </w:rPr>
              <w:t>等）、备份和数据</w:t>
            </w:r>
            <w:r>
              <w:rPr>
                <w:rFonts w:ascii="Times New Roman" w:hAnsi="Times New Roman" w:eastAsia="Times New Roman" w:cs="Times New Roman"/>
                <w:color w:val="000000"/>
                <w:sz w:val="21"/>
              </w:rPr>
              <w:t>ETL</w:t>
            </w:r>
            <w:r>
              <w:rPr>
                <w:rFonts w:ascii="宋体" w:hAnsi="宋体" w:eastAsia="宋体" w:cs="宋体"/>
                <w:color w:val="000000"/>
                <w:sz w:val="21"/>
              </w:rPr>
              <w:t>技术，使用开放数据集成标准化流程，实现全业务数据的自动汇聚持续更新，完成不同数据源模型的统一转化；</w:t>
            </w:r>
          </w:p>
          <w:p>
            <w:pPr>
              <w:spacing w:before="0" w:after="120"/>
              <w:jc w:val="both"/>
            </w:pPr>
            <w:r>
              <w:rPr>
                <w:rFonts w:ascii="宋体" w:hAnsi="宋体" w:eastAsia="宋体" w:cs="宋体"/>
                <w:color w:val="000000"/>
                <w:sz w:val="21"/>
              </w:rPr>
              <w:t>4）平台覆盖患者全周期全维度数据，进行多模态智能化数据处理。无缝集成辖区内各医疗机构、各信息化系统，统一逻辑处理各种不同数据源；</w:t>
            </w:r>
          </w:p>
          <w:p>
            <w:pPr>
              <w:spacing w:before="0" w:after="120"/>
              <w:jc w:val="both"/>
            </w:pPr>
            <w:r>
              <w:rPr>
                <w:rFonts w:ascii="宋体" w:hAnsi="宋体" w:eastAsia="宋体" w:cs="宋体"/>
                <w:color w:val="000000"/>
                <w:sz w:val="21"/>
              </w:rPr>
              <w:t>5）数据源配置功能，具备多种数据源的配置、支持数据库连通性测试；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4</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数据质控</w:t>
            </w:r>
          </w:p>
        </w:tc>
        <w:tc>
          <w:tcPr>
            <w:tcW w:w="6740" w:type="dxa"/>
            <w:tcMar>
              <w:top w:w="0" w:type="dxa"/>
              <w:left w:w="108" w:type="dxa"/>
              <w:bottom w:w="0" w:type="dxa"/>
              <w:right w:w="108" w:type="dxa"/>
            </w:tcMar>
          </w:tcPr>
          <w:p>
            <w:pPr>
              <w:spacing w:before="0" w:after="0"/>
            </w:pPr>
            <w:r>
              <w:rPr>
                <w:rFonts w:ascii="宋体" w:hAnsi="宋体" w:eastAsia="宋体" w:cs="宋体"/>
                <w:color w:val="000000"/>
                <w:sz w:val="21"/>
              </w:rPr>
              <w:t>系统可实现自动化质控，确保数据一致性、准确性</w:t>
            </w:r>
          </w:p>
          <w:p>
            <w:pPr>
              <w:spacing w:before="0" w:after="120"/>
              <w:jc w:val="both"/>
            </w:pPr>
            <w:r>
              <w:rPr>
                <w:rFonts w:ascii="宋体" w:hAnsi="宋体" w:eastAsia="宋体" w:cs="宋体"/>
                <w:color w:val="000000"/>
                <w:sz w:val="21"/>
              </w:rPr>
              <w:t>1）平台具备自动化质控体系，开放数据质检能力，使医疗机构可自定义数据质控规则，支持对数据自动识别及人工核查校正。</w:t>
            </w:r>
          </w:p>
          <w:p>
            <w:pPr>
              <w:spacing w:before="0" w:after="120"/>
              <w:jc w:val="both"/>
            </w:pPr>
            <w:r>
              <w:rPr>
                <w:rFonts w:ascii="宋体" w:hAnsi="宋体" w:eastAsia="宋体" w:cs="宋体"/>
                <w:color w:val="000000"/>
                <w:sz w:val="21"/>
              </w:rPr>
              <w:t>2）系统实现全流程质控，支持以下质控指标：完整性、规范性、有效性、准确性、唯一性、关联性、分布性；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5</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数据安全性</w:t>
            </w:r>
          </w:p>
        </w:tc>
        <w:tc>
          <w:tcPr>
            <w:tcW w:w="6740" w:type="dxa"/>
            <w:tcMar>
              <w:top w:w="0" w:type="dxa"/>
              <w:left w:w="108" w:type="dxa"/>
              <w:bottom w:w="0" w:type="dxa"/>
              <w:right w:w="108" w:type="dxa"/>
            </w:tcMar>
          </w:tcPr>
          <w:p>
            <w:pPr>
              <w:spacing w:before="0" w:after="120"/>
              <w:ind w:firstLine="210" w:firstLineChars="100"/>
              <w:jc w:val="both"/>
            </w:pPr>
            <w:r>
              <w:rPr>
                <w:rFonts w:ascii="宋体" w:hAnsi="宋体" w:eastAsia="宋体" w:cs="宋体"/>
                <w:color w:val="000000"/>
                <w:sz w:val="21"/>
              </w:rPr>
              <w:t>系统安全防护技术架构根据等级保护2.0三级要求，此外还包括：</w:t>
            </w:r>
          </w:p>
          <w:p>
            <w:pPr>
              <w:spacing w:before="0" w:after="120"/>
              <w:jc w:val="both"/>
            </w:pPr>
            <w:r>
              <w:rPr>
                <w:rFonts w:ascii="宋体" w:hAnsi="宋体" w:eastAsia="宋体" w:cs="宋体"/>
                <w:color w:val="000000"/>
                <w:sz w:val="21"/>
              </w:rPr>
              <w:t>1）实现数据全生命周期安全</w:t>
            </w:r>
          </w:p>
          <w:p>
            <w:pPr>
              <w:spacing w:before="0" w:after="120"/>
              <w:ind w:firstLine="210" w:firstLineChars="100"/>
              <w:jc w:val="both"/>
            </w:pPr>
            <w:r>
              <w:rPr>
                <w:rFonts w:ascii="宋体" w:hAnsi="宋体" w:eastAsia="宋体" w:cs="宋体"/>
                <w:color w:val="000000"/>
                <w:sz w:val="21"/>
              </w:rPr>
              <w:t xml:space="preserve">根据《数据安全能力成熟度模型》 </w:t>
            </w:r>
            <w:r>
              <w:rPr>
                <w:rFonts w:ascii="Times New Roman" w:hAnsi="Times New Roman" w:eastAsia="Times New Roman" w:cs="Times New Roman"/>
                <w:color w:val="000000"/>
                <w:sz w:val="21"/>
              </w:rPr>
              <w:t>(GBT 37988-2019)</w:t>
            </w:r>
            <w:r>
              <w:rPr>
                <w:rFonts w:ascii="宋体" w:hAnsi="宋体" w:eastAsia="宋体" w:cs="宋体"/>
                <w:color w:val="000000"/>
                <w:sz w:val="21"/>
              </w:rPr>
              <w:t>构建全生命周期数据安全防护体系，重点对数据的归集、存储、应用和共享过程构建充分的安全控制。</w:t>
            </w:r>
          </w:p>
          <w:p>
            <w:pPr>
              <w:spacing w:before="0" w:after="120"/>
              <w:jc w:val="both"/>
            </w:pPr>
            <w:r>
              <w:rPr>
                <w:rFonts w:ascii="宋体" w:hAnsi="宋体" w:eastAsia="宋体" w:cs="宋体"/>
                <w:color w:val="000000"/>
                <w:sz w:val="21"/>
              </w:rPr>
              <w:t>2）平台需构建数据隐私保护体系，开放隐私保护能力，使医疗机构可自定义数据隐私规则，支持自定义规则实现数据隐私保护。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6</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自然语言处理技术</w:t>
            </w:r>
          </w:p>
        </w:tc>
        <w:tc>
          <w:tcPr>
            <w:tcW w:w="6740" w:type="dxa"/>
            <w:tcMar>
              <w:top w:w="0" w:type="dxa"/>
              <w:left w:w="108" w:type="dxa"/>
              <w:bottom w:w="0" w:type="dxa"/>
              <w:right w:w="108" w:type="dxa"/>
            </w:tcMar>
          </w:tcPr>
          <w:p>
            <w:pPr>
              <w:spacing w:before="0" w:after="0"/>
            </w:pPr>
            <w:r>
              <w:rPr>
                <w:rFonts w:ascii="宋体" w:hAnsi="宋体" w:eastAsia="宋体" w:cs="宋体"/>
                <w:color w:val="000000"/>
                <w:sz w:val="21"/>
              </w:rPr>
              <w:t>使用基于深度学习的自然语言处理</w:t>
            </w:r>
          </w:p>
          <w:p>
            <w:pPr>
              <w:spacing w:before="0" w:after="120"/>
              <w:jc w:val="both"/>
            </w:pPr>
            <w:r>
              <w:rPr>
                <w:rFonts w:ascii="宋体" w:hAnsi="宋体" w:eastAsia="宋体" w:cs="宋体"/>
                <w:color w:val="000000"/>
                <w:sz w:val="21"/>
              </w:rPr>
              <w:t>1）采用长短时记忆网络（</w:t>
            </w:r>
            <w:r>
              <w:rPr>
                <w:rFonts w:ascii="Times New Roman" w:hAnsi="Times New Roman" w:eastAsia="Times New Roman" w:cs="Times New Roman"/>
                <w:color w:val="000000"/>
                <w:sz w:val="21"/>
              </w:rPr>
              <w:t>LSTM</w:t>
            </w:r>
            <w:r>
              <w:rPr>
                <w:rFonts w:ascii="宋体" w:hAnsi="宋体" w:eastAsia="宋体" w:cs="宋体"/>
                <w:color w:val="000000"/>
                <w:sz w:val="21"/>
              </w:rPr>
              <w:t>）、卷积神经网络（</w:t>
            </w:r>
            <w:r>
              <w:rPr>
                <w:rFonts w:ascii="Times New Roman" w:hAnsi="Times New Roman" w:eastAsia="Times New Roman" w:cs="Times New Roman"/>
                <w:color w:val="000000"/>
                <w:sz w:val="21"/>
              </w:rPr>
              <w:t>CNN</w:t>
            </w:r>
            <w:r>
              <w:rPr>
                <w:rFonts w:ascii="宋体" w:hAnsi="宋体" w:eastAsia="宋体" w:cs="宋体"/>
                <w:color w:val="000000"/>
                <w:sz w:val="21"/>
              </w:rPr>
              <w:t>）、</w:t>
            </w:r>
            <w:r>
              <w:rPr>
                <w:rFonts w:ascii="Times New Roman" w:hAnsi="Times New Roman" w:eastAsia="Times New Roman" w:cs="Times New Roman"/>
                <w:color w:val="000000"/>
                <w:sz w:val="21"/>
              </w:rPr>
              <w:t>Transformer</w:t>
            </w:r>
            <w:r>
              <w:rPr>
                <w:rFonts w:ascii="宋体" w:hAnsi="宋体" w:eastAsia="宋体" w:cs="宋体"/>
                <w:color w:val="000000"/>
                <w:sz w:val="21"/>
              </w:rPr>
              <w:t>、</w:t>
            </w:r>
            <w:r>
              <w:rPr>
                <w:rFonts w:ascii="Times New Roman" w:hAnsi="Times New Roman" w:eastAsia="Times New Roman" w:cs="Times New Roman"/>
                <w:color w:val="000000"/>
                <w:sz w:val="21"/>
              </w:rPr>
              <w:t>BERT</w:t>
            </w:r>
            <w:r>
              <w:rPr>
                <w:rFonts w:ascii="宋体" w:hAnsi="宋体" w:eastAsia="宋体" w:cs="宋体"/>
                <w:color w:val="000000"/>
                <w:sz w:val="21"/>
              </w:rPr>
              <w:t>、</w:t>
            </w:r>
            <w:r>
              <w:rPr>
                <w:rFonts w:ascii="Times New Roman" w:hAnsi="Times New Roman" w:eastAsia="Times New Roman" w:cs="Times New Roman"/>
                <w:color w:val="000000"/>
                <w:sz w:val="21"/>
              </w:rPr>
              <w:t>GNN</w:t>
            </w:r>
            <w:r>
              <w:rPr>
                <w:rFonts w:ascii="宋体" w:hAnsi="宋体" w:eastAsia="宋体" w:cs="宋体"/>
                <w:color w:val="000000"/>
                <w:sz w:val="21"/>
              </w:rPr>
              <w:t>、</w:t>
            </w:r>
            <w:r>
              <w:rPr>
                <w:rFonts w:ascii="Times New Roman" w:hAnsi="Times New Roman" w:eastAsia="Times New Roman" w:cs="Times New Roman"/>
                <w:color w:val="000000"/>
                <w:sz w:val="21"/>
              </w:rPr>
              <w:t>DNN</w:t>
            </w:r>
            <w:r>
              <w:rPr>
                <w:rFonts w:ascii="宋体" w:hAnsi="宋体" w:eastAsia="宋体" w:cs="宋体"/>
                <w:color w:val="000000"/>
                <w:sz w:val="21"/>
              </w:rPr>
              <w:t>等算法进行文本的理解和认知。</w:t>
            </w:r>
          </w:p>
          <w:p>
            <w:pPr>
              <w:spacing w:before="0" w:after="120"/>
              <w:jc w:val="both"/>
            </w:pPr>
            <w:r>
              <w:rPr>
                <w:rFonts w:ascii="宋体" w:hAnsi="宋体" w:eastAsia="宋体" w:cs="宋体"/>
                <w:color w:val="000000"/>
                <w:sz w:val="21"/>
              </w:rPr>
              <w:t>2）为了提高结果的准确性、可解释性以及维护的便捷性等，辅以机器学习方法、知识图谱等完善医学自然语言处理平台，提高解析的准确性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7</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数据处理技术</w:t>
            </w:r>
          </w:p>
        </w:tc>
        <w:tc>
          <w:tcPr>
            <w:tcW w:w="6740" w:type="dxa"/>
            <w:tcMar>
              <w:top w:w="0" w:type="dxa"/>
              <w:left w:w="108" w:type="dxa"/>
              <w:bottom w:w="0" w:type="dxa"/>
              <w:right w:w="108" w:type="dxa"/>
            </w:tcMar>
          </w:tcPr>
          <w:p>
            <w:pPr>
              <w:spacing w:before="0" w:after="0"/>
              <w:ind w:firstLine="2"/>
              <w:jc w:val="both"/>
            </w:pPr>
            <w:r>
              <w:rPr>
                <w:rFonts w:ascii="宋体" w:hAnsi="宋体" w:eastAsia="宋体" w:cs="宋体"/>
                <w:color w:val="000000"/>
                <w:sz w:val="21"/>
              </w:rPr>
              <w:t>1）在数据处理阶段使用多源异构数据处理技术</w:t>
            </w:r>
          </w:p>
          <w:p>
            <w:pPr>
              <w:spacing w:before="0" w:after="0"/>
              <w:ind w:firstLine="2"/>
              <w:jc w:val="both"/>
            </w:pPr>
            <w:r>
              <w:rPr>
                <w:rFonts w:ascii="宋体" w:hAnsi="宋体" w:eastAsia="宋体" w:cs="宋体"/>
                <w:color w:val="000000"/>
                <w:sz w:val="21"/>
              </w:rPr>
              <w:t>2）通过智能的运算模型及不同的数据元标准，对数据进行清洗加工，并实现数据整合。数据整合分为患者维度、就诊维度、医嘱维度</w:t>
            </w:r>
            <w:r>
              <w:rPr>
                <w:rFonts w:hint="eastAsia" w:ascii="宋体" w:hAnsi="宋体" w:eastAsia="宋体" w:cs="宋体"/>
                <w:color w:val="000000"/>
                <w:sz w:val="21"/>
              </w:rPr>
              <w:t>，或符合医院最后整合的需求</w:t>
            </w:r>
            <w:r>
              <w:rPr>
                <w:rFonts w:ascii="宋体" w:hAnsi="宋体" w:eastAsia="宋体" w:cs="宋体"/>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8</w:t>
            </w:r>
          </w:p>
        </w:tc>
        <w:tc>
          <w:tcPr>
            <w:tcW w:w="1840" w:type="dxa"/>
            <w:tcMar>
              <w:top w:w="0" w:type="dxa"/>
              <w:left w:w="108" w:type="dxa"/>
              <w:bottom w:w="0" w:type="dxa"/>
              <w:right w:w="108" w:type="dxa"/>
            </w:tcMar>
          </w:tcPr>
          <w:p>
            <w:pPr>
              <w:spacing w:before="0" w:after="0"/>
            </w:pPr>
            <w:r>
              <w:rPr>
                <w:rFonts w:ascii="宋体" w:hAnsi="宋体" w:eastAsia="宋体" w:cs="宋体"/>
                <w:b/>
                <w:color w:val="000000"/>
                <w:sz w:val="21"/>
              </w:rPr>
              <w:t>数据集成技术能力</w:t>
            </w:r>
          </w:p>
        </w:tc>
        <w:tc>
          <w:tcPr>
            <w:tcW w:w="6740" w:type="dxa"/>
            <w:tcMar>
              <w:top w:w="0" w:type="dxa"/>
              <w:left w:w="108" w:type="dxa"/>
              <w:bottom w:w="0" w:type="dxa"/>
              <w:right w:w="108" w:type="dxa"/>
            </w:tcMar>
          </w:tcPr>
          <w:p>
            <w:pPr>
              <w:spacing w:before="0" w:after="0" w:line="360" w:lineRule="auto"/>
              <w:ind w:firstLine="2"/>
              <w:jc w:val="both"/>
            </w:pPr>
            <w:r>
              <w:rPr>
                <w:rFonts w:ascii="'Times New Roman'" w:hAnsi="'Times New Roman'" w:eastAsia="'Times New Roman'" w:cs="'Times New Roman'"/>
                <w:color w:val="000000"/>
                <w:sz w:val="21"/>
              </w:rPr>
              <w:t>1</w:t>
            </w:r>
            <w:r>
              <w:rPr>
                <w:rFonts w:ascii="宋体" w:hAnsi="宋体" w:eastAsia="宋体" w:cs="宋体"/>
                <w:color w:val="000000"/>
                <w:sz w:val="21"/>
              </w:rPr>
              <w:t>）全业务系统对接</w:t>
            </w:r>
          </w:p>
          <w:p>
            <w:pPr>
              <w:spacing w:before="0" w:after="0"/>
              <w:ind w:left="2"/>
              <w:jc w:val="both"/>
            </w:pPr>
            <w:r>
              <w:rPr>
                <w:rFonts w:ascii="宋体" w:hAnsi="宋体" w:eastAsia="宋体" w:cs="宋体"/>
                <w:color w:val="000000"/>
                <w:sz w:val="21"/>
              </w:rPr>
              <w:t>实现对医院现有业务系统（</w:t>
            </w:r>
            <w:r>
              <w:rPr>
                <w:rFonts w:ascii="Times New Roman" w:hAnsi="Times New Roman" w:eastAsia="Times New Roman" w:cs="Times New Roman"/>
                <w:color w:val="000000"/>
                <w:sz w:val="21"/>
              </w:rPr>
              <w:t>HIS\LIS\EMR\RIS</w:t>
            </w:r>
            <w:r>
              <w:rPr>
                <w:rFonts w:ascii="宋体" w:hAnsi="宋体" w:eastAsia="宋体" w:cs="宋体"/>
                <w:color w:val="000000"/>
                <w:sz w:val="21"/>
              </w:rPr>
              <w:t>等）以及生物样本库和生物组学数据（如有）的集成对接，实现跨系统的数据融合</w:t>
            </w:r>
          </w:p>
          <w:p>
            <w:pPr>
              <w:spacing w:before="0" w:after="0"/>
              <w:jc w:val="both"/>
            </w:pPr>
            <w:r>
              <w:rPr>
                <w:rFonts w:ascii="'Times New Roman'" w:hAnsi="'Times New Roman'" w:eastAsia="'Times New Roman'" w:cs="'Times New Roman'"/>
                <w:color w:val="000000"/>
                <w:sz w:val="21"/>
              </w:rPr>
              <w:t>2</w:t>
            </w:r>
            <w:r>
              <w:rPr>
                <w:rFonts w:ascii="宋体" w:hAnsi="宋体" w:eastAsia="宋体" w:cs="宋体"/>
                <w:color w:val="000000"/>
                <w:sz w:val="21"/>
              </w:rPr>
              <w:t>）支持基因组学信息的集成</w:t>
            </w:r>
          </w:p>
          <w:p>
            <w:pPr>
              <w:spacing w:before="0" w:after="120"/>
              <w:jc w:val="both"/>
            </w:pPr>
            <w:r>
              <w:rPr>
                <w:rFonts w:ascii="宋体" w:hAnsi="宋体" w:eastAsia="宋体" w:cs="宋体"/>
                <w:color w:val="000000"/>
                <w:sz w:val="21"/>
              </w:rPr>
              <w:t>系统支持基因组学信息的集成（支持基因测序数据的导入）；支持按照基因和位点的突变查询病人；支持查看某一个人群的基因和位点突变频率</w:t>
            </w:r>
          </w:p>
          <w:p>
            <w:pPr>
              <w:spacing w:before="0" w:after="0"/>
              <w:jc w:val="both"/>
            </w:pPr>
            <w:r>
              <w:rPr>
                <w:rFonts w:ascii="'Times New Roman'" w:hAnsi="'Times New Roman'" w:eastAsia="'Times New Roman'" w:cs="'Times New Roman'"/>
                <w:b/>
                <w:color w:val="000000"/>
                <w:sz w:val="21"/>
              </w:rPr>
              <w:t>3</w:t>
            </w:r>
            <w:r>
              <w:rPr>
                <w:rFonts w:ascii="宋体" w:hAnsi="宋体" w:eastAsia="宋体" w:cs="宋体"/>
                <w:b/>
                <w:color w:val="000000"/>
                <w:sz w:val="21"/>
              </w:rPr>
              <w:t>）支持临床信息和生物样本信息的集成</w:t>
            </w:r>
          </w:p>
          <w:p>
            <w:pPr>
              <w:spacing w:before="0" w:after="120"/>
              <w:jc w:val="both"/>
            </w:pPr>
            <w:r>
              <w:rPr>
                <w:rFonts w:ascii="宋体" w:hAnsi="宋体" w:eastAsia="宋体" w:cs="宋体"/>
                <w:color w:val="000000"/>
                <w:sz w:val="21"/>
              </w:rPr>
              <w:t>系统支持临床信息和生物样本信息的集成。</w:t>
            </w:r>
          </w:p>
        </w:tc>
      </w:tr>
    </w:tbl>
    <w:p>
      <w:pPr>
        <w:spacing w:before="0" w:after="0"/>
        <w:jc w:val="both"/>
      </w:pPr>
    </w:p>
    <w:p>
      <w:pPr>
        <w:pStyle w:val="3"/>
      </w:pPr>
      <w:r>
        <w:rPr>
          <w:rFonts w:ascii="宋体" w:hAnsi="宋体" w:eastAsia="宋体" w:cs="宋体"/>
          <w:color w:val="000000"/>
          <w:sz w:val="24"/>
        </w:rPr>
        <w:t>3.3</w:t>
      </w:r>
      <w:r>
        <w:rPr>
          <w:rFonts w:hint="eastAsia" w:ascii="宋体" w:hAnsi="宋体" w:eastAsia="宋体" w:cs="宋体"/>
          <w:color w:val="000000"/>
          <w:sz w:val="24"/>
        </w:rPr>
        <w:t>慢病多联盟临床科研平台功能</w:t>
      </w:r>
    </w:p>
    <w:p>
      <w:pPr>
        <w:pStyle w:val="4"/>
        <w:rPr>
          <w:rFonts w:ascii="宋体" w:hAnsi="宋体" w:eastAsia="宋体" w:cs="宋体"/>
          <w:color w:val="000000"/>
          <w:sz w:val="24"/>
        </w:rPr>
      </w:pPr>
      <w:r>
        <w:rPr>
          <w:rFonts w:ascii="宋体" w:hAnsi="宋体" w:eastAsia="宋体" w:cs="宋体"/>
          <w:color w:val="000000"/>
          <w:sz w:val="24"/>
        </w:rPr>
        <w:t>3.3.1功能列表</w:t>
      </w:r>
    </w:p>
    <w:tbl>
      <w:tblPr>
        <w:tblStyle w:val="12"/>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699"/>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1" w:type="dxa"/>
            <w:shd w:val="clear" w:color="000000" w:fill="D0CECE"/>
          </w:tcPr>
          <w:p>
            <w:pPr>
              <w:widowControl/>
              <w:rPr>
                <w:rFonts w:ascii="宋体" w:hAnsi="宋体" w:cs="宋体"/>
                <w:b/>
                <w:bCs/>
                <w:color w:val="000000"/>
                <w:kern w:val="0"/>
                <w:szCs w:val="24"/>
              </w:rPr>
            </w:pPr>
            <w:r>
              <w:rPr>
                <w:rFonts w:hint="eastAsia" w:ascii="宋体" w:hAnsi="宋体" w:cs="宋体"/>
                <w:b/>
                <w:bCs/>
                <w:color w:val="000000"/>
                <w:kern w:val="0"/>
                <w:szCs w:val="24"/>
              </w:rPr>
              <w:t>系统名称</w:t>
            </w:r>
          </w:p>
        </w:tc>
        <w:tc>
          <w:tcPr>
            <w:tcW w:w="2699" w:type="dxa"/>
            <w:shd w:val="clear" w:color="000000" w:fill="D0CECE"/>
          </w:tcPr>
          <w:p>
            <w:pPr>
              <w:widowControl/>
              <w:rPr>
                <w:rFonts w:ascii="宋体" w:hAnsi="宋体" w:cs="宋体"/>
                <w:b/>
                <w:bCs/>
                <w:color w:val="000000"/>
                <w:kern w:val="0"/>
                <w:szCs w:val="24"/>
              </w:rPr>
            </w:pPr>
            <w:r>
              <w:rPr>
                <w:rFonts w:hint="eastAsia" w:ascii="宋体" w:hAnsi="宋体" w:cs="宋体"/>
                <w:b/>
                <w:bCs/>
                <w:color w:val="000000"/>
                <w:kern w:val="0"/>
                <w:szCs w:val="24"/>
              </w:rPr>
              <w:t>功能模块</w:t>
            </w:r>
          </w:p>
        </w:tc>
        <w:tc>
          <w:tcPr>
            <w:tcW w:w="4247" w:type="dxa"/>
            <w:shd w:val="clear" w:color="000000" w:fill="D0CECE"/>
          </w:tcPr>
          <w:p>
            <w:pPr>
              <w:widowControl/>
              <w:rPr>
                <w:rFonts w:ascii="宋体" w:hAnsi="宋体" w:cs="宋体"/>
                <w:b/>
                <w:bCs/>
                <w:color w:val="000000"/>
                <w:kern w:val="0"/>
                <w:szCs w:val="24"/>
              </w:rPr>
            </w:pPr>
            <w:r>
              <w:rPr>
                <w:rFonts w:hint="eastAsia" w:ascii="宋体" w:hAnsi="宋体" w:cs="宋体"/>
                <w:b/>
                <w:bCs/>
                <w:color w:val="000000"/>
                <w:kern w:val="0"/>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1"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慢病多联盟临床科研平台</w:t>
            </w: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慢病数据概览</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通过数据概览，对临床科研系统内的数据进行透视，帮助用户感知本系统的重点指标统计分布情况。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慢病模糊搜索</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使用关键词搜索，支持查询目标内容，诊断、手术等信息。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慢病高级搜索</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高级搜索-条件树搜索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高级搜索-事件搜索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自定义指标精细筛选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我的诊室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搜索条件的保存、删除和编辑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检索数据导出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慢病搜索结果可视化</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搜索条件下患者列表展示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搜索数据导出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患者数据导入至科研项目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慢病患者全景视图</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患者基本信息脱敏展示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就诊信息汇总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就诊信息统计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就诊信息筛选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患者详情页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患者时间轴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患者历次指标变化趋势图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慢病课题设计和队列构建</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数据集管理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患者就诊分组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观测指标自定义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患者纳排定义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lang w:eastAsia="zh-Hans"/>
              </w:rPr>
            </w:pPr>
            <w:r>
              <w:rPr>
                <w:rFonts w:hint="eastAsia" w:ascii="宋体" w:hAnsi="宋体" w:eastAsia="宋体" w:cs="宋体"/>
                <w:color w:val="000000"/>
                <w:kern w:val="0"/>
                <w:sz w:val="20"/>
                <w:szCs w:val="20"/>
                <w:lang w:eastAsia="zh-Hans"/>
              </w:rPr>
              <w:t>观测指标复用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患者数据抽取与更新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restart"/>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慢病科研项目管理</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项目信息检索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vMerge w:val="continue"/>
            <w:vAlign w:val="center"/>
          </w:tcPr>
          <w:p>
            <w:pPr>
              <w:widowControl/>
              <w:rPr>
                <w:rFonts w:hint="eastAsia" w:ascii="宋体" w:hAnsi="宋体" w:eastAsia="宋体" w:cs="宋体"/>
                <w:color w:val="000000"/>
                <w:kern w:val="0"/>
                <w:sz w:val="20"/>
                <w:szCs w:val="20"/>
              </w:rPr>
            </w:pP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项目详情查看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61" w:type="dxa"/>
            <w:vMerge w:val="continue"/>
            <w:vAlign w:val="center"/>
          </w:tcPr>
          <w:p>
            <w:pPr>
              <w:widowControl/>
              <w:rPr>
                <w:rFonts w:hint="eastAsia" w:ascii="宋体" w:hAnsi="宋体" w:eastAsia="宋体" w:cs="宋体"/>
                <w:color w:val="000000"/>
                <w:kern w:val="0"/>
                <w:sz w:val="20"/>
                <w:szCs w:val="20"/>
              </w:rPr>
            </w:pP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慢病统计分析</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支持对患者集、患者信息的描述性统计，如按患者集名称和性别等统计占比，并自动生成饼图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慢病数据导出管理</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支持设置导出数据范围、导出字段选择设定、导出列表样式预览、导出设定暂存。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慢病权限管理与系统设置</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支持机构管理、人员管理、角色管理、权限管理、日志管理。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61" w:type="dxa"/>
            <w:vMerge w:val="continue"/>
            <w:shd w:val="clear" w:color="auto" w:fill="auto"/>
          </w:tcPr>
          <w:p>
            <w:pPr>
              <w:widowControl/>
              <w:rPr>
                <w:rFonts w:hint="eastAsia" w:ascii="宋体" w:hAnsi="宋体" w:eastAsia="宋体" w:cs="宋体"/>
                <w:color w:val="000000"/>
                <w:kern w:val="0"/>
                <w:sz w:val="20"/>
                <w:szCs w:val="20"/>
              </w:rPr>
            </w:pPr>
          </w:p>
        </w:tc>
        <w:tc>
          <w:tcPr>
            <w:tcW w:w="2699"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慢病个人中心与消息中心</w:t>
            </w:r>
          </w:p>
        </w:tc>
        <w:tc>
          <w:tcPr>
            <w:tcW w:w="4247" w:type="dxa"/>
            <w:shd w:val="clear" w:color="auto" w:fill="auto"/>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支持登录与退出、修改密码</w:t>
            </w:r>
          </w:p>
        </w:tc>
      </w:tr>
    </w:tbl>
    <w:p>
      <w:r>
        <w:rPr>
          <w:rFonts w:hint="eastAsia"/>
        </w:rPr>
        <w:t xml:space="preserve"> </w:t>
      </w:r>
    </w:p>
    <w:p>
      <w:pPr>
        <w:pStyle w:val="4"/>
      </w:pPr>
      <w:r>
        <w:rPr>
          <w:rFonts w:ascii="宋体" w:hAnsi="宋体" w:eastAsia="宋体" w:cs="宋体"/>
          <w:color w:val="000000"/>
          <w:sz w:val="24"/>
        </w:rPr>
        <w:t>3.3.2技术要求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06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序号</w:t>
            </w:r>
          </w:p>
        </w:tc>
        <w:tc>
          <w:tcPr>
            <w:tcW w:w="306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技术要求</w:t>
            </w:r>
          </w:p>
        </w:tc>
        <w:tc>
          <w:tcPr>
            <w:tcW w:w="5520" w:type="dxa"/>
            <w:shd w:val="clear" w:color="auto" w:fill="D7D7D7"/>
            <w:tcMar>
              <w:top w:w="0" w:type="dxa"/>
              <w:left w:w="108" w:type="dxa"/>
              <w:bottom w:w="0" w:type="dxa"/>
              <w:right w:w="108" w:type="dxa"/>
            </w:tcMar>
          </w:tcPr>
          <w:p>
            <w:pPr>
              <w:spacing w:before="0" w:after="0"/>
              <w:jc w:val="center"/>
            </w:pPr>
            <w:r>
              <w:rPr>
                <w:rFonts w:ascii="宋体" w:hAnsi="宋体" w:eastAsia="宋体" w:cs="宋体"/>
                <w:b/>
                <w:color w:val="000000"/>
                <w:sz w:val="21"/>
              </w:rPr>
              <w:t>技术规格参数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Mar>
              <w:top w:w="0" w:type="dxa"/>
              <w:left w:w="108" w:type="dxa"/>
              <w:bottom w:w="0" w:type="dxa"/>
              <w:right w:w="108" w:type="dxa"/>
            </w:tcMar>
            <w:vAlign w:val="center"/>
          </w:tcPr>
          <w:p>
            <w:pPr>
              <w:spacing w:before="0" w:after="0"/>
              <w:jc w:val="center"/>
            </w:pPr>
            <w:r>
              <w:rPr>
                <w:rFonts w:ascii="'Times New Roman'" w:hAnsi="'Times New Roman'" w:eastAsia="'Times New Roman'" w:cs="'Times New Roman'"/>
                <w:color w:val="000000"/>
                <w:sz w:val="21"/>
              </w:rPr>
              <w:t>1</w:t>
            </w:r>
          </w:p>
        </w:tc>
        <w:tc>
          <w:tcPr>
            <w:tcW w:w="3060" w:type="dxa"/>
            <w:tcMar>
              <w:top w:w="0" w:type="dxa"/>
              <w:left w:w="108" w:type="dxa"/>
              <w:bottom w:w="0" w:type="dxa"/>
              <w:right w:w="108" w:type="dxa"/>
            </w:tcMar>
          </w:tcPr>
          <w:p>
            <w:pPr>
              <w:spacing w:before="0" w:after="0"/>
              <w:jc w:val="both"/>
            </w:pPr>
            <w:r>
              <w:rPr>
                <w:rFonts w:ascii="宋体" w:hAnsi="宋体" w:eastAsia="宋体" w:cs="宋体"/>
                <w:b/>
                <w:color w:val="000000"/>
                <w:sz w:val="21"/>
              </w:rPr>
              <w:t>数据脱敏技术</w:t>
            </w:r>
          </w:p>
        </w:tc>
        <w:tc>
          <w:tcPr>
            <w:tcW w:w="5520" w:type="dxa"/>
            <w:tcMar>
              <w:top w:w="0" w:type="dxa"/>
              <w:left w:w="108" w:type="dxa"/>
              <w:bottom w:w="0" w:type="dxa"/>
              <w:right w:w="108" w:type="dxa"/>
            </w:tcMar>
          </w:tcPr>
          <w:p>
            <w:pPr>
              <w:spacing w:before="0" w:after="120"/>
              <w:ind w:firstLine="210" w:firstLineChars="100"/>
              <w:jc w:val="both"/>
            </w:pPr>
            <w:r>
              <w:rPr>
                <w:rFonts w:ascii="宋体" w:hAnsi="宋体" w:eastAsia="宋体" w:cs="宋体"/>
                <w:color w:val="000000"/>
                <w:sz w:val="21"/>
              </w:rPr>
              <w:t>1）遵循《GBT397252020信息安全技术健康医疗数据安全指南》，并借鉴HIPAA法案，对个人的隐私数据进行数据脱敏和加密处理</w:t>
            </w:r>
          </w:p>
          <w:p>
            <w:pPr>
              <w:spacing w:before="0" w:after="120"/>
              <w:ind w:firstLine="210" w:firstLineChars="100"/>
              <w:jc w:val="both"/>
            </w:pPr>
            <w:r>
              <w:rPr>
                <w:rFonts w:ascii="宋体" w:hAnsi="宋体" w:eastAsia="宋体" w:cs="宋体"/>
                <w:color w:val="000000"/>
                <w:sz w:val="21"/>
              </w:rPr>
              <w:t>2）常见的脱敏或加密字段如下（可自定义）：</w:t>
            </w:r>
          </w:p>
          <w:p>
            <w:pPr>
              <w:spacing w:before="0" w:after="120"/>
              <w:ind w:firstLine="210" w:firstLineChars="100"/>
              <w:jc w:val="both"/>
            </w:pPr>
            <w:r>
              <w:rPr>
                <w:rFonts w:ascii="宋体" w:hAnsi="宋体" w:eastAsia="宋体" w:cs="宋体"/>
                <w:color w:val="000000"/>
                <w:sz w:val="21"/>
              </w:rPr>
              <w:t>患者姓名、出生地、工作单位及地址、电话、身份证号、现住址、户口地址、联系人姓名 、联系人地址、联系人电话、新生儿姓名、新生儿出生地等</w:t>
            </w:r>
          </w:p>
        </w:tc>
      </w:tr>
    </w:tbl>
    <w:p>
      <w:pPr>
        <w:spacing w:after="120"/>
        <w:jc w:val="both"/>
      </w:pPr>
    </w:p>
    <w:p>
      <w:pPr>
        <w:pStyle w:val="3"/>
      </w:pPr>
      <w:r>
        <w:rPr>
          <w:rFonts w:ascii="宋体" w:hAnsi="宋体" w:eastAsia="宋体" w:cs="宋体"/>
          <w:color w:val="000000"/>
          <w:sz w:val="24"/>
        </w:rPr>
        <w:t>3.4</w:t>
      </w:r>
      <w:r>
        <w:rPr>
          <w:rFonts w:hint="eastAsia" w:ascii="宋体" w:hAnsi="宋体" w:eastAsia="宋体" w:cs="宋体"/>
          <w:color w:val="000000"/>
          <w:sz w:val="24"/>
        </w:rPr>
        <w:t>慢病多中心数据采集和管理</w:t>
      </w:r>
    </w:p>
    <w:p>
      <w:pPr>
        <w:pStyle w:val="4"/>
        <w:rPr>
          <w:rFonts w:ascii="宋体" w:hAnsi="宋体" w:eastAsia="宋体" w:cs="宋体"/>
          <w:color w:val="000000"/>
          <w:sz w:val="24"/>
        </w:rPr>
      </w:pPr>
      <w:r>
        <w:rPr>
          <w:rFonts w:ascii="宋体" w:hAnsi="宋体" w:eastAsia="宋体" w:cs="宋体"/>
          <w:color w:val="000000"/>
          <w:sz w:val="24"/>
        </w:rPr>
        <w:t>3.4.1功能列表</w:t>
      </w:r>
    </w:p>
    <w:tbl>
      <w:tblPr>
        <w:tblStyle w:val="12"/>
        <w:tblW w:w="820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33"/>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16" w:type="dxa"/>
            <w:shd w:val="clear" w:color="000000" w:fill="D0CECE"/>
          </w:tcPr>
          <w:p>
            <w:pPr>
              <w:widowControl/>
              <w:spacing w:line="360" w:lineRule="auto"/>
              <w:rPr>
                <w:rFonts w:ascii="宋体" w:hAnsi="宋体" w:cs="宋体"/>
                <w:b/>
                <w:bCs/>
                <w:color w:val="000000"/>
                <w:kern w:val="0"/>
                <w:szCs w:val="24"/>
              </w:rPr>
            </w:pPr>
            <w:r>
              <w:rPr>
                <w:rFonts w:hint="eastAsia" w:ascii="宋体" w:hAnsi="宋体" w:cs="宋体"/>
                <w:b/>
                <w:bCs/>
                <w:color w:val="000000"/>
                <w:kern w:val="0"/>
                <w:szCs w:val="24"/>
              </w:rPr>
              <w:t>系统名称</w:t>
            </w:r>
          </w:p>
        </w:tc>
        <w:tc>
          <w:tcPr>
            <w:tcW w:w="1633" w:type="dxa"/>
            <w:shd w:val="clear" w:color="000000" w:fill="D0CECE"/>
          </w:tcPr>
          <w:p>
            <w:pPr>
              <w:widowControl/>
              <w:spacing w:line="360" w:lineRule="auto"/>
              <w:rPr>
                <w:rFonts w:ascii="宋体" w:hAnsi="宋体" w:cs="宋体"/>
                <w:b/>
                <w:bCs/>
                <w:color w:val="000000"/>
                <w:kern w:val="0"/>
                <w:szCs w:val="24"/>
              </w:rPr>
            </w:pPr>
            <w:r>
              <w:rPr>
                <w:rFonts w:hint="eastAsia" w:ascii="宋体" w:hAnsi="宋体" w:cs="宋体"/>
                <w:b/>
                <w:bCs/>
                <w:color w:val="000000"/>
                <w:kern w:val="0"/>
                <w:szCs w:val="24"/>
              </w:rPr>
              <w:t>功能模块</w:t>
            </w:r>
          </w:p>
        </w:tc>
        <w:tc>
          <w:tcPr>
            <w:tcW w:w="5358" w:type="dxa"/>
            <w:shd w:val="clear" w:color="000000" w:fill="D0CECE"/>
          </w:tcPr>
          <w:p>
            <w:pPr>
              <w:widowControl/>
              <w:spacing w:line="360" w:lineRule="auto"/>
              <w:rPr>
                <w:rFonts w:ascii="宋体" w:hAnsi="宋体" w:cs="宋体"/>
                <w:b/>
                <w:bCs/>
                <w:color w:val="000000"/>
                <w:kern w:val="0"/>
                <w:szCs w:val="24"/>
              </w:rPr>
            </w:pPr>
            <w:r>
              <w:rPr>
                <w:rFonts w:hint="eastAsia" w:ascii="宋体" w:hAnsi="宋体" w:cs="宋体"/>
                <w:b/>
                <w:bCs/>
                <w:color w:val="000000"/>
                <w:kern w:val="0"/>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6" w:type="dxa"/>
            <w:vMerge w:val="restart"/>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慢病多中心数据采集和管理</w:t>
            </w: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EDC项目管理</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时显示入组进度、数据录入进度、实时数据质量检查、支持识别码或字段检索数据、双录入一致性比较、数据审核、数据疑问管理、自定义数据报告查看与导出（质量报告、描述性统计报告）、电子签名、项目日程管理、数据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CRF表单自定义</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1）支持多种研究类型的CRF设计：问卷调查、横断面研究、队列研究、多中心随机对照临床试验、电子知情同意书等.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2）支持多种的变量类型，包括字符、数值、单选、多选、文档、视频；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3）支持字段计算功能如由身高、体重计算体重指数；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4）支持滑块功能，如EQ-5D生活质量评分；5）支持自定义页面显示方式，如图像化显示口腔内牙齿排列，通过点击图片中的牙齿进行录入数据；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6）生成调查问卷链接或自动向调查对象邮箱分发统一或个性化调查问卷；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7）支持不同组别的受试者采集不同的数据内容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EDC项目随访</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可按照访视流程，设定访视次数及访视内容表单；自定义访视间隔和访视时间窗，并据此自动生成患者的随访日程表，登录页面实时提醒研究者近期随访的患者清单。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EDC项目质控</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支持逻辑核查、支持CRF数据监查、质疑、回复直至质疑关闭、支持人工数据监查、支持操作留痕、溯源：支持过程操作留痕和数据溯源。支持准确性校验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EDC数据字典</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支持在线和离线设计eCRF,并实时生成数据字典；数据字典和eCRF一键导出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EDC系统管理</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用户与机构权限角色管理、多中心管理、电子签名功能、系统语言设置（中文/英文）、支持在线与离线数据采集、具有移动端APP功能、受试者隐私信息保护、外源数据导入、数据库安全。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EDC随机化与统计分析</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支持区组、分层随机；自动生成统计图、统计表，提供描述性统计结果并可导出图片或表格，计量资料提供N（missing）、均数、标准差、最大值、最小值、四分位数，计数资料提供频数分布图。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16" w:type="dxa"/>
            <w:vMerge w:val="continue"/>
            <w:vAlign w:val="center"/>
          </w:tcPr>
          <w:p>
            <w:pPr>
              <w:widowControl/>
              <w:spacing w:line="360" w:lineRule="auto"/>
              <w:rPr>
                <w:rFonts w:hint="eastAsia" w:ascii="宋体" w:hAnsi="宋体" w:eastAsia="宋体" w:cs="宋体"/>
                <w:color w:val="000000"/>
                <w:kern w:val="0"/>
                <w:sz w:val="20"/>
                <w:szCs w:val="20"/>
              </w:rPr>
            </w:pPr>
          </w:p>
        </w:tc>
        <w:tc>
          <w:tcPr>
            <w:tcW w:w="1633"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REDCap EDC培训支持</w:t>
            </w:r>
          </w:p>
        </w:tc>
        <w:tc>
          <w:tcPr>
            <w:tcW w:w="5358"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进行REDCap EDC使用的培训与支持工作，包括：REDCap概览、EDC-问卷（CRF）设置、数据的输入、数据下载与上传等。</w:t>
            </w:r>
          </w:p>
        </w:tc>
      </w:tr>
    </w:tbl>
    <w:p>
      <w:pPr>
        <w:spacing w:after="120"/>
        <w:jc w:val="both"/>
      </w:pPr>
    </w:p>
    <w:p>
      <w:pPr>
        <w:pStyle w:val="4"/>
      </w:pPr>
      <w:r>
        <w:rPr>
          <w:rFonts w:ascii="宋体" w:hAnsi="宋体" w:eastAsia="宋体" w:cs="宋体"/>
          <w:color w:val="000000"/>
          <w:sz w:val="24"/>
        </w:rPr>
        <w:t>3.4.2技术要求</w:t>
      </w:r>
    </w:p>
    <w:p>
      <w:pPr>
        <w:spacing w:before="0" w:after="0"/>
        <w:ind w:firstLine="420" w:firstLineChars="200"/>
        <w:jc w:val="both"/>
      </w:pPr>
      <w:r>
        <w:rPr>
          <w:rFonts w:ascii="宋体" w:hAnsi="宋体" w:eastAsia="宋体" w:cs="宋体"/>
          <w:color w:val="000000"/>
          <w:sz w:val="21"/>
        </w:rPr>
        <w:t>无</w:t>
      </w:r>
    </w:p>
    <w:p>
      <w:pPr>
        <w:spacing w:after="120"/>
        <w:jc w:val="both"/>
      </w:pPr>
    </w:p>
    <w:p>
      <w:pPr>
        <w:pStyle w:val="3"/>
      </w:pPr>
      <w:r>
        <w:rPr>
          <w:rFonts w:ascii="宋体" w:hAnsi="宋体" w:eastAsia="宋体" w:cs="宋体"/>
          <w:color w:val="000000"/>
          <w:sz w:val="24"/>
        </w:rPr>
        <w:t>3.5</w:t>
      </w:r>
      <w:r>
        <w:rPr>
          <w:rFonts w:hint="eastAsia" w:ascii="宋体" w:hAnsi="宋体" w:eastAsia="宋体" w:cs="宋体"/>
          <w:color w:val="000000"/>
          <w:sz w:val="24"/>
        </w:rPr>
        <w:t>慢病科研</w:t>
      </w:r>
      <w:r>
        <w:rPr>
          <w:rFonts w:ascii="宋体" w:hAnsi="宋体" w:eastAsia="宋体" w:cs="宋体"/>
          <w:color w:val="000000"/>
          <w:sz w:val="24"/>
        </w:rPr>
        <w:t>数据接口</w:t>
      </w:r>
      <w:r>
        <w:rPr>
          <w:rFonts w:hint="eastAsia" w:ascii="宋体" w:hAnsi="宋体" w:eastAsia="宋体" w:cs="宋体"/>
          <w:color w:val="000000"/>
          <w:sz w:val="24"/>
        </w:rPr>
        <w:t>服务功能</w:t>
      </w:r>
    </w:p>
    <w:p>
      <w:pPr>
        <w:pStyle w:val="4"/>
        <w:rPr>
          <w:rFonts w:ascii="宋体" w:hAnsi="宋体" w:eastAsia="宋体" w:cs="宋体"/>
          <w:color w:val="000000"/>
          <w:sz w:val="24"/>
        </w:rPr>
      </w:pPr>
      <w:r>
        <w:rPr>
          <w:rFonts w:ascii="宋体" w:hAnsi="宋体" w:eastAsia="宋体" w:cs="宋体"/>
          <w:color w:val="000000"/>
          <w:sz w:val="24"/>
        </w:rPr>
        <w:t>3.5.1功能列表</w:t>
      </w:r>
    </w:p>
    <w:tbl>
      <w:tblPr>
        <w:tblStyle w:val="12"/>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11"/>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61"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系统名称</w:t>
            </w:r>
          </w:p>
        </w:tc>
        <w:tc>
          <w:tcPr>
            <w:tcW w:w="1711"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功能模块</w:t>
            </w:r>
          </w:p>
        </w:tc>
        <w:tc>
          <w:tcPr>
            <w:tcW w:w="5235" w:type="dxa"/>
            <w:shd w:val="clear" w:color="000000" w:fill="AEAAAA"/>
          </w:tcPr>
          <w:p>
            <w:pPr>
              <w:widowControl/>
              <w:spacing w:line="360" w:lineRule="auto"/>
              <w:rPr>
                <w:rFonts w:ascii="宋体" w:hAnsi="宋体" w:cs="宋体"/>
                <w:b/>
                <w:bCs/>
                <w:color w:val="000000"/>
                <w:kern w:val="0"/>
                <w:sz w:val="20"/>
                <w:szCs w:val="20"/>
              </w:rPr>
            </w:pPr>
            <w:r>
              <w:rPr>
                <w:rFonts w:hint="eastAsia" w:ascii="宋体" w:hAnsi="宋体" w:cs="宋体"/>
                <w:b/>
                <w:bCs/>
                <w:color w:val="000000"/>
                <w:kern w:val="0"/>
                <w:sz w:val="20"/>
                <w:szCs w:val="20"/>
              </w:rPr>
              <w:t>功能简述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61" w:type="dxa"/>
            <w:vMerge w:val="restart"/>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慢病科研数据接口服务</w:t>
            </w:r>
          </w:p>
        </w:tc>
        <w:tc>
          <w:tcPr>
            <w:tcW w:w="1711"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1、慢病数据服务管理</w:t>
            </w:r>
          </w:p>
        </w:tc>
        <w:tc>
          <w:tcPr>
            <w:tcW w:w="5235"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通过统一API平台的API生成、注册、编排、授权、限流、隔离、监控告警、统计等一系列服务，实现平台内各业务系统之间数据的安全灵活集成交换。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61" w:type="dxa"/>
            <w:vMerge w:val="continue"/>
            <w:vAlign w:val="center"/>
          </w:tcPr>
          <w:p>
            <w:pPr>
              <w:widowControl/>
              <w:spacing w:line="360" w:lineRule="auto"/>
              <w:rPr>
                <w:rFonts w:hint="eastAsia" w:ascii="宋体" w:hAnsi="宋体" w:eastAsia="宋体" w:cs="宋体"/>
                <w:color w:val="000000"/>
                <w:kern w:val="0"/>
                <w:sz w:val="20"/>
                <w:szCs w:val="20"/>
              </w:rPr>
            </w:pPr>
          </w:p>
        </w:tc>
        <w:tc>
          <w:tcPr>
            <w:tcW w:w="1711"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2、慢病数据上报与数据对接</w:t>
            </w:r>
          </w:p>
        </w:tc>
        <w:tc>
          <w:tcPr>
            <w:tcW w:w="5235" w:type="dxa"/>
            <w:shd w:val="clear" w:color="auto" w:fill="auto"/>
          </w:tcPr>
          <w:p>
            <w:pPr>
              <w:widowControl/>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支持与国家平台、第三方软件公司的数据对接工作，满足数据上报需求，向第三方厂商、及数据上报管理团队提供数据服务。</w:t>
            </w:r>
          </w:p>
        </w:tc>
      </w:tr>
    </w:tbl>
    <w:p/>
    <w:p>
      <w:pPr>
        <w:pStyle w:val="4"/>
      </w:pPr>
      <w:r>
        <w:rPr>
          <w:rFonts w:ascii="宋体" w:hAnsi="宋体" w:eastAsia="宋体" w:cs="宋体"/>
          <w:color w:val="000000"/>
          <w:sz w:val="24"/>
        </w:rPr>
        <w:t>3.5.2</w:t>
      </w:r>
      <w:r>
        <w:rPr>
          <w:rFonts w:hint="eastAsia" w:ascii="宋体" w:hAnsi="宋体" w:eastAsia="宋体" w:cs="宋体"/>
          <w:color w:val="000000"/>
          <w:sz w:val="24"/>
        </w:rPr>
        <w:t>服务</w:t>
      </w:r>
      <w:r>
        <w:rPr>
          <w:rFonts w:ascii="宋体" w:hAnsi="宋体" w:eastAsia="宋体" w:cs="宋体"/>
          <w:color w:val="000000"/>
          <w:sz w:val="24"/>
        </w:rPr>
        <w:t>要求</w:t>
      </w:r>
    </w:p>
    <w:p>
      <w:pPr>
        <w:numPr>
          <w:ilvl w:val="0"/>
          <w:numId w:val="1"/>
        </w:numPr>
        <w:snapToGrid/>
        <w:spacing w:before="0" w:after="0" w:line="360" w:lineRule="auto"/>
        <w:jc w:val="both"/>
        <w:rPr>
          <w:rFonts w:hint="eastAsia" w:ascii="宋体" w:hAnsi="宋体" w:eastAsia="宋体" w:cs="宋体"/>
        </w:rPr>
      </w:pPr>
      <w:r>
        <w:rPr>
          <w:rFonts w:hint="eastAsia" w:ascii="宋体" w:hAnsi="宋体" w:eastAsia="宋体" w:cs="宋体"/>
        </w:rPr>
        <w:t>平台支持对外统一的数据访问接口和模型，平台提供API接口对外开放，同时也提供二次开发界面，针对不同的使用需求也可以提供定制化的视图。以满足不同第三方系统对平台中数据的调阅使用。</w:t>
      </w:r>
    </w:p>
    <w:p>
      <w:pPr>
        <w:numPr>
          <w:ilvl w:val="0"/>
          <w:numId w:val="1"/>
        </w:numPr>
        <w:snapToGrid/>
        <w:spacing w:before="0" w:after="0" w:line="360" w:lineRule="auto"/>
        <w:jc w:val="both"/>
        <w:rPr>
          <w:rFonts w:hint="eastAsia" w:ascii="宋体" w:hAnsi="宋体" w:eastAsia="宋体" w:cs="宋体"/>
        </w:rPr>
      </w:pPr>
      <w:r>
        <w:rPr>
          <w:rFonts w:hint="eastAsia" w:ascii="宋体" w:hAnsi="宋体" w:eastAsia="宋体" w:cs="宋体"/>
        </w:rPr>
        <w:t>在服务期内，免费包含我院与国家平台、第三方软件公司的数据对接工作。</w:t>
      </w:r>
    </w:p>
    <w:p>
      <w:pPr>
        <w:numPr>
          <w:ilvl w:val="0"/>
          <w:numId w:val="1"/>
        </w:numPr>
        <w:snapToGrid/>
        <w:spacing w:before="0" w:after="0" w:line="360" w:lineRule="auto"/>
        <w:jc w:val="both"/>
        <w:rPr>
          <w:rFonts w:hint="eastAsia" w:ascii="宋体" w:hAnsi="宋体" w:eastAsia="宋体" w:cs="宋体"/>
        </w:rPr>
      </w:pPr>
      <w:r>
        <w:rPr>
          <w:rFonts w:hint="eastAsia" w:ascii="宋体" w:hAnsi="宋体" w:eastAsia="宋体" w:cs="宋体"/>
        </w:rPr>
        <w:t>依据国家数据上报指标项目进行数据采集和管理，并通过自动化填报技术手段完成数据上报。</w:t>
      </w:r>
    </w:p>
    <w:p>
      <w:pPr>
        <w:numPr>
          <w:ilvl w:val="0"/>
          <w:numId w:val="1"/>
        </w:numPr>
        <w:snapToGrid/>
        <w:spacing w:before="0" w:after="0" w:line="360" w:lineRule="auto"/>
        <w:jc w:val="both"/>
        <w:rPr>
          <w:rFonts w:hint="eastAsia" w:ascii="宋体" w:hAnsi="宋体" w:eastAsia="宋体" w:cs="宋体"/>
        </w:rPr>
      </w:pPr>
      <w:r>
        <w:rPr>
          <w:rFonts w:hint="eastAsia" w:ascii="宋体" w:hAnsi="宋体" w:eastAsia="宋体" w:cs="宋体"/>
        </w:rPr>
        <w:t>上报需求：满足省医对外数据接口的适应性修改。</w:t>
      </w:r>
    </w:p>
    <w:p>
      <w:pPr>
        <w:numPr>
          <w:ilvl w:val="0"/>
          <w:numId w:val="1"/>
        </w:numPr>
        <w:snapToGrid/>
        <w:spacing w:before="0" w:after="0" w:line="360" w:lineRule="auto"/>
        <w:jc w:val="both"/>
        <w:rPr>
          <w:rFonts w:hint="eastAsia" w:ascii="宋体" w:hAnsi="宋体" w:eastAsia="宋体" w:cs="宋体"/>
        </w:rPr>
      </w:pPr>
      <w:r>
        <w:rPr>
          <w:rFonts w:hint="eastAsia" w:ascii="宋体" w:hAnsi="宋体" w:eastAsia="宋体" w:cs="宋体"/>
        </w:rPr>
        <w:t>要求实现对第三方厂商、及数据上报管理团队的数据服务能力，支持AIP接口和数据库表开放的方式。</w:t>
      </w:r>
    </w:p>
    <w:p>
      <w:pPr>
        <w:spacing w:before="0" w:after="0"/>
        <w:jc w:val="both"/>
      </w:pPr>
    </w:p>
    <w:p>
      <w:pPr>
        <w:pStyle w:val="2"/>
      </w:pPr>
      <w:r>
        <w:rPr>
          <w:rFonts w:ascii="宋体" w:hAnsi="宋体" w:eastAsia="宋体" w:cs="宋体"/>
          <w:color w:val="000000"/>
          <w:sz w:val="32"/>
        </w:rPr>
        <w:t>四.项目工期及实施要求</w:t>
      </w:r>
    </w:p>
    <w:p>
      <w:pPr>
        <w:spacing w:before="0" w:after="0" w:line="360" w:lineRule="auto"/>
        <w:ind w:firstLine="420" w:firstLineChars="200"/>
        <w:jc w:val="both"/>
      </w:pPr>
      <w:r>
        <w:rPr>
          <w:rFonts w:ascii="'Times New Roman'" w:hAnsi="'Times New Roman'" w:eastAsia="'Times New Roman'" w:cs="'Times New Roman'"/>
          <w:color w:val="000000"/>
          <w:sz w:val="21"/>
        </w:rPr>
        <w:t>1.</w:t>
      </w:r>
      <w:r>
        <w:rPr>
          <w:rFonts w:ascii="宋体" w:hAnsi="宋体" w:eastAsia="宋体" w:cs="宋体"/>
          <w:color w:val="000000"/>
          <w:sz w:val="21"/>
        </w:rPr>
        <w:t>自合同签订日起，须在</w:t>
      </w:r>
      <w:r>
        <w:rPr>
          <w:rFonts w:ascii="Times New Roman" w:hAnsi="Times New Roman" w:eastAsia="Times New Roman" w:cs="Times New Roman"/>
          <w:color w:val="000000"/>
          <w:sz w:val="21"/>
        </w:rPr>
        <w:t>_</w:t>
      </w:r>
      <w:r>
        <w:rPr>
          <w:rFonts w:ascii="'Times New Roman'" w:hAnsi="'Times New Roman'" w:eastAsia="'Times New Roman'" w:cs="'Times New Roman'"/>
          <w:color w:val="000000"/>
          <w:sz w:val="21"/>
          <w:u w:val="single"/>
        </w:rPr>
        <w:t>30</w:t>
      </w:r>
      <w:r>
        <w:rPr>
          <w:rFonts w:ascii="Times New Roman" w:hAnsi="Times New Roman" w:eastAsia="Times New Roman" w:cs="Times New Roman"/>
          <w:color w:val="000000"/>
          <w:sz w:val="21"/>
        </w:rPr>
        <w:t>_</w:t>
      </w:r>
      <w:r>
        <w:rPr>
          <w:rFonts w:ascii="宋体" w:hAnsi="宋体" w:eastAsia="宋体" w:cs="宋体"/>
          <w:color w:val="000000"/>
          <w:sz w:val="21"/>
        </w:rPr>
        <w:t>个工作日内对《用户需求说明书》进行补充、确认或提出意见。</w:t>
      </w:r>
    </w:p>
    <w:p>
      <w:pPr>
        <w:spacing w:before="0" w:after="0" w:line="360" w:lineRule="auto"/>
        <w:ind w:firstLine="420" w:firstLineChars="200"/>
        <w:jc w:val="both"/>
      </w:pPr>
      <w:r>
        <w:rPr>
          <w:rFonts w:ascii="'Times New Roman'" w:hAnsi="'Times New Roman'" w:eastAsia="'Times New Roman'" w:cs="'Times New Roman'"/>
          <w:color w:val="000000"/>
          <w:sz w:val="21"/>
        </w:rPr>
        <w:t>2.</w:t>
      </w:r>
      <w:r>
        <w:rPr>
          <w:rFonts w:ascii="宋体" w:hAnsi="宋体" w:eastAsia="宋体" w:cs="宋体"/>
          <w:color w:val="000000"/>
          <w:sz w:val="21"/>
        </w:rPr>
        <w:t>对《用户需求说明书》提出意见后，院方组织进行用户需求调研，根据调研情况提供业务调研记录、现况分析、功能设计及说明，双方共同整理并在</w:t>
      </w:r>
      <w:r>
        <w:rPr>
          <w:rFonts w:ascii="'Times New Roman'" w:hAnsi="'Times New Roman'" w:eastAsia="'Times New Roman'" w:cs="'Times New Roman'"/>
          <w:color w:val="000000"/>
          <w:sz w:val="21"/>
        </w:rPr>
        <w:t>60</w:t>
      </w:r>
      <w:r>
        <w:rPr>
          <w:rFonts w:ascii="宋体" w:hAnsi="宋体" w:eastAsia="宋体" w:cs="宋体"/>
          <w:color w:val="000000"/>
          <w:sz w:val="21"/>
        </w:rPr>
        <w:t>个工作日内确认《需求规格说明书》。</w:t>
      </w:r>
    </w:p>
    <w:p>
      <w:pPr>
        <w:spacing w:before="0" w:after="0" w:line="360" w:lineRule="auto"/>
        <w:ind w:firstLine="420" w:firstLineChars="200"/>
        <w:jc w:val="both"/>
      </w:pPr>
      <w:r>
        <w:rPr>
          <w:rFonts w:ascii="'Times New Roman'" w:hAnsi="'Times New Roman'" w:eastAsia="'Times New Roman'" w:cs="'Times New Roman'"/>
          <w:color w:val="000000"/>
          <w:sz w:val="21"/>
        </w:rPr>
        <w:t>3.</w:t>
      </w:r>
      <w:r>
        <w:rPr>
          <w:rFonts w:ascii="宋体" w:hAnsi="宋体" w:eastAsia="宋体" w:cs="宋体"/>
          <w:color w:val="000000"/>
          <w:sz w:val="21"/>
        </w:rPr>
        <w:t>须在《需求规格说明书》确认后的</w:t>
      </w:r>
      <w:r>
        <w:rPr>
          <w:rFonts w:ascii="Times New Roman" w:hAnsi="Times New Roman" w:eastAsia="Times New Roman" w:cs="Times New Roman"/>
          <w:color w:val="000000"/>
          <w:sz w:val="21"/>
        </w:rPr>
        <w:t>_</w:t>
      </w:r>
      <w:r>
        <w:rPr>
          <w:rFonts w:ascii="'Times New Roman'" w:hAnsi="'Times New Roman'" w:eastAsia="'Times New Roman'" w:cs="'Times New Roman'"/>
          <w:color w:val="000000"/>
          <w:sz w:val="21"/>
        </w:rPr>
        <w:t>180</w:t>
      </w:r>
      <w:r>
        <w:rPr>
          <w:rFonts w:ascii="Times New Roman" w:hAnsi="Times New Roman" w:eastAsia="Times New Roman" w:cs="Times New Roman"/>
          <w:color w:val="000000"/>
          <w:sz w:val="21"/>
        </w:rPr>
        <w:t>_</w:t>
      </w:r>
      <w:r>
        <w:rPr>
          <w:rFonts w:ascii="宋体" w:hAnsi="宋体" w:eastAsia="宋体" w:cs="宋体"/>
          <w:color w:val="000000"/>
          <w:sz w:val="21"/>
        </w:rPr>
        <w:t>个工作日内完成实施导入和保证系统正常工作。</w:t>
      </w:r>
    </w:p>
    <w:p>
      <w:pPr>
        <w:spacing w:before="0" w:after="0" w:line="360" w:lineRule="auto"/>
        <w:ind w:firstLine="420" w:firstLineChars="200"/>
        <w:jc w:val="both"/>
      </w:pPr>
      <w:r>
        <w:rPr>
          <w:rFonts w:ascii="'Times New Roman'" w:hAnsi="'Times New Roman'" w:eastAsia="'Times New Roman'" w:cs="'Times New Roman'"/>
          <w:color w:val="000000"/>
          <w:sz w:val="21"/>
        </w:rPr>
        <w:t>4.</w:t>
      </w:r>
      <w:r>
        <w:rPr>
          <w:rFonts w:ascii="宋体" w:hAnsi="宋体" w:eastAsia="宋体" w:cs="宋体"/>
          <w:color w:val="000000"/>
          <w:sz w:val="21"/>
        </w:rPr>
        <w:t>完成软件实施，并根据院方提出的新需求完成修改后，系统运行</w:t>
      </w:r>
      <w:r>
        <w:rPr>
          <w:rFonts w:ascii="Times New Roman" w:hAnsi="Times New Roman" w:eastAsia="Times New Roman" w:cs="Times New Roman"/>
          <w:color w:val="000000"/>
          <w:sz w:val="21"/>
        </w:rPr>
        <w:t>_</w:t>
      </w:r>
      <w:r>
        <w:rPr>
          <w:rFonts w:ascii="'Times New Roman'" w:hAnsi="'Times New Roman'" w:eastAsia="'Times New Roman'" w:cs="'Times New Roman'"/>
          <w:color w:val="000000"/>
          <w:sz w:val="21"/>
        </w:rPr>
        <w:t>3</w:t>
      </w:r>
      <w:r>
        <w:rPr>
          <w:rFonts w:ascii="Times New Roman" w:hAnsi="Times New Roman" w:eastAsia="Times New Roman" w:cs="Times New Roman"/>
          <w:color w:val="000000"/>
          <w:sz w:val="21"/>
        </w:rPr>
        <w:t>_</w:t>
      </w:r>
      <w:r>
        <w:rPr>
          <w:rFonts w:ascii="宋体" w:hAnsi="宋体" w:eastAsia="宋体" w:cs="宋体"/>
          <w:color w:val="000000"/>
          <w:sz w:val="21"/>
        </w:rPr>
        <w:t>个月以上无软件故障出现，则向院方申请验收。</w:t>
      </w:r>
    </w:p>
    <w:p>
      <w:pPr>
        <w:spacing w:before="0" w:after="0"/>
        <w:jc w:val="both"/>
      </w:pPr>
    </w:p>
    <w:p>
      <w:pPr>
        <w:pStyle w:val="2"/>
      </w:pPr>
      <w:r>
        <w:rPr>
          <w:rFonts w:ascii="宋体" w:hAnsi="宋体" w:eastAsia="宋体" w:cs="宋体"/>
          <w:color w:val="000000"/>
          <w:sz w:val="32"/>
        </w:rPr>
        <w:t>五.集成技术及实施服务要求</w:t>
      </w:r>
    </w:p>
    <w:p>
      <w:pPr>
        <w:spacing w:before="0" w:after="0" w:line="360" w:lineRule="auto"/>
        <w:ind w:firstLine="420" w:firstLineChars="200"/>
        <w:jc w:val="both"/>
      </w:pPr>
      <w:r>
        <w:rPr>
          <w:rFonts w:ascii="宋体" w:hAnsi="宋体" w:eastAsia="宋体" w:cs="宋体"/>
          <w:color w:val="000000"/>
          <w:sz w:val="21"/>
        </w:rPr>
        <w:t>项目实施期内承建商提供专职工程师</w:t>
      </w:r>
      <w:r>
        <w:rPr>
          <w:rFonts w:ascii="'Times New Roman'" w:hAnsi="'Times New Roman'" w:eastAsia="'Times New Roman'" w:cs="'Times New Roman'"/>
          <w:color w:val="000000"/>
          <w:sz w:val="21"/>
        </w:rPr>
        <w:t> </w:t>
      </w:r>
      <w:r>
        <w:rPr>
          <w:rFonts w:ascii="'Times New Roman'" w:hAnsi="'Times New Roman'" w:eastAsia="'Times New Roman'" w:cs="'Times New Roman'"/>
          <w:color w:val="000000"/>
          <w:sz w:val="21"/>
          <w:u w:val="single"/>
        </w:rPr>
        <w:t>2</w:t>
      </w:r>
      <w:r>
        <w:rPr>
          <w:rFonts w:ascii="宋体" w:hAnsi="宋体" w:eastAsia="宋体" w:cs="宋体"/>
          <w:color w:val="000000"/>
          <w:sz w:val="21"/>
        </w:rPr>
        <w:t>名驻扎本院，工作时间与院方工作时间一致，并且提供</w:t>
      </w:r>
      <w:r>
        <w:rPr>
          <w:rFonts w:ascii="Times New Roman" w:hAnsi="Times New Roman" w:eastAsia="Times New Roman" w:cs="Times New Roman"/>
          <w:color w:val="000000"/>
          <w:sz w:val="21"/>
        </w:rPr>
        <w:t>7*24</w:t>
      </w:r>
      <w:r>
        <w:rPr>
          <w:rFonts w:ascii="宋体" w:hAnsi="宋体" w:eastAsia="宋体" w:cs="宋体"/>
          <w:color w:val="000000"/>
          <w:sz w:val="21"/>
        </w:rPr>
        <w:t>小时响应服务。</w:t>
      </w:r>
    </w:p>
    <w:p>
      <w:pPr>
        <w:spacing w:before="0" w:after="0" w:line="360" w:lineRule="auto"/>
        <w:ind w:firstLine="420" w:firstLineChars="200"/>
        <w:jc w:val="both"/>
      </w:pPr>
      <w:r>
        <w:rPr>
          <w:rFonts w:ascii="宋体" w:hAnsi="宋体" w:eastAsia="宋体" w:cs="宋体"/>
          <w:color w:val="000000"/>
          <w:sz w:val="21"/>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before="0" w:after="0" w:line="360" w:lineRule="auto"/>
        <w:ind w:firstLine="420" w:firstLineChars="200"/>
        <w:jc w:val="both"/>
        <w:rPr>
          <w:color w:val="auto"/>
        </w:rPr>
      </w:pPr>
      <w:r>
        <w:rPr>
          <w:rFonts w:ascii="宋体" w:hAnsi="宋体" w:eastAsia="宋体" w:cs="宋体"/>
          <w:color w:val="000000"/>
          <w:sz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后续也应按照我院要求，积极配合我院开展网络安全三级等保等网络安全整改工作。</w:t>
      </w:r>
    </w:p>
    <w:p>
      <w:pPr>
        <w:spacing w:before="0" w:after="0" w:line="360" w:lineRule="auto"/>
        <w:ind w:firstLine="420" w:firstLineChars="200"/>
        <w:jc w:val="both"/>
      </w:pPr>
      <w:r>
        <w:rPr>
          <w:rFonts w:ascii="宋体" w:hAnsi="宋体" w:eastAsia="宋体" w:cs="宋体"/>
          <w:color w:val="000000"/>
          <w:sz w:val="21"/>
        </w:rPr>
        <w:t>项目承建商需根据院方的详细需求，提交项目系统的安装、调试及培训实施方案，方案得到院方确认后实施，保证系统按时、正常地投入运行。</w:t>
      </w:r>
    </w:p>
    <w:p>
      <w:pPr>
        <w:spacing w:before="0" w:after="0" w:line="360" w:lineRule="auto"/>
        <w:ind w:firstLine="420" w:firstLineChars="200"/>
        <w:jc w:val="both"/>
      </w:pPr>
      <w:r>
        <w:rPr>
          <w:rFonts w:ascii="宋体" w:hAnsi="宋体" w:eastAsia="宋体" w:cs="宋体"/>
          <w:color w:val="000000"/>
          <w:sz w:val="21"/>
        </w:rPr>
        <w:t>项目承建商应为院方进行培训，包括使用培训和维护培训。承建商应提出详细的培训计划，提供培训教材。技术培训的内容必须系统使用，以及基本的故障诊断与排错。包括平台使用培训、系统维护培训、并保证培训效果。</w:t>
      </w:r>
    </w:p>
    <w:p>
      <w:pPr>
        <w:spacing w:before="0" w:after="0" w:line="360" w:lineRule="auto"/>
        <w:ind w:firstLine="420" w:firstLineChars="200"/>
        <w:jc w:val="both"/>
      </w:pPr>
      <w:r>
        <w:rPr>
          <w:rFonts w:ascii="宋体" w:hAnsi="宋体" w:eastAsia="宋体" w:cs="宋体"/>
          <w:color w:val="000000"/>
          <w:sz w:val="21"/>
        </w:rPr>
        <w:t>验收由承建商给出具体的验收计划、测试的内容和方法，经院方审核通过后，方可进行验收测试。</w:t>
      </w:r>
    </w:p>
    <w:p>
      <w:pPr>
        <w:spacing w:before="0" w:after="0"/>
        <w:jc w:val="both"/>
      </w:pPr>
    </w:p>
    <w:p>
      <w:pPr>
        <w:pStyle w:val="2"/>
      </w:pPr>
      <w:r>
        <w:rPr>
          <w:rFonts w:ascii="宋体" w:hAnsi="宋体" w:eastAsia="宋体" w:cs="宋体"/>
          <w:color w:val="000000"/>
          <w:sz w:val="32"/>
        </w:rPr>
        <w:t>六.后续维护服务</w:t>
      </w:r>
    </w:p>
    <w:p>
      <w:pPr>
        <w:spacing w:before="0" w:after="0" w:line="360" w:lineRule="auto"/>
        <w:ind w:firstLine="420" w:firstLineChars="200"/>
        <w:jc w:val="both"/>
      </w:pPr>
      <w:r>
        <w:rPr>
          <w:rFonts w:ascii="宋体" w:hAnsi="宋体" w:eastAsia="宋体" w:cs="宋体"/>
          <w:color w:val="000000"/>
          <w:sz w:val="21"/>
        </w:rPr>
        <w:t>软件免费维护期从合同标的验收合格之日算起，期限为</w:t>
      </w:r>
      <w:r>
        <w:rPr>
          <w:rFonts w:hint="eastAsia" w:ascii="宋体" w:hAnsi="宋体" w:eastAsia="宋体" w:cs="宋体"/>
          <w:color w:val="000000"/>
          <w:sz w:val="21"/>
          <w:u w:val="single"/>
        </w:rPr>
        <w:t xml:space="preserve"> </w:t>
      </w:r>
      <w:r>
        <w:rPr>
          <w:rFonts w:ascii="宋体" w:hAnsi="宋体" w:eastAsia="宋体" w:cs="宋体"/>
          <w:color w:val="000000"/>
          <w:sz w:val="21"/>
          <w:u w:val="single"/>
        </w:rPr>
        <w:t>24</w:t>
      </w:r>
      <w:r>
        <w:rPr>
          <w:rFonts w:hint="eastAsia" w:ascii="宋体" w:hAnsi="宋体" w:eastAsia="宋体" w:cs="宋体"/>
          <w:color w:val="000000"/>
          <w:sz w:val="21"/>
          <w:u w:val="single"/>
        </w:rPr>
        <w:t xml:space="preserve"> </w:t>
      </w:r>
      <w:r>
        <w:rPr>
          <w:rFonts w:ascii="宋体" w:hAnsi="宋体" w:eastAsia="宋体" w:cs="宋体"/>
          <w:color w:val="000000"/>
          <w:sz w:val="21"/>
        </w:rPr>
        <w:t>个月。在免费维护期内，承建商提供技术支持和指导，以及软件的局部改进完善以及故障情况下的现场问题解决。</w:t>
      </w:r>
    </w:p>
    <w:p>
      <w:pPr>
        <w:spacing w:before="0" w:after="0" w:line="360" w:lineRule="auto"/>
        <w:ind w:firstLine="420" w:firstLineChars="200"/>
        <w:jc w:val="both"/>
      </w:pPr>
      <w:r>
        <w:rPr>
          <w:rFonts w:ascii="宋体" w:hAnsi="宋体" w:eastAsia="宋体" w:cs="宋体"/>
          <w:color w:val="000000"/>
          <w:sz w:val="21"/>
        </w:rPr>
        <w:t>免费维保期内承建商为院方提供维护及服务的部门及固定的专职技术人员。承建商提供专职工程师</w:t>
      </w:r>
      <w:r>
        <w:rPr>
          <w:rFonts w:hint="eastAsia" w:ascii="宋体" w:hAnsi="宋体" w:eastAsia="宋体" w:cs="宋体"/>
          <w:color w:val="000000"/>
          <w:sz w:val="21"/>
          <w:u w:val="single"/>
        </w:rPr>
        <w:t xml:space="preserve"> </w:t>
      </w:r>
      <w:r>
        <w:rPr>
          <w:rFonts w:ascii="Times New Roman" w:hAnsi="Times New Roman" w:eastAsia="Times New Roman" w:cs="Times New Roman"/>
          <w:color w:val="000000"/>
          <w:sz w:val="21"/>
          <w:u w:val="single"/>
        </w:rPr>
        <w:t xml:space="preserve">1 </w:t>
      </w:r>
      <w:r>
        <w:rPr>
          <w:rFonts w:hint="eastAsia" w:ascii="Times New Roman" w:hAnsi="Times New Roman" w:eastAsia="宋体" w:cs="Times New Roman"/>
          <w:color w:val="000000"/>
          <w:sz w:val="21"/>
          <w:u w:val="single"/>
        </w:rPr>
        <w:t xml:space="preserve"> </w:t>
      </w:r>
      <w:r>
        <w:rPr>
          <w:rFonts w:ascii="宋体" w:hAnsi="宋体" w:eastAsia="宋体" w:cs="宋体"/>
          <w:color w:val="000000"/>
          <w:sz w:val="21"/>
        </w:rPr>
        <w:t>名驻扎本院，工作时间与院方工作时间一致，并且提供</w:t>
      </w:r>
      <w:r>
        <w:rPr>
          <w:rFonts w:ascii="Times New Roman" w:hAnsi="Times New Roman" w:eastAsia="Times New Roman" w:cs="Times New Roman"/>
          <w:color w:val="000000"/>
          <w:sz w:val="21"/>
        </w:rPr>
        <w:t>7*24</w:t>
      </w:r>
      <w:r>
        <w:rPr>
          <w:rFonts w:ascii="宋体" w:hAnsi="宋体" w:eastAsia="宋体" w:cs="宋体"/>
          <w:color w:val="000000"/>
          <w:sz w:val="21"/>
        </w:rPr>
        <w:t>小时响应服务。</w:t>
      </w:r>
    </w:p>
    <w:p>
      <w:pPr>
        <w:spacing w:before="0" w:after="0" w:line="360" w:lineRule="auto"/>
        <w:ind w:firstLine="420" w:firstLineChars="200"/>
        <w:jc w:val="both"/>
      </w:pPr>
      <w:r>
        <w:rPr>
          <w:rFonts w:ascii="宋体" w:hAnsi="宋体" w:eastAsia="宋体" w:cs="宋体"/>
          <w:color w:val="000000"/>
          <w:sz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spacing w:before="0" w:after="0" w:line="360" w:lineRule="auto"/>
        <w:ind w:firstLine="420" w:firstLineChars="200"/>
        <w:jc w:val="both"/>
      </w:pPr>
      <w:r>
        <w:rPr>
          <w:rFonts w:ascii="宋体" w:hAnsi="宋体" w:eastAsia="宋体" w:cs="宋体"/>
          <w:color w:val="000000"/>
          <w:sz w:val="21"/>
        </w:rPr>
        <w:t>超过免费维护期的，双方另行协商签订维护合同，服务方报价不超过合同软件部分金额的</w:t>
      </w:r>
      <w:r>
        <w:rPr>
          <w:rFonts w:ascii="Times New Roman" w:hAnsi="Times New Roman" w:eastAsia="Times New Roman" w:cs="Times New Roman"/>
          <w:color w:val="000000"/>
          <w:sz w:val="21"/>
        </w:rPr>
        <w:t>8%</w:t>
      </w:r>
      <w:r>
        <w:rPr>
          <w:rFonts w:ascii="宋体" w:hAnsi="宋体" w:eastAsia="宋体" w:cs="宋体"/>
          <w:color w:val="000000"/>
          <w:sz w:val="21"/>
        </w:rPr>
        <w:t>。</w:t>
      </w:r>
    </w:p>
    <w:p>
      <w:pPr>
        <w:spacing w:before="0" w:after="0" w:line="360" w:lineRule="auto"/>
        <w:ind w:firstLine="440" w:firstLineChars="200"/>
        <w:jc w:val="both"/>
      </w:pPr>
    </w:p>
    <w:p>
      <w:pPr>
        <w:pStyle w:val="2"/>
      </w:pPr>
      <w:r>
        <w:rPr>
          <w:rFonts w:ascii="宋体" w:hAnsi="宋体" w:eastAsia="宋体" w:cs="宋体"/>
          <w:color w:val="000000"/>
          <w:sz w:val="32"/>
        </w:rPr>
        <w:t>七.合同款支付方式</w:t>
      </w:r>
    </w:p>
    <w:p>
      <w:pPr>
        <w:numPr>
          <w:ilvl w:val="0"/>
          <w:numId w:val="2"/>
        </w:numPr>
        <w:spacing w:before="156"/>
        <w:rPr>
          <w:rFonts w:ascii="宋体" w:hAnsi="宋体" w:eastAsia="宋体" w:cs="宋体"/>
          <w:sz w:val="21"/>
          <w:szCs w:val="21"/>
        </w:rPr>
      </w:pPr>
      <w:r>
        <w:rPr>
          <w:rFonts w:hint="eastAsia" w:ascii="宋体" w:hAnsi="宋体" w:eastAsia="宋体" w:cs="宋体"/>
          <w:b/>
          <w:sz w:val="21"/>
          <w:szCs w:val="21"/>
          <w:u w:val="single"/>
        </w:rPr>
        <w:t>合同签订后</w:t>
      </w:r>
      <w:r>
        <w:rPr>
          <w:rFonts w:hint="eastAsia" w:ascii="宋体" w:hAnsi="宋体" w:eastAsia="宋体" w:cs="宋体"/>
          <w:sz w:val="21"/>
          <w:szCs w:val="21"/>
        </w:rPr>
        <w:t>，甲方在收到乙方开具相应金额正式发票后，向乙方支付合同总金额的30%。</w:t>
      </w:r>
    </w:p>
    <w:p>
      <w:pPr>
        <w:numPr>
          <w:ilvl w:val="0"/>
          <w:numId w:val="2"/>
        </w:numPr>
        <w:spacing w:before="156"/>
        <w:rPr>
          <w:rFonts w:ascii="宋体" w:hAnsi="宋体" w:eastAsia="宋体" w:cs="宋体"/>
          <w:sz w:val="21"/>
          <w:szCs w:val="21"/>
        </w:rPr>
      </w:pPr>
      <w:r>
        <w:rPr>
          <w:rFonts w:hint="eastAsia" w:ascii="宋体" w:hAnsi="宋体" w:eastAsia="宋体" w:cs="宋体"/>
          <w:b/>
          <w:sz w:val="21"/>
          <w:szCs w:val="21"/>
          <w:u w:val="single"/>
        </w:rPr>
        <w:t>软件验收通过后</w:t>
      </w:r>
      <w:r>
        <w:rPr>
          <w:rFonts w:hint="eastAsia" w:ascii="宋体" w:hAnsi="宋体" w:eastAsia="宋体" w:cs="宋体"/>
          <w:sz w:val="21"/>
          <w:szCs w:val="21"/>
        </w:rPr>
        <w:t>，甲方在收到乙方开具相应金额正式发票后，向乙方支付合同总金额的65%。</w:t>
      </w:r>
    </w:p>
    <w:p>
      <w:pPr>
        <w:numPr>
          <w:ilvl w:val="0"/>
          <w:numId w:val="2"/>
        </w:numPr>
        <w:spacing w:before="0" w:after="0" w:line="360" w:lineRule="auto"/>
        <w:jc w:val="both"/>
        <w:rPr>
          <w:rFonts w:ascii="宋体" w:hAnsi="宋体" w:eastAsia="宋体" w:cs="宋体"/>
          <w:color w:val="000000"/>
          <w:sz w:val="21"/>
          <w:szCs w:val="21"/>
        </w:rPr>
      </w:pPr>
      <w:r>
        <w:rPr>
          <w:rFonts w:hint="eastAsia" w:ascii="宋体" w:hAnsi="宋体" w:eastAsia="宋体" w:cs="宋体"/>
          <w:b/>
          <w:sz w:val="21"/>
          <w:szCs w:val="21"/>
          <w:u w:val="single"/>
        </w:rPr>
        <w:t>免费维护期结束后</w:t>
      </w:r>
      <w:r>
        <w:rPr>
          <w:rFonts w:hint="eastAsia" w:ascii="宋体" w:hAnsi="宋体" w:eastAsia="宋体" w:cs="宋体"/>
          <w:sz w:val="21"/>
          <w:szCs w:val="21"/>
        </w:rPr>
        <w:t>，由甲方对乙方在服务期内应完成任务进行确认并通过后1个月内，甲方向乙方支付最后一笔尾款；甲方在收到乙方开具相应金额正式发票后，向乙方支付合同总金额的5%。</w:t>
      </w:r>
      <w:bookmarkStart w:id="2" w:name="_GoBack"/>
      <w:bookmarkEnd w:id="2"/>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518B3"/>
    <w:multiLevelType w:val="singleLevel"/>
    <w:tmpl w:val="B65518B3"/>
    <w:lvl w:ilvl="0" w:tentative="0">
      <w:start w:val="1"/>
      <w:numFmt w:val="chineseCounting"/>
      <w:suff w:val="nothing"/>
      <w:lvlText w:val="（%1）"/>
      <w:lvlJc w:val="left"/>
      <w:pPr>
        <w:ind w:left="0" w:firstLine="420"/>
      </w:pPr>
      <w:rPr>
        <w:rFonts w:hint="eastAsia"/>
      </w:rPr>
    </w:lvl>
  </w:abstractNum>
  <w:abstractNum w:abstractNumId="1">
    <w:nsid w:val="2F8A0911"/>
    <w:multiLevelType w:val="multilevel"/>
    <w:tmpl w:val="2F8A0911"/>
    <w:lvl w:ilvl="0" w:tentative="0">
      <w:start w:val="1"/>
      <w:numFmt w:val="bullet"/>
      <w:lvlText w:val=""/>
      <w:lvlJc w:val="left"/>
      <w:pPr>
        <w:ind w:left="898" w:hanging="420"/>
      </w:pPr>
      <w:rPr>
        <w:rFonts w:hint="default" w:ascii="Wingdings" w:hAnsi="Wingdings"/>
      </w:rPr>
    </w:lvl>
    <w:lvl w:ilvl="1" w:tentative="0">
      <w:start w:val="1"/>
      <w:numFmt w:val="bullet"/>
      <w:lvlText w:val=""/>
      <w:lvlJc w:val="left"/>
      <w:pPr>
        <w:ind w:left="1318" w:hanging="420"/>
      </w:pPr>
      <w:rPr>
        <w:rFonts w:hint="default" w:ascii="Wingdings" w:hAnsi="Wingdings"/>
      </w:rPr>
    </w:lvl>
    <w:lvl w:ilvl="2" w:tentative="0">
      <w:start w:val="1"/>
      <w:numFmt w:val="bullet"/>
      <w:lvlText w:val=""/>
      <w:lvlJc w:val="left"/>
      <w:pPr>
        <w:ind w:left="1738" w:hanging="420"/>
      </w:pPr>
      <w:rPr>
        <w:rFonts w:hint="default" w:ascii="Wingdings" w:hAnsi="Wingdings"/>
      </w:rPr>
    </w:lvl>
    <w:lvl w:ilvl="3" w:tentative="0">
      <w:start w:val="1"/>
      <w:numFmt w:val="bullet"/>
      <w:lvlText w:val=""/>
      <w:lvlJc w:val="left"/>
      <w:pPr>
        <w:ind w:left="2158" w:hanging="420"/>
      </w:pPr>
      <w:rPr>
        <w:rFonts w:hint="default" w:ascii="Wingdings" w:hAnsi="Wingdings"/>
      </w:rPr>
    </w:lvl>
    <w:lvl w:ilvl="4" w:tentative="0">
      <w:start w:val="1"/>
      <w:numFmt w:val="bullet"/>
      <w:lvlText w:val=""/>
      <w:lvlJc w:val="left"/>
      <w:pPr>
        <w:ind w:left="2578" w:hanging="420"/>
      </w:pPr>
      <w:rPr>
        <w:rFonts w:hint="default" w:ascii="Wingdings" w:hAnsi="Wingdings"/>
      </w:rPr>
    </w:lvl>
    <w:lvl w:ilvl="5" w:tentative="0">
      <w:start w:val="1"/>
      <w:numFmt w:val="bullet"/>
      <w:lvlText w:val=""/>
      <w:lvlJc w:val="left"/>
      <w:pPr>
        <w:ind w:left="2998" w:hanging="420"/>
      </w:pPr>
      <w:rPr>
        <w:rFonts w:hint="default" w:ascii="Wingdings" w:hAnsi="Wingdings"/>
      </w:rPr>
    </w:lvl>
    <w:lvl w:ilvl="6" w:tentative="0">
      <w:start w:val="1"/>
      <w:numFmt w:val="bullet"/>
      <w:lvlText w:val=""/>
      <w:lvlJc w:val="left"/>
      <w:pPr>
        <w:ind w:left="3418" w:hanging="420"/>
      </w:pPr>
      <w:rPr>
        <w:rFonts w:hint="default" w:ascii="Wingdings" w:hAnsi="Wingdings"/>
      </w:rPr>
    </w:lvl>
    <w:lvl w:ilvl="7" w:tentative="0">
      <w:start w:val="1"/>
      <w:numFmt w:val="bullet"/>
      <w:lvlText w:val=""/>
      <w:lvlJc w:val="left"/>
      <w:pPr>
        <w:ind w:left="3838" w:hanging="420"/>
      </w:pPr>
      <w:rPr>
        <w:rFonts w:hint="default" w:ascii="Wingdings" w:hAnsi="Wingdings"/>
      </w:rPr>
    </w:lvl>
    <w:lvl w:ilvl="8" w:tentative="0">
      <w:start w:val="1"/>
      <w:numFmt w:val="bullet"/>
      <w:lvlText w:val=""/>
      <w:lvlJc w:val="left"/>
      <w:pPr>
        <w:ind w:left="425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11"/>
    <w:rsid w:val="00015759"/>
    <w:rsid w:val="0006709F"/>
    <w:rsid w:val="00070DE6"/>
    <w:rsid w:val="00084DB6"/>
    <w:rsid w:val="000A29D0"/>
    <w:rsid w:val="000B6701"/>
    <w:rsid w:val="000B7619"/>
    <w:rsid w:val="000D5FCE"/>
    <w:rsid w:val="000E4C1F"/>
    <w:rsid w:val="0011301F"/>
    <w:rsid w:val="00133149"/>
    <w:rsid w:val="00153977"/>
    <w:rsid w:val="00163D9A"/>
    <w:rsid w:val="00166A1C"/>
    <w:rsid w:val="001A465A"/>
    <w:rsid w:val="001B6F00"/>
    <w:rsid w:val="001C0A34"/>
    <w:rsid w:val="001D01F1"/>
    <w:rsid w:val="001D19CA"/>
    <w:rsid w:val="001D48E9"/>
    <w:rsid w:val="001E150E"/>
    <w:rsid w:val="001E23B4"/>
    <w:rsid w:val="00221C0E"/>
    <w:rsid w:val="00247E36"/>
    <w:rsid w:val="00263589"/>
    <w:rsid w:val="00272BD0"/>
    <w:rsid w:val="002A039E"/>
    <w:rsid w:val="002C0C88"/>
    <w:rsid w:val="002F136C"/>
    <w:rsid w:val="00306010"/>
    <w:rsid w:val="003327B4"/>
    <w:rsid w:val="00342F7E"/>
    <w:rsid w:val="00395885"/>
    <w:rsid w:val="003C32B9"/>
    <w:rsid w:val="003D0834"/>
    <w:rsid w:val="0042050F"/>
    <w:rsid w:val="004225DE"/>
    <w:rsid w:val="00453011"/>
    <w:rsid w:val="004531FA"/>
    <w:rsid w:val="004841FC"/>
    <w:rsid w:val="004972DA"/>
    <w:rsid w:val="00497780"/>
    <w:rsid w:val="004A63E3"/>
    <w:rsid w:val="004D3E40"/>
    <w:rsid w:val="004D5587"/>
    <w:rsid w:val="004E69BC"/>
    <w:rsid w:val="00562BFC"/>
    <w:rsid w:val="00574DD3"/>
    <w:rsid w:val="00575DFD"/>
    <w:rsid w:val="0058400E"/>
    <w:rsid w:val="0059100B"/>
    <w:rsid w:val="00593864"/>
    <w:rsid w:val="005F344B"/>
    <w:rsid w:val="00603096"/>
    <w:rsid w:val="00604E01"/>
    <w:rsid w:val="00620899"/>
    <w:rsid w:val="006467FE"/>
    <w:rsid w:val="00653716"/>
    <w:rsid w:val="00656492"/>
    <w:rsid w:val="00682EBB"/>
    <w:rsid w:val="00692127"/>
    <w:rsid w:val="006B33F0"/>
    <w:rsid w:val="00700F92"/>
    <w:rsid w:val="00712140"/>
    <w:rsid w:val="00727CB6"/>
    <w:rsid w:val="00734EB3"/>
    <w:rsid w:val="00764476"/>
    <w:rsid w:val="0078046A"/>
    <w:rsid w:val="00794C00"/>
    <w:rsid w:val="007D0528"/>
    <w:rsid w:val="007E121D"/>
    <w:rsid w:val="00801E38"/>
    <w:rsid w:val="008266ED"/>
    <w:rsid w:val="00842390"/>
    <w:rsid w:val="00850A34"/>
    <w:rsid w:val="00873DCC"/>
    <w:rsid w:val="00894558"/>
    <w:rsid w:val="008B2817"/>
    <w:rsid w:val="008C2726"/>
    <w:rsid w:val="00932D33"/>
    <w:rsid w:val="00936614"/>
    <w:rsid w:val="00940FAB"/>
    <w:rsid w:val="00965FC6"/>
    <w:rsid w:val="009845E6"/>
    <w:rsid w:val="009961C9"/>
    <w:rsid w:val="009A18CB"/>
    <w:rsid w:val="009A4368"/>
    <w:rsid w:val="009D2BDA"/>
    <w:rsid w:val="009E5450"/>
    <w:rsid w:val="009F3E5F"/>
    <w:rsid w:val="00A24148"/>
    <w:rsid w:val="00A24175"/>
    <w:rsid w:val="00A45CD5"/>
    <w:rsid w:val="00AA668E"/>
    <w:rsid w:val="00AB7F19"/>
    <w:rsid w:val="00AD45B8"/>
    <w:rsid w:val="00B00039"/>
    <w:rsid w:val="00B00292"/>
    <w:rsid w:val="00B05873"/>
    <w:rsid w:val="00B56323"/>
    <w:rsid w:val="00BB24D5"/>
    <w:rsid w:val="00BF58D6"/>
    <w:rsid w:val="00BF7B18"/>
    <w:rsid w:val="00C06DCE"/>
    <w:rsid w:val="00C420E8"/>
    <w:rsid w:val="00C65E32"/>
    <w:rsid w:val="00C83DB3"/>
    <w:rsid w:val="00C96623"/>
    <w:rsid w:val="00D006E6"/>
    <w:rsid w:val="00D43859"/>
    <w:rsid w:val="00D569D9"/>
    <w:rsid w:val="00D754C6"/>
    <w:rsid w:val="00D81ED3"/>
    <w:rsid w:val="00DB56BB"/>
    <w:rsid w:val="00DD1E10"/>
    <w:rsid w:val="00DD70F2"/>
    <w:rsid w:val="00DE2B87"/>
    <w:rsid w:val="00DE5898"/>
    <w:rsid w:val="00E11D4E"/>
    <w:rsid w:val="00E22055"/>
    <w:rsid w:val="00E26C9A"/>
    <w:rsid w:val="00E43E01"/>
    <w:rsid w:val="00E4578B"/>
    <w:rsid w:val="00E82ED9"/>
    <w:rsid w:val="00EB389D"/>
    <w:rsid w:val="00EC754E"/>
    <w:rsid w:val="00F33D7F"/>
    <w:rsid w:val="00F36AE2"/>
    <w:rsid w:val="00F37B1E"/>
    <w:rsid w:val="00F46834"/>
    <w:rsid w:val="00F61233"/>
    <w:rsid w:val="00F66996"/>
    <w:rsid w:val="00F86436"/>
    <w:rsid w:val="00FB20FE"/>
    <w:rsid w:val="00FB3469"/>
    <w:rsid w:val="00FE4D78"/>
    <w:rsid w:val="29AC26D7"/>
    <w:rsid w:val="2BF415F2"/>
    <w:rsid w:val="3A25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paragraph" w:styleId="5">
    <w:name w:val="heading 4"/>
    <w:basedOn w:val="1"/>
    <w:next w:val="1"/>
    <w:qFormat/>
    <w:uiPriority w:val="9"/>
    <w:pPr>
      <w:keepNext/>
      <w:keepLines/>
      <w:spacing w:before="0" w:after="0" w:line="408" w:lineRule="auto"/>
      <w:outlineLvl w:val="3"/>
    </w:pPr>
    <w:rPr>
      <w:b/>
      <w:bCs/>
      <w:color w:val="1A1A1A"/>
      <w:sz w:val="24"/>
      <w:szCs w:val="24"/>
    </w:rPr>
  </w:style>
  <w:style w:type="paragraph" w:styleId="6">
    <w:name w:val="heading 5"/>
    <w:basedOn w:val="1"/>
    <w:next w:val="1"/>
    <w:qFormat/>
    <w:uiPriority w:val="9"/>
    <w:pPr>
      <w:keepNext/>
      <w:keepLines/>
      <w:spacing w:before="0" w:after="0" w:line="408" w:lineRule="auto"/>
      <w:outlineLvl w:val="4"/>
    </w:pPr>
    <w:rPr>
      <w:b/>
      <w:bCs/>
      <w:color w:val="1A1A1A"/>
    </w:rPr>
  </w:style>
  <w:style w:type="paragraph" w:styleId="7">
    <w:name w:val="heading 6"/>
    <w:basedOn w:val="1"/>
    <w:next w:val="1"/>
    <w:qFormat/>
    <w:uiPriority w:val="9"/>
    <w:pPr>
      <w:keepNext/>
      <w:keepLines/>
      <w:spacing w:before="0" w:after="0" w:line="408" w:lineRule="auto"/>
      <w:outlineLvl w:val="5"/>
    </w:pPr>
    <w:rPr>
      <w:b/>
      <w:bCs/>
      <w:color w:val="1A1A1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15"/>
    <w:semiHidden/>
    <w:unhideWhenUsed/>
    <w:qFormat/>
    <w:uiPriority w:val="99"/>
  </w:style>
  <w:style w:type="paragraph" w:styleId="9">
    <w:name w:val="footer"/>
    <w:basedOn w:val="1"/>
    <w:link w:val="19"/>
    <w:unhideWhenUsed/>
    <w:qFormat/>
    <w:uiPriority w:val="99"/>
    <w:pPr>
      <w:tabs>
        <w:tab w:val="center" w:pos="4153"/>
        <w:tab w:val="right" w:pos="8306"/>
      </w:tabs>
      <w:spacing w:line="240" w:lineRule="auto"/>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1">
    <w:name w:val="Title"/>
    <w:basedOn w:val="1"/>
    <w:next w:val="1"/>
    <w:qFormat/>
    <w:uiPriority w:val="9"/>
    <w:pPr>
      <w:keepNext/>
      <w:keepLines/>
      <w:spacing w:before="0" w:after="0" w:line="408" w:lineRule="auto"/>
      <w:jc w:val="center"/>
      <w:outlineLvl w:val="0"/>
    </w:pPr>
    <w:rPr>
      <w:b/>
      <w:bCs/>
      <w:color w:val="1A1A1A"/>
      <w:sz w:val="48"/>
      <w:szCs w:val="48"/>
    </w:rPr>
  </w:style>
  <w:style w:type="character" w:styleId="14">
    <w:name w:val="annotation reference"/>
    <w:basedOn w:val="13"/>
    <w:semiHidden/>
    <w:unhideWhenUsed/>
    <w:qFormat/>
    <w:uiPriority w:val="99"/>
    <w:rPr>
      <w:sz w:val="21"/>
      <w:szCs w:val="21"/>
    </w:rPr>
  </w:style>
  <w:style w:type="character" w:customStyle="1" w:styleId="15">
    <w:name w:val="批注文字 字符"/>
    <w:basedOn w:val="13"/>
    <w:link w:val="8"/>
    <w:semiHidden/>
    <w:qFormat/>
    <w:uiPriority w:val="99"/>
  </w:style>
  <w:style w:type="paragraph" w:styleId="16">
    <w:name w:val="List Paragraph"/>
    <w:basedOn w:val="1"/>
    <w:qFormat/>
    <w:uiPriority w:val="34"/>
    <w:pPr>
      <w:ind w:firstLine="420" w:firstLineChars="200"/>
    </w:pPr>
  </w:style>
  <w:style w:type="paragraph" w:customStyle="1" w:styleId="17">
    <w:name w:val="￥正文"/>
    <w:basedOn w:val="1"/>
    <w:qFormat/>
    <w:uiPriority w:val="0"/>
    <w:pPr>
      <w:snapToGrid/>
      <w:spacing w:before="0" w:after="0" w:line="360" w:lineRule="auto"/>
      <w:ind w:firstLine="200" w:firstLineChars="200"/>
      <w:jc w:val="both"/>
    </w:pPr>
    <w:rPr>
      <w:rFonts w:ascii="Times New Roman" w:hAnsi="Times New Roman" w:eastAsia="宋体" w:cs="Times New Roman"/>
      <w:color w:val="auto"/>
      <w:kern w:val="0"/>
      <w:sz w:val="24"/>
      <w:szCs w:val="20"/>
    </w:rPr>
  </w:style>
  <w:style w:type="character" w:customStyle="1" w:styleId="18">
    <w:name w:val="页眉 字符"/>
    <w:basedOn w:val="13"/>
    <w:link w:val="10"/>
    <w:qFormat/>
    <w:uiPriority w:val="99"/>
    <w:rPr>
      <w:sz w:val="18"/>
      <w:szCs w:val="18"/>
    </w:rPr>
  </w:style>
  <w:style w:type="character" w:customStyle="1" w:styleId="19">
    <w:name w:val="页脚 字符"/>
    <w:basedOn w:val="13"/>
    <w:link w:val="9"/>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color w:val="333333"/>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6753</Words>
  <Characters>7089</Characters>
  <Lines>54</Lines>
  <Paragraphs>15</Paragraphs>
  <TotalTime>98</TotalTime>
  <ScaleCrop>false</ScaleCrop>
  <LinksUpToDate>false</LinksUpToDate>
  <CharactersWithSpaces>7106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2022-03-12T15:14:00Z</dcterms:created>
  <dc:creator>vivi</dc:creator>
  <cp:lastModifiedBy>蓉</cp:lastModifiedBy>
  <dcterms:modified xsi:type="dcterms:W3CDTF">2022-04-19T02:51:45Z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31EF91F2724F4E33A5F41B92373271B0</vt:lpwstr>
  </property>
  <property fmtid="{D5CDD505-2E9C-101B-9397-08002B2CF9AE}" pid="4" name="commondata">
    <vt:lpwstr>eyJoZGlkIjoiYTBjMjMxYmVmYzVlMDlmNDhkNjdjYjUxY2NiYTE5ZTYifQ==</vt:lpwstr>
  </property>
</Properties>
</file>