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  <w:lang w:eastAsia="zh-CN"/>
        </w:rPr>
        <w:t>信息管理处杨洋团队采购两台笔记本电脑</w:t>
      </w:r>
      <w:r>
        <w:rPr>
          <w:rFonts w:hint="eastAsia" w:ascii="宋体" w:hAnsi="宋体"/>
          <w:b/>
          <w:sz w:val="44"/>
          <w:szCs w:val="30"/>
        </w:rPr>
        <w:t>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hint="eastAsia" w:ascii="宋体" w:hAnsi="宋体" w:eastAsia="宋体"/>
          <w:sz w:val="22"/>
          <w:lang w:eastAsia="zh-CN"/>
        </w:rPr>
      </w:pPr>
      <w:r>
        <w:rPr>
          <w:rFonts w:hint="eastAsia" w:ascii="宋体" w:hAnsi="宋体"/>
          <w:sz w:val="22"/>
        </w:rPr>
        <w:t>项目名称：信息管理处杨洋</w:t>
      </w:r>
      <w:r>
        <w:rPr>
          <w:rFonts w:hint="eastAsia" w:ascii="宋体" w:hAnsi="宋体"/>
          <w:sz w:val="22"/>
          <w:lang w:eastAsia="zh-CN"/>
        </w:rPr>
        <w:t>团队</w:t>
      </w:r>
      <w:r>
        <w:rPr>
          <w:rFonts w:hint="eastAsia" w:ascii="宋体" w:hAnsi="宋体"/>
          <w:sz w:val="22"/>
        </w:rPr>
        <w:t>采购两台笔记本</w:t>
      </w:r>
      <w:r>
        <w:rPr>
          <w:rFonts w:hint="eastAsia" w:ascii="宋体" w:hAnsi="宋体"/>
          <w:sz w:val="22"/>
          <w:lang w:eastAsia="zh-CN"/>
        </w:rPr>
        <w:t>电脑</w:t>
      </w:r>
      <w:bookmarkStart w:id="2" w:name="_GoBack"/>
      <w:bookmarkEnd w:id="2"/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采购清单</w:t>
      </w:r>
    </w:p>
    <w:p>
      <w:pPr>
        <w:rPr>
          <w:rFonts w:hint="eastAsia"/>
        </w:rPr>
      </w:pPr>
      <w:r>
        <w:rPr>
          <w:rFonts w:hint="eastAsia"/>
        </w:rPr>
        <w:t>采购设备及数量如下：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3969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396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惠普</w:t>
            </w:r>
            <w:r>
              <w:rPr>
                <w:rFonts w:hint="eastAsia"/>
                <w:lang w:val="en-US" w:eastAsia="zh-CN"/>
              </w:rPr>
              <w:t>/联想/清华同方 笔记本电脑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详见3.1.1</w:t>
            </w:r>
          </w:p>
        </w:tc>
        <w:tc>
          <w:tcPr>
            <w:tcW w:w="1381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3969" w:type="dxa"/>
          </w:tcPr>
          <w:p>
            <w:pPr>
              <w:rPr>
                <w:b/>
              </w:rPr>
            </w:pPr>
          </w:p>
        </w:tc>
        <w:tc>
          <w:tcPr>
            <w:tcW w:w="1381" w:type="dxa"/>
          </w:tcPr>
          <w:p>
            <w:pPr>
              <w:rPr>
                <w:b/>
              </w:rPr>
            </w:pP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</w:t>
      </w:r>
      <w:r>
        <w:rPr>
          <w:rFonts w:hint="eastAsia" w:ascii="宋体" w:hAnsi="宋体"/>
          <w:sz w:val="32"/>
          <w:szCs w:val="32"/>
          <w:lang w:eastAsia="zh-CN"/>
        </w:rPr>
        <w:t>配置参数</w:t>
      </w:r>
    </w:p>
    <w:p>
      <w:pPr>
        <w:pStyle w:val="3"/>
        <w:spacing w:before="0" w:after="0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6.1.1、大数据服务器"/>
      <w:bookmarkEnd w:id="0"/>
      <w:r>
        <w:rPr>
          <w:rFonts w:ascii="宋体" w:hAnsi="宋体" w:eastAsia="宋体"/>
          <w:sz w:val="24"/>
          <w:szCs w:val="24"/>
        </w:rPr>
        <w:t>3.1.1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配置参数</w:t>
      </w:r>
    </w:p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040"/>
        <w:gridCol w:w="6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i7-1165G7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原装操作系统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预装正版Windows11 Pro中文专业版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专业显卡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NVIDIA Quadro T500，4GB DDR5独立显存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Intel Wifi 6E (AX210)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14英寸4K分辨率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UHD IPS 500nit, HDR 400, 防眩光, 100% DCI-P3, 出厂颜色校准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总内存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出厂标配48G 3200MHz DDR4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板载内存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板载16G 3200MHz DDR4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扩展内存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单根插槽，32GB 3200MHz DDR4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硬盘 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出厂标配2TB SSD PCIe-NVMe 固态硬盘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定位系统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TrackPoint指点杆/多点触摸板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外部接口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2个雷电Thunderbolt 4 端口, 2个USB-A 3.2 Gen1 (1 个支持关机充电), 读卡器, 音频接口，1个HDMI 2.0, TBT4 (DP 1.4a), 杜比音频扬声器，2个扬声器 视频接口/音频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网卡接口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1个RJ-45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 SD 读卡器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指纹识别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可选按压式指纹识别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内置电池 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50Whr 锂聚合物，支持疾速快充技术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17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1.8mm 键程、白色背光、视频会议快捷键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配套手提包+无线鼠标1套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3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出厂标配3年部件保修和上门服务</w:t>
            </w:r>
          </w:p>
        </w:tc>
      </w:tr>
    </w:tbl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</w:t>
      </w:r>
      <w:r>
        <w:rPr>
          <w:rFonts w:hint="eastAsia" w:ascii="宋体" w:hAnsi="宋体"/>
          <w:sz w:val="32"/>
          <w:szCs w:val="32"/>
          <w:lang w:eastAsia="zh-CN"/>
        </w:rPr>
        <w:t>日</w:t>
      </w:r>
      <w:r>
        <w:rPr>
          <w:rFonts w:hint="eastAsia" w:ascii="宋体" w:hAnsi="宋体"/>
          <w:sz w:val="32"/>
          <w:szCs w:val="32"/>
        </w:rPr>
        <w:t>期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(一)供货方须在院方支付合同首款后的__</w:t>
      </w:r>
      <w:r>
        <w:rPr>
          <w:rFonts w:hint="eastAsia" w:ascii="宋体" w:hAnsi="宋体" w:cs="宋体"/>
          <w:szCs w:val="21"/>
          <w:lang w:val="en-US" w:eastAsia="zh-CN"/>
        </w:rPr>
        <w:t>15</w:t>
      </w:r>
      <w:r>
        <w:rPr>
          <w:rFonts w:hint="eastAsia" w:ascii="宋体" w:hAnsi="宋体" w:cs="宋体"/>
          <w:szCs w:val="21"/>
        </w:rPr>
        <w:t>__个工作日内向院方提交采购清单中的物品。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交货方式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安装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要求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保修</w:t>
      </w: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服务</w:t>
      </w:r>
      <w:r>
        <w:rPr>
          <w:rFonts w:hint="eastAsia" w:ascii="宋体" w:hAnsi="宋体"/>
          <w:b/>
          <w:bCs/>
          <w:color w:val="FF0000"/>
          <w:kern w:val="44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(二)提供__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__年__</w:t>
      </w:r>
      <w:r>
        <w:rPr>
          <w:rFonts w:hint="eastAsia" w:ascii="宋体" w:hAnsi="宋体" w:cs="宋体"/>
          <w:szCs w:val="21"/>
          <w:lang w:eastAsia="zh-CN"/>
        </w:rPr>
        <w:t>原</w:t>
      </w:r>
      <w:r>
        <w:rPr>
          <w:rFonts w:hint="eastAsia" w:ascii="宋体" w:hAnsi="宋体" w:cs="宋体"/>
          <w:szCs w:val="21"/>
        </w:rPr>
        <w:t>__厂家保修服务；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响应时间、方式：2小时内响应到院方报修处，供货方需提供备件先行服务。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numPr>
          <w:ilvl w:val="0"/>
          <w:numId w:val="3"/>
        </w:numP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 w:eastAsia="zh-CN"/>
        </w:rPr>
        <w:t>培训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>
      <w:pPr>
        <w:spacing w:line="360" w:lineRule="auto"/>
        <w:ind w:firstLine="525" w:firstLineChars="25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(一)合同签订后，在收到供货方开具相应金额正式发票后，支付合同总金额的30%。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（二）合同所有设备（产品）运至院方指定货运详细地址、开箱合格运转正常，并经最终用户签字验收（加电验收），且收到供货方开具相应金额正式发票后，支付至结算审核价的95%。</w:t>
      </w:r>
    </w:p>
    <w:p>
      <w:pPr>
        <w:tabs>
          <w:tab w:val="left" w:pos="780"/>
        </w:tabs>
        <w:spacing w:before="156" w:beforeLines="50" w:line="360" w:lineRule="auto"/>
        <w:ind w:firstLine="630" w:firstLineChars="3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（三）合同所有设备（产品）的保修期满后，由院方甲方对供货方在服务期内应完成任务进行确认并通过，且收到供货方开具相应金额正式发票后，向供货方支付结算审核价的5%。</w:t>
      </w:r>
    </w:p>
    <w:p>
      <w:pPr>
        <w:tabs>
          <w:tab w:val="left" w:pos="780"/>
        </w:tabs>
        <w:spacing w:before="156" w:beforeLines="50" w:line="360" w:lineRule="auto"/>
        <w:ind w:firstLine="904" w:firstLineChars="300"/>
        <w:outlineLvl w:val="0"/>
        <w:rPr>
          <w:rFonts w:hint="eastAsia"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06C01C1E"/>
    <w:rsid w:val="14AC16CF"/>
    <w:rsid w:val="1A6A7633"/>
    <w:rsid w:val="2F3B777A"/>
    <w:rsid w:val="2F9A63BA"/>
    <w:rsid w:val="381D5BF1"/>
    <w:rsid w:val="385B37C8"/>
    <w:rsid w:val="3B00217F"/>
    <w:rsid w:val="42200080"/>
    <w:rsid w:val="43DE66FA"/>
    <w:rsid w:val="488C513A"/>
    <w:rsid w:val="55E40C52"/>
    <w:rsid w:val="564720FD"/>
    <w:rsid w:val="591936AB"/>
    <w:rsid w:val="5DF216FE"/>
    <w:rsid w:val="5F5F2AD5"/>
    <w:rsid w:val="640B5A23"/>
    <w:rsid w:val="734637D4"/>
    <w:rsid w:val="772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qFormat/>
    <w:uiPriority w:val="0"/>
    <w:rPr>
      <w:szCs w:val="24"/>
    </w:rPr>
  </w:style>
  <w:style w:type="character" w:customStyle="1" w:styleId="35">
    <w:name w:val="纯文本 Char"/>
    <w:link w:val="13"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uiPriority w:val="0"/>
    <w:rPr>
      <w:kern w:val="2"/>
      <w:sz w:val="18"/>
      <w:szCs w:val="18"/>
    </w:rPr>
  </w:style>
  <w:style w:type="character" w:customStyle="1" w:styleId="37">
    <w:name w:val="页脚 Char"/>
    <w:link w:val="15"/>
    <w:uiPriority w:val="0"/>
    <w:rPr>
      <w:kern w:val="2"/>
      <w:sz w:val="18"/>
      <w:szCs w:val="18"/>
    </w:rPr>
  </w:style>
  <w:style w:type="character" w:customStyle="1" w:styleId="38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qFormat/>
    <w:uiPriority w:val="99"/>
  </w:style>
  <w:style w:type="character" w:customStyle="1" w:styleId="47">
    <w:name w:val="列出段落 Char"/>
    <w:link w:val="48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1451</Words>
  <Characters>1676</Characters>
  <Lines>9</Lines>
  <Paragraphs>2</Paragraphs>
  <TotalTime>14</TotalTime>
  <ScaleCrop>false</ScaleCrop>
  <LinksUpToDate>false</LinksUpToDate>
  <CharactersWithSpaces>1729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salmon</cp:lastModifiedBy>
  <dcterms:modified xsi:type="dcterms:W3CDTF">2022-04-15T10:21:48Z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E6BF652D54F944798887341195E59480</vt:lpwstr>
  </property>
</Properties>
</file>