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0"/>
          <w:szCs w:val="28"/>
          <w:lang w:eastAsia="zh-CN"/>
        </w:rPr>
      </w:pPr>
      <w:r>
        <w:rPr>
          <w:rFonts w:hint="eastAsia" w:ascii="宋体" w:hAnsi="宋体"/>
          <w:b/>
          <w:sz w:val="40"/>
          <w:szCs w:val="28"/>
          <w:lang w:eastAsia="zh-CN"/>
        </w:rPr>
        <w:t>围术期智能决策系统及配套硬件采购项目（2022年）项目需求</w:t>
      </w:r>
    </w:p>
    <w:p>
      <w:pPr>
        <w:pStyle w:val="3"/>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项目名称：围术期智能决策系统及配套硬件采购项目（2022年）</w:t>
      </w:r>
    </w:p>
    <w:p>
      <w:pPr>
        <w:pStyle w:val="3"/>
        <w:numPr>
          <w:ilvl w:val="0"/>
          <w:numId w:val="3"/>
        </w:numPr>
        <w:spacing w:before="0" w:after="0"/>
        <w:rPr>
          <w:rFonts w:ascii="宋体" w:hAnsi="宋体"/>
          <w:sz w:val="32"/>
          <w:szCs w:val="32"/>
        </w:rPr>
      </w:pPr>
      <w:r>
        <w:rPr>
          <w:rFonts w:hint="eastAsia" w:ascii="宋体" w:hAnsi="宋体"/>
          <w:sz w:val="32"/>
          <w:szCs w:val="32"/>
        </w:rPr>
        <w:t>项目</w:t>
      </w:r>
      <w:r>
        <w:rPr>
          <w:rFonts w:hint="eastAsia" w:ascii="宋体" w:hAnsi="宋体"/>
          <w:sz w:val="32"/>
          <w:szCs w:val="32"/>
          <w:lang w:val="en-US"/>
        </w:rPr>
        <w:t>建设内容及采购清单</w:t>
      </w:r>
    </w:p>
    <w:p>
      <w:pPr>
        <w:tabs>
          <w:tab w:val="left" w:pos="0"/>
        </w:tabs>
        <w:spacing w:line="360" w:lineRule="auto"/>
        <w:ind w:left="0" w:firstLine="440" w:firstLineChars="200"/>
        <w:rPr>
          <w:rFonts w:hint="default" w:ascii="宋体" w:hAnsi="宋体" w:eastAsia="宋体"/>
          <w:sz w:val="22"/>
          <w:lang w:val="en-US" w:eastAsia="zh-CN"/>
        </w:rPr>
      </w:pPr>
      <w:r>
        <w:rPr>
          <w:rFonts w:hint="eastAsia" w:ascii="宋体" w:hAnsi="宋体"/>
          <w:sz w:val="22"/>
          <w:lang w:val="en-US" w:eastAsia="zh-CN"/>
        </w:rPr>
        <w:t>该项目是为降低患者围术期不良事件发生率、提高临床安全和术后恢复质量，用于围术期患者的</w:t>
      </w:r>
      <w:r>
        <w:rPr>
          <w:rFonts w:hint="eastAsia" w:ascii="宋体" w:hAnsi="宋体"/>
          <w:sz w:val="22"/>
          <w:highlight w:val="none"/>
          <w:lang w:val="en-US" w:eastAsia="zh-CN"/>
        </w:rPr>
        <w:t>质量管控</w:t>
      </w:r>
      <w:r>
        <w:rPr>
          <w:rFonts w:hint="eastAsia" w:ascii="宋体" w:hAnsi="宋体"/>
          <w:sz w:val="22"/>
          <w:lang w:val="en-US" w:eastAsia="zh-CN"/>
        </w:rPr>
        <w:t>、麻醉和外科护理智能处置辅助决策。通过</w:t>
      </w:r>
      <w:r>
        <w:rPr>
          <w:rFonts w:hint="eastAsia" w:ascii="宋体" w:hAnsi="宋体"/>
          <w:sz w:val="22"/>
          <w:szCs w:val="24"/>
        </w:rPr>
        <w:t>与院内</w:t>
      </w:r>
      <w:r>
        <w:rPr>
          <w:rFonts w:hint="eastAsia" w:ascii="宋体" w:hAnsi="宋体"/>
          <w:sz w:val="22"/>
          <w:szCs w:val="24"/>
          <w:lang w:val="en-US" w:eastAsia="zh-CN"/>
        </w:rPr>
        <w:t>数据</w:t>
      </w:r>
      <w:r>
        <w:rPr>
          <w:rFonts w:hint="eastAsia" w:ascii="宋体" w:hAnsi="宋体"/>
          <w:sz w:val="22"/>
          <w:szCs w:val="24"/>
        </w:rPr>
        <w:t>对接（如：HIS、手术麻醉、EMR、LIS、PACS等）</w:t>
      </w:r>
      <w:r>
        <w:rPr>
          <w:rFonts w:hint="eastAsia" w:ascii="宋体" w:hAnsi="宋体"/>
          <w:sz w:val="22"/>
          <w:lang w:val="en-US" w:eastAsia="zh-CN"/>
        </w:rPr>
        <w:t>、及从我院现有设备采集到的患者生命体征等数据基础，</w:t>
      </w:r>
      <w:r>
        <w:rPr>
          <w:rFonts w:hint="eastAsia" w:ascii="宋体" w:hAnsi="宋体"/>
          <w:sz w:val="22"/>
        </w:rPr>
        <w:t>规范围术期标准数据元的定义</w:t>
      </w:r>
      <w:r>
        <w:rPr>
          <w:rFonts w:hint="eastAsia" w:ascii="宋体" w:hAnsi="宋体"/>
          <w:sz w:val="22"/>
          <w:lang w:eastAsia="zh-CN"/>
        </w:rPr>
        <w:t>、</w:t>
      </w:r>
      <w:r>
        <w:rPr>
          <w:rFonts w:hint="eastAsia" w:ascii="宋体" w:hAnsi="宋体"/>
          <w:sz w:val="22"/>
        </w:rPr>
        <w:t>辅助</w:t>
      </w:r>
      <w:r>
        <w:rPr>
          <w:rFonts w:hint="eastAsia" w:ascii="宋体" w:hAnsi="宋体"/>
          <w:sz w:val="22"/>
          <w:lang w:val="en-US" w:eastAsia="zh-CN"/>
        </w:rPr>
        <w:t>临床医生梳理患者</w:t>
      </w:r>
      <w:r>
        <w:rPr>
          <w:rFonts w:hint="eastAsia" w:ascii="宋体" w:hAnsi="宋体"/>
          <w:sz w:val="22"/>
        </w:rPr>
        <w:t>并发症</w:t>
      </w:r>
      <w:r>
        <w:rPr>
          <w:rFonts w:hint="eastAsia" w:ascii="宋体" w:hAnsi="宋体"/>
          <w:sz w:val="22"/>
          <w:lang w:eastAsia="zh-CN"/>
        </w:rPr>
        <w:t>的</w:t>
      </w:r>
      <w:r>
        <w:rPr>
          <w:rFonts w:hint="eastAsia" w:ascii="宋体" w:hAnsi="宋体"/>
          <w:sz w:val="22"/>
        </w:rPr>
        <w:t>诊断标准</w:t>
      </w:r>
      <w:r>
        <w:rPr>
          <w:rFonts w:hint="eastAsia" w:ascii="宋体" w:hAnsi="宋体"/>
          <w:sz w:val="22"/>
          <w:lang w:eastAsia="zh-CN"/>
        </w:rPr>
        <w:t>、</w:t>
      </w:r>
      <w:r>
        <w:rPr>
          <w:rFonts w:hint="eastAsia" w:ascii="宋体" w:hAnsi="宋体"/>
          <w:color w:val="000000" w:themeColor="text1"/>
          <w:sz w:val="22"/>
          <w:lang w:val="en-US" w:eastAsia="zh-CN"/>
          <w14:textFill>
            <w14:solidFill>
              <w14:schemeClr w14:val="tx1"/>
            </w14:solidFill>
          </w14:textFill>
        </w:rPr>
        <w:t>辅助</w:t>
      </w:r>
      <w:r>
        <w:rPr>
          <w:rFonts w:hint="eastAsia" w:ascii="宋体" w:hAnsi="宋体"/>
          <w:color w:val="000000" w:themeColor="text1"/>
          <w:sz w:val="22"/>
          <w14:textFill>
            <w14:solidFill>
              <w14:schemeClr w14:val="tx1"/>
            </w14:solidFill>
          </w14:textFill>
        </w:rPr>
        <w:t>临床</w:t>
      </w:r>
      <w:r>
        <w:rPr>
          <w:rFonts w:hint="eastAsia" w:ascii="宋体" w:hAnsi="宋体"/>
          <w:color w:val="000000" w:themeColor="text1"/>
          <w:sz w:val="22"/>
          <w:lang w:val="en-US" w:eastAsia="zh-CN"/>
          <w14:textFill>
            <w14:solidFill>
              <w14:schemeClr w14:val="tx1"/>
            </w14:solidFill>
          </w14:textFill>
        </w:rPr>
        <w:t>医生建立并研究患者不良事件</w:t>
      </w:r>
      <w:r>
        <w:rPr>
          <w:rFonts w:hint="eastAsia" w:ascii="宋体" w:hAnsi="宋体"/>
          <w:color w:val="000000" w:themeColor="text1"/>
          <w:sz w:val="22"/>
          <w14:textFill>
            <w14:solidFill>
              <w14:schemeClr w14:val="tx1"/>
            </w14:solidFill>
          </w14:textFill>
        </w:rPr>
        <w:t>预测模型，提</w:t>
      </w:r>
      <w:r>
        <w:rPr>
          <w:rFonts w:hint="eastAsia" w:ascii="宋体" w:hAnsi="宋体"/>
          <w:color w:val="000000" w:themeColor="text1"/>
          <w:sz w:val="22"/>
          <w:lang w:val="en-US" w:eastAsia="zh-CN"/>
          <w14:textFill>
            <w14:solidFill>
              <w14:schemeClr w14:val="tx1"/>
            </w14:solidFill>
          </w14:textFill>
        </w:rPr>
        <w:t>升临床对患者不良事件、并发症等</w:t>
      </w:r>
      <w:r>
        <w:rPr>
          <w:rFonts w:hint="eastAsia" w:ascii="宋体" w:hAnsi="宋体"/>
          <w:color w:val="000000" w:themeColor="text1"/>
          <w:sz w:val="22"/>
          <w14:textFill>
            <w14:solidFill>
              <w14:schemeClr w14:val="tx1"/>
            </w14:solidFill>
          </w14:textFill>
        </w:rPr>
        <w:t>危险因素</w:t>
      </w:r>
      <w:r>
        <w:rPr>
          <w:rFonts w:hint="eastAsia" w:ascii="宋体" w:hAnsi="宋体"/>
          <w:sz w:val="22"/>
        </w:rPr>
        <w:t>的分析</w:t>
      </w:r>
      <w:r>
        <w:rPr>
          <w:rFonts w:hint="eastAsia" w:ascii="宋体" w:hAnsi="宋体"/>
          <w:sz w:val="22"/>
          <w:lang w:val="en-US" w:eastAsia="zh-CN"/>
        </w:rPr>
        <w:t>预测</w:t>
      </w:r>
      <w:r>
        <w:rPr>
          <w:rFonts w:hint="eastAsia" w:ascii="宋体" w:hAnsi="宋体"/>
          <w:sz w:val="22"/>
        </w:rPr>
        <w:t>能力</w:t>
      </w:r>
      <w:r>
        <w:rPr>
          <w:rFonts w:hint="eastAsia" w:ascii="宋体" w:hAnsi="宋体"/>
          <w:sz w:val="22"/>
          <w:lang w:eastAsia="zh-CN"/>
        </w:rPr>
        <w:t>。</w:t>
      </w:r>
      <w:r>
        <w:rPr>
          <w:rFonts w:hint="eastAsia" w:ascii="宋体" w:hAnsi="宋体"/>
          <w:sz w:val="22"/>
        </w:rPr>
        <w:t>现需采购</w:t>
      </w:r>
      <w:r>
        <w:rPr>
          <w:rFonts w:hint="eastAsia" w:ascii="宋体" w:hAnsi="宋体"/>
          <w:sz w:val="22"/>
          <w:lang w:val="en-US" w:eastAsia="zh-CN"/>
        </w:rPr>
        <w:t>一套</w:t>
      </w:r>
      <w:r>
        <w:rPr>
          <w:rFonts w:hint="eastAsia"/>
        </w:rPr>
        <w:t>围术期智能决策系统</w:t>
      </w:r>
      <w:r>
        <w:rPr>
          <w:rFonts w:hint="eastAsia" w:ascii="宋体" w:hAnsi="宋体"/>
          <w:sz w:val="22"/>
        </w:rPr>
        <w:t>，</w:t>
      </w:r>
      <w:r>
        <w:rPr>
          <w:rFonts w:hint="eastAsia" w:ascii="宋体" w:hAnsi="宋体"/>
          <w:sz w:val="22"/>
          <w:lang w:val="en-US" w:eastAsia="zh-CN"/>
        </w:rPr>
        <w:t>为临床提供围术期医疗物联网一站式的工作平台</w:t>
      </w:r>
      <w:r>
        <w:rPr>
          <w:rFonts w:hint="eastAsia" w:ascii="宋体" w:hAnsi="宋体"/>
          <w:sz w:val="22"/>
        </w:rPr>
        <w:t>。</w:t>
      </w:r>
    </w:p>
    <w:p>
      <w:pPr>
        <w:spacing w:line="360" w:lineRule="auto"/>
        <w:ind w:left="432"/>
        <w:rPr>
          <w:rFonts w:ascii="宋体" w:hAnsi="宋体"/>
          <w:sz w:val="22"/>
        </w:rPr>
      </w:pPr>
      <w:r>
        <w:rPr>
          <w:rFonts w:hint="eastAsia" w:ascii="宋体" w:hAnsi="宋体"/>
          <w:sz w:val="22"/>
        </w:rPr>
        <w:t>（一）项目</w:t>
      </w:r>
      <w:r>
        <w:rPr>
          <w:rFonts w:ascii="宋体" w:hAnsi="宋体"/>
          <w:sz w:val="22"/>
        </w:rPr>
        <w:t>功能</w:t>
      </w:r>
      <w:r>
        <w:rPr>
          <w:rFonts w:hint="eastAsia" w:ascii="宋体" w:hAnsi="宋体"/>
          <w:sz w:val="22"/>
        </w:rPr>
        <w:t>模块如下：</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2"/>
        <w:gridCol w:w="4117"/>
        <w:gridCol w:w="2035"/>
        <w:gridCol w:w="2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dxa"/>
            <w:vAlign w:val="center"/>
          </w:tcPr>
          <w:p>
            <w:pPr>
              <w:jc w:val="center"/>
            </w:pPr>
            <w:r>
              <w:rPr>
                <w:rFonts w:hint="eastAsia"/>
              </w:rPr>
              <w:t>序号</w:t>
            </w:r>
          </w:p>
        </w:tc>
        <w:tc>
          <w:tcPr>
            <w:tcW w:w="4017" w:type="dxa"/>
            <w:vAlign w:val="center"/>
          </w:tcPr>
          <w:p>
            <w:pPr>
              <w:jc w:val="center"/>
            </w:pPr>
            <w:r>
              <w:rPr>
                <w:rFonts w:hint="eastAsia"/>
              </w:rPr>
              <w:t>系统名称</w:t>
            </w:r>
          </w:p>
        </w:tc>
        <w:tc>
          <w:tcPr>
            <w:tcW w:w="1986" w:type="dxa"/>
            <w:vAlign w:val="center"/>
          </w:tcPr>
          <w:p>
            <w:pPr>
              <w:jc w:val="center"/>
            </w:pPr>
            <w:r>
              <w:rPr>
                <w:rFonts w:hint="eastAsia"/>
              </w:rPr>
              <w:t>功能模块</w:t>
            </w:r>
          </w:p>
        </w:tc>
        <w:tc>
          <w:tcPr>
            <w:tcW w:w="2401" w:type="dxa"/>
          </w:tcPr>
          <w:p>
            <w:pPr>
              <w:jc w:val="center"/>
            </w:pPr>
            <w:r>
              <w:rPr>
                <w:rFonts w:hint="eastAsia"/>
              </w:rPr>
              <w:t>数量及单位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6" w:type="dxa"/>
          </w:tcPr>
          <w:p>
            <w:pPr>
              <w:jc w:val="center"/>
            </w:pPr>
            <w:r>
              <w:t>1</w:t>
            </w:r>
          </w:p>
        </w:tc>
        <w:tc>
          <w:tcPr>
            <w:tcW w:w="4017" w:type="dxa"/>
          </w:tcPr>
          <w:p>
            <w:pPr>
              <w:jc w:val="center"/>
            </w:pPr>
            <w:r>
              <w:rPr>
                <w:rFonts w:hint="eastAsia"/>
              </w:rPr>
              <w:t>围术期智能决策系统</w:t>
            </w:r>
          </w:p>
        </w:tc>
        <w:tc>
          <w:tcPr>
            <w:tcW w:w="1986" w:type="dxa"/>
          </w:tcPr>
          <w:p>
            <w:pPr>
              <w:jc w:val="center"/>
              <w:rPr>
                <w:rFonts w:ascii="宋体" w:hAnsi="宋体"/>
              </w:rPr>
            </w:pPr>
            <w:r>
              <w:fldChar w:fldCharType="begin"/>
            </w:r>
            <w:r>
              <w:instrText xml:space="preserve"> HYPERLINK \l "_6.1.1、大数据服务器" </w:instrText>
            </w:r>
            <w:r>
              <w:fldChar w:fldCharType="separate"/>
            </w:r>
            <w:r>
              <w:rPr>
                <w:rFonts w:hint="eastAsia" w:ascii="宋体" w:hAnsi="宋体"/>
              </w:rPr>
              <w:t>配置详见3</w:t>
            </w:r>
            <w:r>
              <w:rPr>
                <w:rFonts w:ascii="宋体" w:hAnsi="宋体"/>
              </w:rPr>
              <w:t>.</w:t>
            </w:r>
            <w:r>
              <w:rPr>
                <w:rFonts w:hint="eastAsia" w:ascii="宋体" w:hAnsi="宋体"/>
              </w:rPr>
              <w:t>1.1</w:t>
            </w:r>
            <w:r>
              <w:rPr>
                <w:rFonts w:hint="eastAsia" w:ascii="宋体" w:hAnsi="宋体"/>
              </w:rPr>
              <w:fldChar w:fldCharType="end"/>
            </w:r>
          </w:p>
        </w:tc>
        <w:tc>
          <w:tcPr>
            <w:tcW w:w="2401" w:type="dxa"/>
          </w:tcPr>
          <w:p>
            <w:pPr>
              <w:jc w:val="center"/>
            </w:pPr>
            <w:r>
              <w:rPr>
                <w:rFonts w:hint="eastAsia"/>
              </w:rPr>
              <w:t>1套</w:t>
            </w:r>
          </w:p>
        </w:tc>
      </w:tr>
    </w:tbl>
    <w:p>
      <w:pPr>
        <w:spacing w:line="360" w:lineRule="auto"/>
        <w:ind w:left="432"/>
        <w:rPr>
          <w:rFonts w:ascii="宋体" w:hAnsi="宋体"/>
          <w:sz w:val="22"/>
        </w:rPr>
      </w:pPr>
      <w:r>
        <w:rPr>
          <w:rFonts w:hint="eastAsia" w:ascii="宋体" w:hAnsi="宋体"/>
          <w:sz w:val="22"/>
        </w:rPr>
        <w:t>（二）采购设备及数量如下：</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3969"/>
        <w:gridCol w:w="1985"/>
        <w:gridCol w:w="2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jc w:val="center"/>
            </w:pPr>
            <w:r>
              <w:rPr>
                <w:rFonts w:hint="eastAsia"/>
              </w:rPr>
              <w:t>序号</w:t>
            </w:r>
          </w:p>
        </w:tc>
        <w:tc>
          <w:tcPr>
            <w:tcW w:w="3969" w:type="dxa"/>
            <w:vAlign w:val="center"/>
          </w:tcPr>
          <w:p>
            <w:pPr>
              <w:jc w:val="center"/>
            </w:pPr>
            <w:r>
              <w:rPr>
                <w:rFonts w:hint="eastAsia"/>
              </w:rPr>
              <w:t>名称</w:t>
            </w:r>
          </w:p>
        </w:tc>
        <w:tc>
          <w:tcPr>
            <w:tcW w:w="1985" w:type="dxa"/>
            <w:vAlign w:val="center"/>
          </w:tcPr>
          <w:p>
            <w:pPr>
              <w:jc w:val="center"/>
            </w:pPr>
            <w:r>
              <w:rPr>
                <w:rFonts w:hint="eastAsia"/>
              </w:rPr>
              <w:t>配置描述</w:t>
            </w:r>
          </w:p>
        </w:tc>
        <w:tc>
          <w:tcPr>
            <w:tcW w:w="2402" w:type="dxa"/>
            <w:vAlign w:val="center"/>
          </w:tcPr>
          <w:p>
            <w:pPr>
              <w:jc w:val="center"/>
            </w:pPr>
            <w:r>
              <w:rPr>
                <w:rFonts w:hint="eastAsia"/>
              </w:rPr>
              <w:t>数量及单位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4" w:type="dxa"/>
          </w:tcPr>
          <w:p>
            <w:r>
              <w:t>1</w:t>
            </w:r>
          </w:p>
        </w:tc>
        <w:tc>
          <w:tcPr>
            <w:tcW w:w="3969" w:type="dxa"/>
          </w:tcPr>
          <w:p>
            <w:pPr>
              <w:jc w:val="center"/>
            </w:pPr>
            <w:r>
              <w:rPr>
                <w:rFonts w:hint="eastAsia"/>
              </w:rPr>
              <w:t>硬件服务器</w:t>
            </w:r>
          </w:p>
        </w:tc>
        <w:tc>
          <w:tcPr>
            <w:tcW w:w="1985" w:type="dxa"/>
          </w:tcPr>
          <w:p>
            <w:pPr>
              <w:jc w:val="center"/>
            </w:pPr>
            <w:r>
              <w:fldChar w:fldCharType="begin"/>
            </w:r>
            <w:r>
              <w:instrText xml:space="preserve"> HYPERLINK \l "_3.1.3、硬件服务器" </w:instrText>
            </w:r>
            <w:r>
              <w:fldChar w:fldCharType="separate"/>
            </w:r>
            <w:r>
              <w:rPr>
                <w:rFonts w:ascii="宋体" w:hAnsi="宋体"/>
              </w:rPr>
              <w:t>配置详见3.1.</w:t>
            </w:r>
            <w:r>
              <w:rPr>
                <w:rFonts w:hint="eastAsia" w:ascii="宋体" w:hAnsi="宋体"/>
                <w:lang w:val="en-US" w:eastAsia="zh-CN"/>
              </w:rPr>
              <w:t>2</w:t>
            </w:r>
            <w:r>
              <w:rPr>
                <w:rFonts w:ascii="宋体" w:hAnsi="宋体"/>
              </w:rPr>
              <w:fldChar w:fldCharType="end"/>
            </w:r>
          </w:p>
        </w:tc>
        <w:tc>
          <w:tcPr>
            <w:tcW w:w="2402" w:type="dxa"/>
            <w:vAlign w:val="center"/>
          </w:tcPr>
          <w:p>
            <w:pPr>
              <w:jc w:val="center"/>
              <w:rPr>
                <w:color w:val="000000"/>
                <w:sz w:val="24"/>
              </w:rPr>
            </w:pPr>
            <w:r>
              <w:rPr>
                <w:rFonts w:hint="eastAsia"/>
                <w:color w:val="000000"/>
              </w:rPr>
              <w:t>2台</w:t>
            </w:r>
          </w:p>
        </w:tc>
      </w:tr>
    </w:tbl>
    <w:p>
      <w:pPr>
        <w:keepNext/>
        <w:keepLines/>
        <w:spacing w:line="578" w:lineRule="auto"/>
        <w:ind w:firstLine="0" w:firstLineChars="0"/>
        <w:outlineLvl w:val="0"/>
        <w:rPr>
          <w:rFonts w:ascii="等线" w:hAnsi="等线" w:eastAsia="等线"/>
          <w:b w:val="0"/>
          <w:bCs w:val="0"/>
          <w:vanish w:val="0"/>
          <w:kern w:val="2"/>
          <w:sz w:val="21"/>
          <w:szCs w:val="22"/>
          <w:lang w:val="en-US"/>
        </w:rPr>
      </w:pPr>
    </w:p>
    <w:p>
      <w:pPr>
        <w:pStyle w:val="3"/>
        <w:numPr>
          <w:ilvl w:val="0"/>
          <w:numId w:val="3"/>
        </w:numPr>
        <w:spacing w:before="0" w:after="0"/>
        <w:rPr>
          <w:rFonts w:ascii="宋体" w:hAnsi="宋体"/>
          <w:sz w:val="32"/>
          <w:szCs w:val="32"/>
        </w:rPr>
      </w:pPr>
      <w:r>
        <w:rPr>
          <w:rFonts w:hint="eastAsia" w:ascii="宋体" w:hAnsi="宋体"/>
          <w:sz w:val="32"/>
          <w:szCs w:val="32"/>
          <w:lang w:val="en-US"/>
        </w:rPr>
        <w:t>系统</w:t>
      </w:r>
      <w:r>
        <w:rPr>
          <w:rFonts w:hint="eastAsia" w:ascii="宋体" w:hAnsi="宋体"/>
          <w:sz w:val="32"/>
          <w:szCs w:val="32"/>
        </w:rPr>
        <w:t>详细功能描述</w:t>
      </w:r>
      <w:r>
        <w:rPr>
          <w:rFonts w:hint="eastAsia" w:ascii="宋体" w:hAnsi="宋体"/>
          <w:sz w:val="32"/>
          <w:szCs w:val="32"/>
          <w:lang w:val="en-US"/>
        </w:rPr>
        <w:t>及硬件资源配置参数</w:t>
      </w:r>
    </w:p>
    <w:p>
      <w:pPr>
        <w:pStyle w:val="4"/>
        <w:spacing w:before="0" w:after="0"/>
        <w:rPr>
          <w:rFonts w:ascii="宋体" w:hAnsi="宋体" w:eastAsia="宋体"/>
          <w:sz w:val="24"/>
          <w:szCs w:val="24"/>
        </w:rPr>
      </w:pPr>
      <w:bookmarkStart w:id="0" w:name="_6.1.1、大数据服务器"/>
      <w:bookmarkEnd w:id="0"/>
      <w:r>
        <w:rPr>
          <w:rFonts w:ascii="宋体" w:hAnsi="宋体" w:eastAsia="宋体"/>
          <w:sz w:val="24"/>
          <w:szCs w:val="24"/>
        </w:rPr>
        <w:t>3.1.1</w:t>
      </w:r>
      <w:r>
        <w:rPr>
          <w:rFonts w:hint="eastAsia" w:ascii="宋体" w:hAnsi="宋体" w:eastAsia="宋体"/>
          <w:sz w:val="24"/>
          <w:szCs w:val="24"/>
        </w:rPr>
        <w:t>、</w:t>
      </w:r>
      <w:r>
        <w:rPr>
          <w:rFonts w:hint="eastAsia" w:ascii="宋体" w:hAnsi="宋体" w:eastAsia="宋体"/>
          <w:sz w:val="24"/>
          <w:szCs w:val="24"/>
          <w:lang w:eastAsia="zh-CN"/>
        </w:rPr>
        <w:t>围术期智能决策</w:t>
      </w:r>
      <w:r>
        <w:rPr>
          <w:rFonts w:hint="eastAsia" w:ascii="宋体" w:hAnsi="宋体" w:eastAsia="宋体"/>
          <w:sz w:val="24"/>
          <w:szCs w:val="24"/>
        </w:rPr>
        <w:t>系统</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61"/>
        <w:gridCol w:w="2036"/>
        <w:gridCol w:w="5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1161" w:type="dxa"/>
            <w:vAlign w:val="center"/>
          </w:tcPr>
          <w:p>
            <w:pPr>
              <w:widowControl/>
              <w:jc w:val="center"/>
              <w:rPr>
                <w:rFonts w:ascii="宋体" w:hAnsi="宋体" w:cs="宋体"/>
                <w:b/>
                <w:bCs/>
                <w:color w:val="000000"/>
                <w:szCs w:val="21"/>
              </w:rPr>
            </w:pPr>
            <w:r>
              <w:rPr>
                <w:rFonts w:hint="eastAsia" w:ascii="宋体" w:hAnsi="宋体" w:cs="宋体"/>
                <w:b/>
                <w:bCs/>
                <w:color w:val="000000"/>
                <w:szCs w:val="21"/>
              </w:rPr>
              <w:t>模块</w:t>
            </w:r>
          </w:p>
        </w:tc>
        <w:tc>
          <w:tcPr>
            <w:tcW w:w="2036" w:type="dxa"/>
            <w:vAlign w:val="center"/>
          </w:tcPr>
          <w:p>
            <w:pPr>
              <w:widowControl/>
              <w:jc w:val="center"/>
              <w:rPr>
                <w:rFonts w:ascii="宋体" w:hAnsi="宋体" w:cs="宋体"/>
                <w:b/>
                <w:bCs/>
                <w:color w:val="000000"/>
                <w:szCs w:val="21"/>
              </w:rPr>
            </w:pPr>
            <w:r>
              <w:rPr>
                <w:rFonts w:hint="eastAsia" w:ascii="宋体" w:hAnsi="宋体" w:cs="宋体"/>
                <w:b/>
                <w:bCs/>
                <w:color w:val="000000"/>
                <w:szCs w:val="21"/>
              </w:rPr>
              <w:t>功能</w:t>
            </w:r>
          </w:p>
        </w:tc>
        <w:tc>
          <w:tcPr>
            <w:tcW w:w="5365" w:type="dxa"/>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restart"/>
            <w:vAlign w:val="center"/>
          </w:tcPr>
          <w:p>
            <w:pPr>
              <w:widowControl/>
              <w:jc w:val="center"/>
              <w:rPr>
                <w:rFonts w:ascii="宋体" w:hAnsi="宋体" w:cs="宋体"/>
                <w:color w:val="000000"/>
                <w:szCs w:val="21"/>
              </w:rPr>
            </w:pPr>
            <w:r>
              <w:rPr>
                <w:rFonts w:hint="eastAsia" w:ascii="宋体" w:hAnsi="宋体" w:cs="宋体"/>
                <w:color w:val="000000"/>
                <w:szCs w:val="21"/>
              </w:rPr>
              <w:t>1</w:t>
            </w:r>
          </w:p>
        </w:tc>
        <w:tc>
          <w:tcPr>
            <w:tcW w:w="1161" w:type="dxa"/>
            <w:vMerge w:val="restart"/>
            <w:vAlign w:val="center"/>
          </w:tcPr>
          <w:p>
            <w:pPr>
              <w:widowControl/>
              <w:jc w:val="center"/>
              <w:rPr>
                <w:rFonts w:ascii="宋体" w:hAnsi="宋体" w:cs="宋体"/>
                <w:color w:val="000000"/>
                <w:szCs w:val="21"/>
              </w:rPr>
            </w:pPr>
            <w:r>
              <w:rPr>
                <w:rFonts w:hint="eastAsia" w:ascii="宋体" w:hAnsi="宋体" w:cs="宋体"/>
                <w:color w:val="000000"/>
                <w:szCs w:val="21"/>
              </w:rPr>
              <w:t>辅助诊疗系统</w:t>
            </w:r>
          </w:p>
        </w:tc>
        <w:tc>
          <w:tcPr>
            <w:tcW w:w="2036" w:type="dxa"/>
            <w:vMerge w:val="restart"/>
            <w:vAlign w:val="center"/>
          </w:tcPr>
          <w:p>
            <w:pPr>
              <w:widowControl/>
              <w:jc w:val="center"/>
              <w:rPr>
                <w:rFonts w:ascii="宋体" w:hAnsi="宋体" w:cs="宋体"/>
                <w:color w:val="000000"/>
                <w:szCs w:val="21"/>
              </w:rPr>
            </w:pPr>
            <w:r>
              <w:rPr>
                <w:rFonts w:hint="eastAsia" w:ascii="宋体" w:hAnsi="宋体" w:cs="宋体"/>
                <w:color w:val="000000"/>
                <w:szCs w:val="21"/>
              </w:rPr>
              <w:t>围术期实时监管</w:t>
            </w:r>
          </w:p>
        </w:tc>
        <w:tc>
          <w:tcPr>
            <w:tcW w:w="5365" w:type="dxa"/>
            <w:vAlign w:val="center"/>
          </w:tcPr>
          <w:p>
            <w:pPr>
              <w:spacing w:before="60" w:after="60"/>
              <w:rPr>
                <w:rFonts w:ascii="宋体" w:hAnsi="宋体"/>
                <w:szCs w:val="21"/>
              </w:rPr>
            </w:pPr>
            <w:r>
              <w:rPr>
                <w:rFonts w:hint="eastAsia" w:ascii="宋体" w:hAnsi="宋体"/>
                <w:szCs w:val="21"/>
              </w:rPr>
              <w:t>患者概况</w:t>
            </w:r>
            <w:r>
              <w:rPr>
                <w:rFonts w:hint="eastAsia" w:ascii="宋体" w:hAnsi="宋体"/>
                <w:szCs w:val="21"/>
              </w:rPr>
              <w:tab/>
            </w:r>
          </w:p>
          <w:p>
            <w:pPr>
              <w:spacing w:before="60" w:after="60"/>
              <w:rPr>
                <w:rFonts w:ascii="宋体" w:hAnsi="宋体"/>
                <w:szCs w:val="21"/>
              </w:rPr>
            </w:pPr>
            <w:r>
              <w:rPr>
                <w:rFonts w:hint="eastAsia" w:ascii="宋体" w:hAnsi="宋体"/>
                <w:szCs w:val="21"/>
              </w:rPr>
              <w:t>以卡片形式展现患者信息，包含：当前住院人数、平均住院日、危重等级分布、患者总数、连接设备患者总数统计、患者基本信息、患者连接的设备种类提示；危急值报警提示、预警评分、检查检验报警提示、智能报警开关、床位号（默认）和在床患者排序；护理等级排序（同级别按床号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Merge w:val="continue"/>
            <w:vAlign w:val="center"/>
          </w:tcPr>
          <w:p>
            <w:pPr>
              <w:widowControl/>
              <w:jc w:val="center"/>
              <w:rPr>
                <w:rFonts w:ascii="宋体" w:hAnsi="宋体" w:cs="宋体"/>
                <w:color w:val="000000"/>
                <w:szCs w:val="21"/>
              </w:rPr>
            </w:pPr>
          </w:p>
        </w:tc>
        <w:tc>
          <w:tcPr>
            <w:tcW w:w="5365" w:type="dxa"/>
            <w:vAlign w:val="center"/>
          </w:tcPr>
          <w:p>
            <w:pPr>
              <w:spacing w:before="60" w:after="60"/>
              <w:rPr>
                <w:rFonts w:ascii="宋体" w:hAnsi="宋体"/>
                <w:szCs w:val="21"/>
              </w:rPr>
            </w:pPr>
            <w:r>
              <w:rPr>
                <w:rFonts w:hint="eastAsia" w:ascii="宋体" w:hAnsi="宋体"/>
                <w:szCs w:val="21"/>
              </w:rPr>
              <w:t>患者体征</w:t>
            </w:r>
          </w:p>
          <w:p>
            <w:pPr>
              <w:spacing w:before="60" w:after="60"/>
              <w:rPr>
                <w:rFonts w:ascii="宋体" w:hAnsi="宋体"/>
                <w:szCs w:val="21"/>
              </w:rPr>
            </w:pPr>
            <w:r>
              <w:rPr>
                <w:rFonts w:hint="eastAsia" w:ascii="宋体" w:hAnsi="宋体"/>
                <w:szCs w:val="21"/>
              </w:rPr>
              <w:t>以卡片形式展现患者信息，包含：患者基本信息、体征值显示、危急值报警提示、检查检验报警提示、智能报警开关、床位号、在床患者、护理等级排序。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Merge w:val="continue"/>
            <w:vAlign w:val="center"/>
          </w:tcPr>
          <w:p>
            <w:pPr>
              <w:widowControl/>
              <w:jc w:val="center"/>
              <w:rPr>
                <w:rFonts w:ascii="宋体" w:hAnsi="宋体" w:cs="宋体"/>
                <w:color w:val="000000"/>
                <w:szCs w:val="21"/>
              </w:rPr>
            </w:pPr>
          </w:p>
        </w:tc>
        <w:tc>
          <w:tcPr>
            <w:tcW w:w="5365" w:type="dxa"/>
            <w:vAlign w:val="center"/>
          </w:tcPr>
          <w:p>
            <w:pPr>
              <w:spacing w:before="60" w:after="60"/>
              <w:rPr>
                <w:rFonts w:ascii="宋体" w:hAnsi="宋体"/>
                <w:szCs w:val="21"/>
              </w:rPr>
            </w:pPr>
            <w:r>
              <w:rPr>
                <w:rFonts w:hint="eastAsia" w:ascii="宋体" w:hAnsi="宋体"/>
                <w:szCs w:val="21"/>
              </w:rPr>
              <w:t>患者波形</w:t>
            </w:r>
          </w:p>
          <w:p>
            <w:pPr>
              <w:spacing w:before="60" w:after="60"/>
              <w:rPr>
                <w:rFonts w:ascii="宋体" w:hAnsi="宋体"/>
                <w:szCs w:val="21"/>
              </w:rPr>
            </w:pPr>
            <w:r>
              <w:rPr>
                <w:rFonts w:hint="eastAsia" w:ascii="宋体" w:hAnsi="宋体"/>
                <w:szCs w:val="21"/>
              </w:rPr>
              <w:t>以卡片形式展现患者波形信息，包含：患者基本信息、波形显示设置、不同种类设备波形设置、波形对应体征值显示、床位号、在床患者。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围术期实时监管移动端</w:t>
            </w:r>
          </w:p>
        </w:tc>
        <w:tc>
          <w:tcPr>
            <w:tcW w:w="5365" w:type="dxa"/>
            <w:vAlign w:val="center"/>
          </w:tcPr>
          <w:p>
            <w:pPr>
              <w:spacing w:before="60" w:after="60"/>
              <w:rPr>
                <w:rFonts w:ascii="宋体" w:hAnsi="宋体"/>
                <w:szCs w:val="21"/>
              </w:rPr>
            </w:pPr>
            <w:r>
              <w:rPr>
                <w:rFonts w:hint="eastAsia" w:ascii="宋体" w:hAnsi="宋体"/>
                <w:szCs w:val="21"/>
              </w:rPr>
              <w:t>提供移动管理端，使医护人员随时随地查看所管床的患者信息，及时收到病情报警信息，及时掌握患者病情进展。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患者实时体征</w:t>
            </w:r>
          </w:p>
        </w:tc>
        <w:tc>
          <w:tcPr>
            <w:tcW w:w="5365" w:type="dxa"/>
            <w:vAlign w:val="center"/>
          </w:tcPr>
          <w:p>
            <w:pPr>
              <w:spacing w:before="60" w:after="60"/>
              <w:rPr>
                <w:rFonts w:ascii="宋体" w:hAnsi="宋体"/>
                <w:szCs w:val="21"/>
              </w:rPr>
            </w:pPr>
            <w:r>
              <w:rPr>
                <w:rFonts w:hint="eastAsia" w:ascii="宋体" w:hAnsi="宋体"/>
                <w:szCs w:val="21"/>
              </w:rPr>
              <w:t>并可以通过实时显示患者的体征值数据，包含多种数值和波形、危急值报警、体征趋势、患者用药记录和评分记录等临床信息；使用设备情况，方便单个医护人员在查房、交班和日常监护对患者的病情监管，并开放数据接口，供其他平台共享，实现数字化工作流程，降低手工录入时易出错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事件记录</w:t>
            </w:r>
          </w:p>
        </w:tc>
        <w:tc>
          <w:tcPr>
            <w:tcW w:w="5365" w:type="dxa"/>
            <w:vAlign w:val="center"/>
          </w:tcPr>
          <w:p>
            <w:pPr>
              <w:spacing w:before="60" w:after="60"/>
              <w:rPr>
                <w:rFonts w:ascii="宋体" w:hAnsi="宋体"/>
                <w:szCs w:val="21"/>
              </w:rPr>
            </w:pPr>
            <w:r>
              <w:rPr>
                <w:rFonts w:hint="eastAsia" w:ascii="宋体" w:hAnsi="宋体"/>
                <w:szCs w:val="21"/>
              </w:rPr>
              <w:t>通过对患者住院期间事件记录，高中低级别报警统计，协助医生快速发现异常变化，全面掌控患者病情。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监测记录</w:t>
            </w:r>
          </w:p>
        </w:tc>
        <w:tc>
          <w:tcPr>
            <w:tcW w:w="5365" w:type="dxa"/>
            <w:vAlign w:val="center"/>
          </w:tcPr>
          <w:p>
            <w:pPr>
              <w:spacing w:before="60" w:after="60"/>
              <w:rPr>
                <w:rFonts w:ascii="宋体" w:hAnsi="宋体"/>
                <w:szCs w:val="21"/>
              </w:rPr>
            </w:pPr>
            <w:r>
              <w:rPr>
                <w:rFonts w:hint="eastAsia" w:ascii="宋体" w:hAnsi="宋体"/>
                <w:szCs w:val="21"/>
              </w:rPr>
              <w:t>通过对患者治疗期间生命体征数值类和波形类数据回顾，可以通过趋势表或趋势图浏览，高中低级别报警统计，协助医生快速发现异常变化，全面掌控患者病情。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历史体征对比</w:t>
            </w:r>
          </w:p>
        </w:tc>
        <w:tc>
          <w:tcPr>
            <w:tcW w:w="5365" w:type="dxa"/>
            <w:vAlign w:val="center"/>
          </w:tcPr>
          <w:p>
            <w:pPr>
              <w:spacing w:before="60" w:after="60"/>
              <w:rPr>
                <w:rFonts w:ascii="宋体" w:hAnsi="宋体"/>
                <w:szCs w:val="21"/>
              </w:rPr>
            </w:pPr>
            <w:r>
              <w:rPr>
                <w:rFonts w:hint="eastAsia" w:ascii="宋体" w:hAnsi="宋体"/>
                <w:szCs w:val="21"/>
              </w:rPr>
              <w:t>根据临床需求支持同一患者治疗期不同时间段内的生命体征数值对比、差值提示。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用药体征对比</w:t>
            </w:r>
          </w:p>
        </w:tc>
        <w:tc>
          <w:tcPr>
            <w:tcW w:w="5365" w:type="dxa"/>
            <w:vAlign w:val="center"/>
          </w:tcPr>
          <w:p>
            <w:pPr>
              <w:spacing w:before="60" w:after="60"/>
              <w:rPr>
                <w:rFonts w:ascii="宋体" w:hAnsi="宋体"/>
                <w:szCs w:val="21"/>
              </w:rPr>
            </w:pPr>
            <w:r>
              <w:rPr>
                <w:rFonts w:hint="eastAsia" w:ascii="宋体" w:hAnsi="宋体"/>
                <w:szCs w:val="21"/>
              </w:rPr>
              <w:t>根据临床需求支持同一患者治疗期用药区间内的生命体征数趋势对比。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检验记录</w:t>
            </w:r>
          </w:p>
        </w:tc>
        <w:tc>
          <w:tcPr>
            <w:tcW w:w="5365" w:type="dxa"/>
            <w:vAlign w:val="center"/>
          </w:tcPr>
          <w:p>
            <w:pPr>
              <w:spacing w:before="60" w:after="60"/>
              <w:rPr>
                <w:rFonts w:ascii="宋体" w:hAnsi="宋体"/>
                <w:szCs w:val="21"/>
              </w:rPr>
            </w:pPr>
            <w:r>
              <w:rPr>
                <w:rFonts w:hint="eastAsia" w:ascii="宋体" w:hAnsi="宋体"/>
                <w:szCs w:val="21"/>
              </w:rPr>
              <w:t>通过对患者住院期间事件记录，生命体征数值类和波形类数据回顾，用药效果评估、生化检验结果浏览、高中低级别报警统计，协助医生快速发现异常变化，全面掌控患者病情。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患者评分</w:t>
            </w:r>
          </w:p>
        </w:tc>
        <w:tc>
          <w:tcPr>
            <w:tcW w:w="5365" w:type="dxa"/>
            <w:vAlign w:val="center"/>
          </w:tcPr>
          <w:p>
            <w:pPr>
              <w:spacing w:before="60" w:after="60"/>
              <w:rPr>
                <w:rFonts w:ascii="宋体" w:hAnsi="宋体"/>
                <w:szCs w:val="21"/>
              </w:rPr>
            </w:pPr>
            <w:r>
              <w:rPr>
                <w:rFonts w:hint="eastAsia" w:ascii="宋体" w:hAnsi="宋体"/>
                <w:szCs w:val="21"/>
              </w:rPr>
              <w:t>支持MEWS、APACHE-Ⅱ、Sofa等患者的评分，快速告知医生危重病人病情的严重程度，协助医生选择正确的治疗方法，通过对15种临床急危围术期预警评估，降低非计划性ICU入住率、心搏骤停发生率和患者死亡率，提高医院患者生存率，保障医疗安全与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结构化评估量表</w:t>
            </w:r>
          </w:p>
        </w:tc>
        <w:tc>
          <w:tcPr>
            <w:tcW w:w="5365" w:type="dxa"/>
            <w:vAlign w:val="center"/>
          </w:tcPr>
          <w:p>
            <w:pPr>
              <w:spacing w:before="60" w:after="60"/>
              <w:rPr>
                <w:rFonts w:ascii="宋体" w:hAnsi="宋体"/>
                <w:szCs w:val="21"/>
              </w:rPr>
            </w:pPr>
            <w:r>
              <w:rPr>
                <w:rFonts w:hint="eastAsia" w:ascii="宋体" w:hAnsi="宋体"/>
                <w:szCs w:val="21"/>
              </w:rPr>
              <w:t>通过医疗物联网技术，采集患者生命体征客观数据，结合主观评分项，实现对患者包括疼痛评估、VTE评估、精神状态评估、睡眠情况评估等在内的结构化评估量表，并将量表同步至围术期专科数据库，同步实现量表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术中低血氧症预警</w:t>
            </w:r>
          </w:p>
        </w:tc>
        <w:tc>
          <w:tcPr>
            <w:tcW w:w="5365" w:type="dxa"/>
            <w:vAlign w:val="center"/>
          </w:tcPr>
          <w:p>
            <w:pPr>
              <w:spacing w:before="60" w:after="60"/>
              <w:rPr>
                <w:rFonts w:ascii="宋体" w:hAnsi="宋体"/>
                <w:szCs w:val="21"/>
              </w:rPr>
            </w:pPr>
            <w:r>
              <w:rPr>
                <w:rFonts w:hint="eastAsia" w:ascii="宋体" w:hAnsi="宋体"/>
                <w:szCs w:val="21"/>
              </w:rPr>
              <w:t>辅助诊疗系统预警内置平台通过综合患者信息、患者监测数据、患者评分量表联合术中低血氧症规风险预警引擎，对书中低血氧症的出现风险进行预测预警，并向医护人员进行提示。同步记录包括术后并发症、术后干预措施等信息的患者全生命周期诊疗数据，方便医护人员灵活调整诊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术中低血压症预警</w:t>
            </w:r>
          </w:p>
        </w:tc>
        <w:tc>
          <w:tcPr>
            <w:tcW w:w="5365" w:type="dxa"/>
            <w:vAlign w:val="center"/>
          </w:tcPr>
          <w:p>
            <w:pPr>
              <w:spacing w:before="60" w:after="60"/>
              <w:rPr>
                <w:rFonts w:ascii="宋体" w:hAnsi="宋体"/>
                <w:szCs w:val="21"/>
              </w:rPr>
            </w:pPr>
            <w:r>
              <w:rPr>
                <w:rFonts w:hint="eastAsia" w:ascii="宋体" w:hAnsi="宋体"/>
                <w:szCs w:val="21"/>
              </w:rPr>
              <w:t>辅助诊疗系统预警内置平台通过综合患者信息、患者监测数据、患者评分量表联合术中低血压症规风险预警引擎，对术中低血压症的出现风险进行预测预警，并向医护人员进行提示。同步记录包括术后并发症、术后干预措施等信息的患者全生命周期诊疗数据，方便医护人员灵活调整诊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术前访视申请预评估</w:t>
            </w:r>
          </w:p>
        </w:tc>
        <w:tc>
          <w:tcPr>
            <w:tcW w:w="5365" w:type="dxa"/>
            <w:vAlign w:val="center"/>
          </w:tcPr>
          <w:p>
            <w:pPr>
              <w:spacing w:before="60" w:after="60"/>
              <w:rPr>
                <w:rFonts w:ascii="宋体" w:hAnsi="宋体"/>
                <w:szCs w:val="21"/>
              </w:rPr>
            </w:pPr>
            <w:r>
              <w:rPr>
                <w:rFonts w:hint="eastAsia" w:ascii="宋体" w:hAnsi="宋体"/>
                <w:szCs w:val="21"/>
              </w:rPr>
              <w:t>通过与院内</w:t>
            </w:r>
            <w:r>
              <w:rPr>
                <w:rFonts w:hint="eastAsia" w:ascii="宋体" w:hAnsi="宋体"/>
                <w:szCs w:val="21"/>
                <w:lang w:val="en-US" w:eastAsia="zh-CN"/>
              </w:rPr>
              <w:t>数据</w:t>
            </w:r>
            <w:r>
              <w:rPr>
                <w:rFonts w:hint="eastAsia" w:ascii="宋体" w:hAnsi="宋体"/>
                <w:szCs w:val="21"/>
              </w:rPr>
              <w:t>对接（如：HIS、手术麻醉、EMR、LIS、PACS等），实时获取院内电子化术前访视申请单并进行申请初筛与初筛审核，并将初筛结果提给医务人员。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术后诊疗信息随访</w:t>
            </w:r>
          </w:p>
        </w:tc>
        <w:tc>
          <w:tcPr>
            <w:tcW w:w="5365" w:type="dxa"/>
            <w:vAlign w:val="center"/>
          </w:tcPr>
          <w:p>
            <w:pPr>
              <w:spacing w:before="60" w:after="60"/>
              <w:rPr>
                <w:rFonts w:ascii="宋体" w:hAnsi="宋体"/>
                <w:szCs w:val="21"/>
              </w:rPr>
            </w:pPr>
            <w:r>
              <w:rPr>
                <w:rFonts w:hint="eastAsia" w:ascii="宋体" w:hAnsi="宋体"/>
                <w:szCs w:val="21"/>
              </w:rPr>
              <w:t>为医务工作者提供按时间维流向、以患者为核心、对患者全诊疗医学信息进行多维呈现的数据组织与观察功能。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围术期宣教</w:t>
            </w:r>
          </w:p>
        </w:tc>
        <w:tc>
          <w:tcPr>
            <w:tcW w:w="5365" w:type="dxa"/>
            <w:vAlign w:val="center"/>
          </w:tcPr>
          <w:p>
            <w:pPr>
              <w:spacing w:before="60" w:after="60"/>
              <w:rPr>
                <w:rFonts w:ascii="宋体" w:hAnsi="宋体"/>
                <w:szCs w:val="21"/>
              </w:rPr>
            </w:pPr>
            <w:r>
              <w:rPr>
                <w:rFonts w:hint="eastAsia" w:ascii="宋体" w:hAnsi="宋体"/>
                <w:szCs w:val="21"/>
              </w:rPr>
              <w:t>为患者提供床旁围术期宣教信息，包括麻醉前准备、入手术室后、麻醉过程、麻醉复苏等过程。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restart"/>
            <w:vAlign w:val="center"/>
          </w:tcPr>
          <w:p>
            <w:pPr>
              <w:widowControl/>
              <w:jc w:val="center"/>
              <w:rPr>
                <w:rFonts w:ascii="宋体" w:hAnsi="宋体" w:cs="宋体"/>
                <w:color w:val="000000"/>
                <w:szCs w:val="21"/>
              </w:rPr>
            </w:pPr>
            <w:r>
              <w:rPr>
                <w:rFonts w:hint="eastAsia" w:ascii="宋体" w:hAnsi="宋体" w:cs="宋体"/>
                <w:color w:val="000000"/>
                <w:szCs w:val="21"/>
              </w:rPr>
              <w:t>2</w:t>
            </w:r>
          </w:p>
        </w:tc>
        <w:tc>
          <w:tcPr>
            <w:tcW w:w="1161" w:type="dxa"/>
            <w:vMerge w:val="restart"/>
            <w:vAlign w:val="center"/>
          </w:tcPr>
          <w:p>
            <w:pPr>
              <w:widowControl/>
              <w:rPr>
                <w:rFonts w:ascii="宋体" w:hAnsi="宋体" w:cs="宋体"/>
                <w:color w:val="000000"/>
                <w:szCs w:val="21"/>
              </w:rPr>
            </w:pPr>
            <w:r>
              <w:rPr>
                <w:rFonts w:hint="eastAsia" w:ascii="宋体" w:hAnsi="宋体" w:cs="宋体"/>
                <w:color w:val="000000"/>
                <w:szCs w:val="21"/>
              </w:rPr>
              <w:t>科研辅助系统</w:t>
            </w: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研究列表</w:t>
            </w:r>
          </w:p>
        </w:tc>
        <w:tc>
          <w:tcPr>
            <w:tcW w:w="5365" w:type="dxa"/>
            <w:vAlign w:val="center"/>
          </w:tcPr>
          <w:p>
            <w:pPr>
              <w:spacing w:before="60" w:after="60"/>
              <w:rPr>
                <w:rFonts w:ascii="宋体" w:hAnsi="宋体"/>
                <w:szCs w:val="21"/>
              </w:rPr>
            </w:pPr>
            <w:r>
              <w:rPr>
                <w:rFonts w:hint="eastAsia" w:ascii="宋体" w:hAnsi="宋体"/>
                <w:szCs w:val="21"/>
              </w:rPr>
              <w:t>研究列表功能将全部基于本系统的研究</w:t>
            </w:r>
            <w:r>
              <w:rPr>
                <w:rFonts w:hint="eastAsia" w:ascii="宋体" w:hAnsi="宋体"/>
                <w:szCs w:val="21"/>
                <w:lang w:eastAsia="zh-CN"/>
              </w:rPr>
              <w:t>，</w:t>
            </w:r>
            <w:r>
              <w:rPr>
                <w:rFonts w:hint="eastAsia" w:ascii="宋体" w:hAnsi="宋体"/>
                <w:szCs w:val="21"/>
              </w:rPr>
              <w:t>按研究方向、研究目的、研究方法汇总提供给研究工作者，提供队列研究工具、科研变量编辑与生成工具入口，用户可根据研究需要对研究列表进行全维度的模糊查询，查看研究队列筛选配置状态，并对数据进行独有的“贴签”操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队列研究工具</w:t>
            </w:r>
          </w:p>
        </w:tc>
        <w:tc>
          <w:tcPr>
            <w:tcW w:w="5365" w:type="dxa"/>
            <w:vAlign w:val="center"/>
          </w:tcPr>
          <w:p>
            <w:pPr>
              <w:spacing w:before="60" w:after="60"/>
              <w:rPr>
                <w:rFonts w:ascii="宋体" w:hAnsi="宋体"/>
                <w:szCs w:val="21"/>
              </w:rPr>
            </w:pPr>
            <w:r>
              <w:rPr>
                <w:rFonts w:hint="eastAsia" w:ascii="宋体" w:hAnsi="宋体"/>
                <w:szCs w:val="21"/>
              </w:rPr>
              <w:t>队列研究工具是针对某一项研究内容进行样本筛选的基础工具，为研究工作者提供全库患者数据的自由筛选组合及“定位贴签”功能。研究工作者可针对当前研究内容对研究方向、研究目的、研究方法进行随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 w:type="dxa"/>
            <w:vMerge w:val="continue"/>
            <w:vAlign w:val="center"/>
          </w:tcPr>
          <w:p>
            <w:pPr>
              <w:widowControl/>
              <w:jc w:val="center"/>
              <w:rPr>
                <w:rFonts w:ascii="宋体" w:hAnsi="宋体" w:cs="宋体"/>
                <w:color w:val="000000"/>
                <w:szCs w:val="21"/>
              </w:rPr>
            </w:pPr>
          </w:p>
        </w:tc>
        <w:tc>
          <w:tcPr>
            <w:tcW w:w="1161" w:type="dxa"/>
            <w:vMerge w:val="continue"/>
            <w:vAlign w:val="center"/>
          </w:tcPr>
          <w:p>
            <w:pPr>
              <w:widowControl/>
              <w:jc w:val="center"/>
              <w:rPr>
                <w:rFonts w:ascii="宋体" w:hAnsi="宋体" w:cs="宋体"/>
                <w:color w:val="000000"/>
                <w:szCs w:val="21"/>
              </w:rPr>
            </w:pPr>
          </w:p>
        </w:tc>
        <w:tc>
          <w:tcPr>
            <w:tcW w:w="2036" w:type="dxa"/>
            <w:vAlign w:val="center"/>
          </w:tcPr>
          <w:p>
            <w:pPr>
              <w:widowControl/>
              <w:rPr>
                <w:rFonts w:ascii="宋体" w:hAnsi="宋体" w:cs="宋体"/>
                <w:color w:val="000000"/>
                <w:szCs w:val="21"/>
              </w:rPr>
            </w:pPr>
            <w:r>
              <w:rPr>
                <w:rFonts w:hint="eastAsia" w:ascii="宋体" w:hAnsi="宋体" w:cs="宋体"/>
                <w:color w:val="000000"/>
                <w:szCs w:val="21"/>
              </w:rPr>
              <w:t>科研变量编辑与生成工具</w:t>
            </w:r>
          </w:p>
        </w:tc>
        <w:tc>
          <w:tcPr>
            <w:tcW w:w="5365" w:type="dxa"/>
            <w:vAlign w:val="center"/>
          </w:tcPr>
          <w:p>
            <w:pPr>
              <w:spacing w:before="60" w:after="60"/>
              <w:rPr>
                <w:rFonts w:ascii="宋体" w:hAnsi="宋体"/>
                <w:szCs w:val="21"/>
              </w:rPr>
            </w:pPr>
            <w:r>
              <w:rPr>
                <w:rFonts w:hint="eastAsia" w:ascii="宋体" w:hAnsi="宋体"/>
                <w:szCs w:val="21"/>
              </w:rPr>
              <w:t>搭载元数据共享模组的科研变量编辑与生成工具，具有对贴签后的患者队列进行相应的元数据级数据筛选能力，科研工作者可根据研究目的、研究方法的需要，对全库患者数据进行选取，并可随时改变选取的变量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bookmarkStart w:id="1" w:name="_6.1.2、容器服务器"/>
            <w:bookmarkEnd w:id="1"/>
            <w:r>
              <w:rPr>
                <w:rFonts w:hint="eastAsia" w:ascii="宋体" w:hAnsi="宋体" w:cs="宋体"/>
                <w:color w:val="000000"/>
                <w:szCs w:val="21"/>
              </w:rPr>
              <w:t>3</w:t>
            </w:r>
          </w:p>
        </w:tc>
        <w:tc>
          <w:tcPr>
            <w:tcW w:w="319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围术期专科数据库</w:t>
            </w:r>
          </w:p>
        </w:tc>
        <w:tc>
          <w:tcPr>
            <w:tcW w:w="536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资源化生命体征数据、临床数据、生物样本数据、变异基因数据等医学信息，具有多中心数据融合架构与分离管理能力，开放标准数据注册接口及数据查询服务，主要模块如下：</w:t>
            </w:r>
          </w:p>
          <w:p>
            <w:pPr>
              <w:widowControl/>
              <w:rPr>
                <w:rFonts w:ascii="宋体" w:hAnsi="宋体" w:cs="宋体"/>
                <w:color w:val="000000"/>
                <w:szCs w:val="21"/>
              </w:rPr>
            </w:pPr>
            <w:r>
              <w:rPr>
                <w:rFonts w:hint="eastAsia" w:ascii="宋体" w:hAnsi="宋体" w:cs="宋体"/>
                <w:color w:val="000000"/>
                <w:szCs w:val="21"/>
              </w:rPr>
              <w:t>a)</w:t>
            </w:r>
            <w:r>
              <w:rPr>
                <w:rFonts w:hint="eastAsia" w:ascii="宋体" w:hAnsi="宋体" w:cs="宋体"/>
                <w:color w:val="000000"/>
                <w:szCs w:val="21"/>
              </w:rPr>
              <w:tab/>
            </w:r>
            <w:r>
              <w:rPr>
                <w:rFonts w:hint="eastAsia" w:ascii="宋体" w:hAnsi="宋体" w:cs="宋体"/>
                <w:color w:val="000000"/>
                <w:szCs w:val="21"/>
              </w:rPr>
              <w:t>围术期专科数据库</w:t>
            </w:r>
          </w:p>
          <w:p>
            <w:pPr>
              <w:widowControl/>
              <w:rPr>
                <w:rFonts w:ascii="宋体" w:hAnsi="宋体" w:cs="宋体"/>
                <w:color w:val="000000"/>
                <w:szCs w:val="21"/>
              </w:rPr>
            </w:pPr>
            <w:r>
              <w:rPr>
                <w:rFonts w:hint="eastAsia" w:ascii="宋体" w:hAnsi="宋体" w:cs="宋体"/>
                <w:color w:val="000000"/>
                <w:szCs w:val="21"/>
              </w:rPr>
              <w:t>b)</w:t>
            </w:r>
            <w:r>
              <w:rPr>
                <w:rFonts w:hint="eastAsia" w:ascii="宋体" w:hAnsi="宋体" w:cs="宋体"/>
                <w:color w:val="000000"/>
                <w:szCs w:val="21"/>
              </w:rPr>
              <w:tab/>
            </w:r>
            <w:r>
              <w:rPr>
                <w:rFonts w:hint="eastAsia" w:ascii="宋体" w:hAnsi="宋体" w:cs="宋体"/>
                <w:color w:val="000000"/>
                <w:szCs w:val="21"/>
              </w:rPr>
              <w:t>数据访问权限管理</w:t>
            </w:r>
          </w:p>
          <w:p>
            <w:pPr>
              <w:widowControl/>
              <w:rPr>
                <w:rFonts w:ascii="宋体" w:hAnsi="宋体" w:cs="宋体"/>
                <w:color w:val="000000"/>
                <w:szCs w:val="21"/>
              </w:rPr>
            </w:pPr>
            <w:r>
              <w:rPr>
                <w:rFonts w:hint="eastAsia" w:ascii="宋体" w:hAnsi="宋体" w:cs="宋体"/>
                <w:color w:val="000000"/>
                <w:szCs w:val="21"/>
              </w:rPr>
              <w:t>c)</w:t>
            </w:r>
            <w:r>
              <w:rPr>
                <w:rFonts w:hint="eastAsia" w:ascii="宋体" w:hAnsi="宋体" w:cs="宋体"/>
                <w:color w:val="000000"/>
                <w:szCs w:val="21"/>
              </w:rPr>
              <w:tab/>
            </w:r>
            <w:r>
              <w:rPr>
                <w:rFonts w:hint="eastAsia" w:ascii="宋体" w:hAnsi="宋体" w:cs="宋体"/>
                <w:color w:val="000000"/>
                <w:szCs w:val="21"/>
              </w:rPr>
              <w:t>多中心数据融合与管理</w:t>
            </w:r>
          </w:p>
          <w:p>
            <w:pPr>
              <w:widowControl/>
              <w:rPr>
                <w:rFonts w:ascii="宋体" w:hAnsi="宋体" w:cs="宋体"/>
                <w:color w:val="000000"/>
                <w:szCs w:val="21"/>
              </w:rPr>
            </w:pPr>
            <w:r>
              <w:rPr>
                <w:rFonts w:hint="eastAsia" w:ascii="宋体" w:hAnsi="宋体" w:cs="宋体"/>
                <w:color w:val="000000"/>
                <w:szCs w:val="21"/>
              </w:rPr>
              <w:t>d)</w:t>
            </w:r>
            <w:r>
              <w:rPr>
                <w:rFonts w:hint="eastAsia" w:ascii="宋体" w:hAnsi="宋体" w:cs="宋体"/>
                <w:color w:val="000000"/>
                <w:szCs w:val="21"/>
              </w:rPr>
              <w:tab/>
            </w:r>
            <w:r>
              <w:rPr>
                <w:rFonts w:hint="eastAsia" w:ascii="宋体" w:hAnsi="宋体" w:cs="宋体"/>
                <w:color w:val="000000"/>
                <w:szCs w:val="21"/>
              </w:rPr>
              <w:t>标准数据注册接口</w:t>
            </w:r>
          </w:p>
          <w:p>
            <w:pPr>
              <w:widowControl/>
              <w:rPr>
                <w:rFonts w:ascii="宋体" w:hAnsi="宋体" w:cs="宋体"/>
                <w:color w:val="000000"/>
                <w:szCs w:val="21"/>
              </w:rPr>
            </w:pPr>
            <w:r>
              <w:rPr>
                <w:rFonts w:hint="eastAsia" w:ascii="宋体" w:hAnsi="宋体" w:cs="宋体"/>
                <w:color w:val="000000"/>
                <w:szCs w:val="21"/>
              </w:rPr>
              <w:t>e)</w:t>
            </w:r>
            <w:r>
              <w:rPr>
                <w:rFonts w:hint="eastAsia" w:ascii="宋体" w:hAnsi="宋体" w:cs="宋体"/>
                <w:color w:val="000000"/>
                <w:szCs w:val="21"/>
              </w:rPr>
              <w:tab/>
            </w:r>
            <w:r>
              <w:rPr>
                <w:rFonts w:hint="eastAsia" w:ascii="宋体" w:hAnsi="宋体" w:cs="宋体"/>
                <w:color w:val="000000"/>
                <w:szCs w:val="21"/>
              </w:rPr>
              <w:t>开放数据查询服务</w:t>
            </w:r>
          </w:p>
          <w:p>
            <w:pPr>
              <w:widowControl/>
              <w:rPr>
                <w:rFonts w:hint="eastAsia" w:ascii="宋体" w:hAnsi="宋体" w:cs="宋体"/>
                <w:color w:val="000000"/>
                <w:szCs w:val="21"/>
              </w:rPr>
            </w:pPr>
            <w:r>
              <w:rPr>
                <w:rFonts w:hint="eastAsia" w:ascii="宋体" w:hAnsi="宋体" w:cs="宋体"/>
                <w:color w:val="000000"/>
                <w:szCs w:val="21"/>
              </w:rPr>
              <w:t>含内置数据交换系统，实现外部数据的主动式采纳及标准转化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4</w:t>
            </w:r>
          </w:p>
        </w:tc>
        <w:tc>
          <w:tcPr>
            <w:tcW w:w="319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系统域管理系统</w:t>
            </w:r>
          </w:p>
        </w:tc>
        <w:tc>
          <w:tcPr>
            <w:tcW w:w="5365"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color w:val="000000"/>
                <w:szCs w:val="21"/>
                <w:lang w:eastAsia="zh-CN"/>
              </w:rPr>
            </w:pPr>
            <w:r>
              <w:rPr>
                <w:rFonts w:hint="eastAsia" w:ascii="宋体" w:hAnsi="宋体" w:cs="宋体"/>
                <w:color w:val="000000"/>
                <w:szCs w:val="21"/>
              </w:rPr>
              <w:t>定义并管理临床诊疗信息源，实现对每一条注册数据的可追溯能力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5</w:t>
            </w:r>
          </w:p>
        </w:tc>
        <w:tc>
          <w:tcPr>
            <w:tcW w:w="319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单点登录系统</w:t>
            </w:r>
          </w:p>
        </w:tc>
        <w:tc>
          <w:tcPr>
            <w:tcW w:w="536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统一系统登录功能，可将各业务系统挂载至本系统，实现单点登录与统一认证功能</w:t>
            </w:r>
          </w:p>
        </w:tc>
      </w:tr>
    </w:tbl>
    <w:p/>
    <w:p>
      <w:pPr>
        <w:pStyle w:val="4"/>
        <w:rPr>
          <w:rFonts w:ascii="宋体" w:hAnsi="宋体" w:eastAsia="宋体"/>
          <w:sz w:val="24"/>
          <w:szCs w:val="24"/>
        </w:rPr>
      </w:pPr>
      <w:bookmarkStart w:id="2" w:name="_3.1.3、硬件服务器"/>
      <w:bookmarkEnd w:id="2"/>
      <w:r>
        <w:rPr>
          <w:rFonts w:hint="eastAsia" w:ascii="宋体" w:hAnsi="宋体" w:eastAsia="宋体"/>
          <w:sz w:val="24"/>
          <w:szCs w:val="24"/>
        </w:rPr>
        <w:t>3</w:t>
      </w:r>
      <w:r>
        <w:rPr>
          <w:rFonts w:ascii="宋体" w:hAnsi="宋体" w:eastAsia="宋体"/>
          <w:sz w:val="24"/>
          <w:szCs w:val="24"/>
        </w:rPr>
        <w:t>.1.</w:t>
      </w:r>
      <w:r>
        <w:rPr>
          <w:rFonts w:hint="eastAsia" w:ascii="宋体" w:hAnsi="宋体" w:eastAsia="宋体"/>
          <w:sz w:val="24"/>
          <w:szCs w:val="24"/>
          <w:lang w:val="en-US" w:eastAsia="zh-CN"/>
        </w:rPr>
        <w:t>2</w:t>
      </w:r>
      <w:bookmarkStart w:id="3" w:name="_GoBack"/>
      <w:bookmarkEnd w:id="3"/>
      <w:r>
        <w:rPr>
          <w:rFonts w:hint="eastAsia" w:ascii="宋体" w:hAnsi="宋体" w:eastAsia="宋体"/>
          <w:sz w:val="24"/>
          <w:szCs w:val="24"/>
        </w:rPr>
        <w:t>、硬件服务器</w:t>
      </w:r>
    </w:p>
    <w:p>
      <w:pPr>
        <w:spacing w:line="360" w:lineRule="auto"/>
        <w:ind w:firstLine="420" w:firstLineChars="200"/>
        <w:rPr>
          <w:lang w:val="zh-CN"/>
        </w:rPr>
      </w:pPr>
      <w:r>
        <w:rPr>
          <w:rFonts w:hint="eastAsia"/>
          <w:lang w:val="zh-CN"/>
        </w:rPr>
        <w:t>本项目所采购的硬件服务器具体参数要求如下：</w:t>
      </w:r>
    </w:p>
    <w:tbl>
      <w:tblPr>
        <w:tblStyle w:val="21"/>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129"/>
        <w:gridCol w:w="2054"/>
        <w:gridCol w:w="3649"/>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464" w:type="dxa"/>
            <w:vMerge w:val="restart"/>
            <w:shd w:val="clear" w:color="auto" w:fill="auto"/>
            <w:vAlign w:val="center"/>
          </w:tcPr>
          <w:p>
            <w:pPr>
              <w:widowControl/>
              <w:jc w:val="center"/>
              <w:rPr>
                <w:rFonts w:hint="eastAsia" w:ascii="宋体" w:hAnsi="宋体" w:eastAsia="宋体" w:cs="宋体"/>
                <w:b/>
                <w:kern w:val="0"/>
                <w:szCs w:val="21"/>
                <w:lang w:val="en-US" w:eastAsia="zh-CN"/>
              </w:rPr>
            </w:pPr>
            <w:r>
              <w:rPr>
                <w:rFonts w:hint="eastAsia" w:ascii="宋体" w:hAnsi="宋体" w:cs="宋体"/>
                <w:b/>
                <w:kern w:val="0"/>
                <w:szCs w:val="21"/>
                <w:lang w:val="en-US" w:eastAsia="zh-CN"/>
              </w:rPr>
              <w:t>硬件服务器</w:t>
            </w:r>
          </w:p>
        </w:tc>
        <w:tc>
          <w:tcPr>
            <w:tcW w:w="3183" w:type="dxa"/>
            <w:gridSpan w:val="2"/>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指标类别</w:t>
            </w:r>
          </w:p>
        </w:tc>
        <w:tc>
          <w:tcPr>
            <w:tcW w:w="3649" w:type="dxa"/>
            <w:shd w:val="clear" w:color="auto" w:fill="auto"/>
            <w:vAlign w:val="center"/>
          </w:tcPr>
          <w:p>
            <w:pPr>
              <w:widowControl/>
              <w:jc w:val="center"/>
              <w:rPr>
                <w:rFonts w:ascii="宋体" w:hAnsi="宋体" w:cs="宋体"/>
                <w:b/>
                <w:kern w:val="0"/>
                <w:szCs w:val="21"/>
              </w:rPr>
            </w:pPr>
            <w:r>
              <w:rPr>
                <w:rFonts w:hint="eastAsia" w:ascii="宋体" w:hAnsi="宋体" w:cs="宋体"/>
                <w:b/>
                <w:kern w:val="0"/>
                <w:szCs w:val="21"/>
              </w:rPr>
              <w:t>技术规格要求</w:t>
            </w:r>
          </w:p>
        </w:tc>
        <w:tc>
          <w:tcPr>
            <w:tcW w:w="1088" w:type="dxa"/>
            <w:shd w:val="clear" w:color="auto" w:fill="auto"/>
            <w:vAlign w:val="center"/>
          </w:tcPr>
          <w:p>
            <w:pPr>
              <w:widowControl/>
              <w:jc w:val="center"/>
              <w:rPr>
                <w:rFonts w:hint="default" w:ascii="宋体" w:hAnsi="宋体" w:eastAsia="宋体" w:cs="宋体"/>
                <w:b/>
                <w:kern w:val="0"/>
                <w:szCs w:val="21"/>
                <w:lang w:val="en-US" w:eastAsia="zh-CN"/>
              </w:rPr>
            </w:pPr>
            <w:r>
              <w:rPr>
                <w:rFonts w:hint="eastAsia" w:ascii="宋体" w:hAnsi="宋体" w:cs="宋体"/>
                <w:b/>
                <w:kern w:val="0"/>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64" w:type="dxa"/>
            <w:vMerge w:val="continue"/>
            <w:shd w:val="clear" w:color="auto" w:fill="auto"/>
            <w:vAlign w:val="center"/>
          </w:tcPr>
          <w:p>
            <w:pPr>
              <w:widowControl/>
              <w:jc w:val="center"/>
              <w:rPr>
                <w:rFonts w:hint="eastAsia" w:ascii="宋体" w:hAnsi="宋体" w:cs="宋体"/>
                <w:kern w:val="0"/>
                <w:szCs w:val="21"/>
              </w:rPr>
            </w:pPr>
          </w:p>
        </w:tc>
        <w:tc>
          <w:tcPr>
            <w:tcW w:w="11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处理器</w:t>
            </w:r>
          </w:p>
        </w:tc>
        <w:tc>
          <w:tcPr>
            <w:tcW w:w="205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CPU型号</w:t>
            </w:r>
          </w:p>
        </w:tc>
        <w:tc>
          <w:tcPr>
            <w:tcW w:w="3649"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32核</w:t>
            </w:r>
          </w:p>
        </w:tc>
        <w:tc>
          <w:tcPr>
            <w:tcW w:w="1088" w:type="dxa"/>
            <w:vMerge w:val="restart"/>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64" w:type="dxa"/>
            <w:vMerge w:val="continue"/>
            <w:shd w:val="clear" w:color="auto" w:fill="auto"/>
            <w:vAlign w:val="center"/>
          </w:tcPr>
          <w:p>
            <w:pPr>
              <w:widowControl/>
              <w:jc w:val="center"/>
              <w:rPr>
                <w:rFonts w:hint="eastAsia" w:ascii="宋体" w:hAnsi="宋体" w:cs="宋体"/>
                <w:kern w:val="0"/>
                <w:szCs w:val="21"/>
              </w:rPr>
            </w:pPr>
          </w:p>
        </w:tc>
        <w:tc>
          <w:tcPr>
            <w:tcW w:w="11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内存</w:t>
            </w:r>
          </w:p>
        </w:tc>
        <w:tc>
          <w:tcPr>
            <w:tcW w:w="2054" w:type="dxa"/>
            <w:shd w:val="clear" w:color="auto" w:fill="auto"/>
            <w:vAlign w:val="center"/>
          </w:tcPr>
          <w:p>
            <w:pPr>
              <w:widowControl/>
              <w:jc w:val="center"/>
              <w:rPr>
                <w:rFonts w:ascii="微软雅黑" w:hAnsi="微软雅黑" w:eastAsia="微软雅黑" w:cs="宋体"/>
                <w:kern w:val="0"/>
                <w:szCs w:val="21"/>
              </w:rPr>
            </w:pPr>
            <w:r>
              <w:rPr>
                <w:rFonts w:hint="eastAsia" w:ascii="宋体" w:hAnsi="宋体" w:cs="宋体"/>
                <w:kern w:val="0"/>
                <w:szCs w:val="21"/>
              </w:rPr>
              <w:t>内存实配规格和扩展能力</w:t>
            </w:r>
          </w:p>
        </w:tc>
        <w:tc>
          <w:tcPr>
            <w:tcW w:w="3649"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256</w:t>
            </w:r>
            <w:r>
              <w:rPr>
                <w:rFonts w:hint="eastAsia" w:ascii="宋体" w:hAnsi="宋体" w:cs="宋体"/>
                <w:kern w:val="0"/>
                <w:szCs w:val="21"/>
              </w:rPr>
              <w:t>GB</w:t>
            </w:r>
          </w:p>
        </w:tc>
        <w:tc>
          <w:tcPr>
            <w:tcW w:w="1088" w:type="dxa"/>
            <w:vMerge w:val="continue"/>
            <w:shd w:val="clear" w:color="auto" w:fill="auto"/>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64" w:type="dxa"/>
            <w:vMerge w:val="continue"/>
            <w:shd w:val="clear" w:color="auto" w:fill="auto"/>
            <w:vAlign w:val="center"/>
          </w:tcPr>
          <w:p>
            <w:pPr>
              <w:widowControl/>
              <w:jc w:val="center"/>
              <w:rPr>
                <w:rFonts w:hint="eastAsia" w:ascii="宋体" w:hAnsi="宋体" w:cs="宋体"/>
                <w:kern w:val="0"/>
                <w:szCs w:val="21"/>
              </w:rPr>
            </w:pPr>
          </w:p>
        </w:tc>
        <w:tc>
          <w:tcPr>
            <w:tcW w:w="1129"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存储</w:t>
            </w:r>
          </w:p>
        </w:tc>
        <w:tc>
          <w:tcPr>
            <w:tcW w:w="205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硬盘</w:t>
            </w:r>
          </w:p>
        </w:tc>
        <w:tc>
          <w:tcPr>
            <w:tcW w:w="3649" w:type="dxa"/>
            <w:shd w:val="clear" w:color="auto" w:fill="auto"/>
            <w:vAlign w:val="center"/>
          </w:tcPr>
          <w:p>
            <w:pPr>
              <w:widowControl/>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TB，视情况逐年扩展</w:t>
            </w:r>
          </w:p>
        </w:tc>
        <w:tc>
          <w:tcPr>
            <w:tcW w:w="1088" w:type="dxa"/>
            <w:vMerge w:val="continue"/>
            <w:shd w:val="clear" w:color="auto" w:fill="auto"/>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64" w:type="dxa"/>
            <w:vMerge w:val="continue"/>
            <w:shd w:val="clear" w:color="auto" w:fill="auto"/>
            <w:vAlign w:val="center"/>
          </w:tcPr>
          <w:p>
            <w:pPr>
              <w:widowControl/>
              <w:jc w:val="center"/>
              <w:rPr>
                <w:rFonts w:hint="eastAsia" w:ascii="宋体" w:hAnsi="宋体" w:cs="宋体"/>
                <w:kern w:val="0"/>
                <w:szCs w:val="21"/>
              </w:rPr>
            </w:pPr>
          </w:p>
        </w:tc>
        <w:tc>
          <w:tcPr>
            <w:tcW w:w="1129"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网络</w:t>
            </w:r>
          </w:p>
        </w:tc>
        <w:tc>
          <w:tcPr>
            <w:tcW w:w="205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网卡</w:t>
            </w:r>
          </w:p>
        </w:tc>
        <w:tc>
          <w:tcPr>
            <w:tcW w:w="3649"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≥2，万</w:t>
            </w:r>
            <w:r>
              <w:rPr>
                <w:rFonts w:ascii="宋体" w:hAnsi="宋体" w:cs="宋体"/>
                <w:kern w:val="0"/>
                <w:szCs w:val="21"/>
              </w:rPr>
              <w:t>兆以太网卡</w:t>
            </w:r>
          </w:p>
        </w:tc>
        <w:tc>
          <w:tcPr>
            <w:tcW w:w="1088" w:type="dxa"/>
            <w:vMerge w:val="continue"/>
            <w:shd w:val="clear" w:color="auto" w:fill="auto"/>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64" w:type="dxa"/>
            <w:vMerge w:val="continue"/>
            <w:shd w:val="clear" w:color="auto" w:fill="auto"/>
            <w:vAlign w:val="center"/>
          </w:tcPr>
          <w:p>
            <w:pPr>
              <w:widowControl/>
              <w:jc w:val="center"/>
              <w:rPr>
                <w:rFonts w:ascii="宋体" w:hAnsi="宋体" w:cs="宋体"/>
                <w:kern w:val="0"/>
                <w:szCs w:val="21"/>
              </w:rPr>
            </w:pPr>
          </w:p>
        </w:tc>
        <w:tc>
          <w:tcPr>
            <w:tcW w:w="1129" w:type="dxa"/>
            <w:vMerge w:val="continue"/>
            <w:shd w:val="clear" w:color="auto" w:fill="auto"/>
            <w:vAlign w:val="center"/>
          </w:tcPr>
          <w:p>
            <w:pPr>
              <w:widowControl/>
              <w:jc w:val="center"/>
              <w:rPr>
                <w:rFonts w:ascii="宋体" w:hAnsi="宋体" w:cs="宋体"/>
                <w:kern w:val="0"/>
                <w:szCs w:val="21"/>
              </w:rPr>
            </w:pPr>
          </w:p>
        </w:tc>
        <w:tc>
          <w:tcPr>
            <w:tcW w:w="205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网络</w:t>
            </w:r>
          </w:p>
        </w:tc>
        <w:tc>
          <w:tcPr>
            <w:tcW w:w="3649"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能够访问数据库服务器</w:t>
            </w:r>
          </w:p>
        </w:tc>
        <w:tc>
          <w:tcPr>
            <w:tcW w:w="1088" w:type="dxa"/>
            <w:vMerge w:val="continue"/>
            <w:shd w:val="clear" w:color="auto" w:fill="auto"/>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64" w:type="dxa"/>
            <w:vMerge w:val="continue"/>
            <w:shd w:val="clear" w:color="auto" w:fill="auto"/>
            <w:vAlign w:val="center"/>
          </w:tcPr>
          <w:p>
            <w:pPr>
              <w:widowControl/>
              <w:jc w:val="center"/>
              <w:rPr>
                <w:rFonts w:ascii="宋体" w:hAnsi="宋体" w:cs="宋体"/>
                <w:kern w:val="0"/>
                <w:szCs w:val="21"/>
              </w:rPr>
            </w:pPr>
          </w:p>
        </w:tc>
        <w:tc>
          <w:tcPr>
            <w:tcW w:w="1129" w:type="dxa"/>
            <w:vMerge w:val="continue"/>
            <w:shd w:val="clear" w:color="auto" w:fill="auto"/>
            <w:vAlign w:val="center"/>
          </w:tcPr>
          <w:p>
            <w:pPr>
              <w:widowControl/>
              <w:jc w:val="center"/>
              <w:rPr>
                <w:rFonts w:ascii="宋体" w:hAnsi="宋体" w:cs="宋体"/>
                <w:kern w:val="0"/>
                <w:szCs w:val="21"/>
              </w:rPr>
            </w:pPr>
          </w:p>
        </w:tc>
        <w:tc>
          <w:tcPr>
            <w:tcW w:w="205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远程管理</w:t>
            </w:r>
          </w:p>
        </w:tc>
        <w:tc>
          <w:tcPr>
            <w:tcW w:w="3649"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支持对硬件计算资源的远程控制，包括开机、关机、重启、更新程序、调试数据等</w:t>
            </w:r>
          </w:p>
        </w:tc>
        <w:tc>
          <w:tcPr>
            <w:tcW w:w="1088" w:type="dxa"/>
            <w:vMerge w:val="continue"/>
            <w:shd w:val="clear" w:color="auto" w:fill="auto"/>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64" w:type="dxa"/>
            <w:vMerge w:val="continue"/>
            <w:shd w:val="clear" w:color="auto" w:fill="auto"/>
            <w:vAlign w:val="center"/>
          </w:tcPr>
          <w:p>
            <w:pPr>
              <w:widowControl/>
              <w:jc w:val="center"/>
              <w:rPr>
                <w:rFonts w:hint="eastAsia" w:ascii="宋体" w:hAnsi="宋体" w:cs="宋体"/>
                <w:kern w:val="0"/>
                <w:szCs w:val="21"/>
              </w:rPr>
            </w:pPr>
          </w:p>
        </w:tc>
        <w:tc>
          <w:tcPr>
            <w:tcW w:w="1129"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系统</w:t>
            </w:r>
          </w:p>
        </w:tc>
        <w:tc>
          <w:tcPr>
            <w:tcW w:w="205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操作系统</w:t>
            </w:r>
          </w:p>
        </w:tc>
        <w:tc>
          <w:tcPr>
            <w:tcW w:w="3649" w:type="dxa"/>
            <w:shd w:val="clear" w:color="auto" w:fill="auto"/>
            <w:vAlign w:val="center"/>
          </w:tcPr>
          <w:p>
            <w:pPr>
              <w:widowControl/>
              <w:rPr>
                <w:rFonts w:ascii="宋体" w:hAnsi="宋体" w:cs="宋体"/>
                <w:kern w:val="0"/>
                <w:szCs w:val="21"/>
              </w:rPr>
            </w:pPr>
            <w:r>
              <w:rPr>
                <w:rFonts w:hint="eastAsia" w:ascii="宋体" w:hAnsi="宋体" w:cs="宋体"/>
                <w:kern w:val="0"/>
                <w:szCs w:val="21"/>
              </w:rPr>
              <w:t>windows server2012 R2 64位</w:t>
            </w:r>
          </w:p>
        </w:tc>
        <w:tc>
          <w:tcPr>
            <w:tcW w:w="1088" w:type="dxa"/>
            <w:vMerge w:val="continue"/>
            <w:shd w:val="clear" w:color="auto" w:fill="auto"/>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64" w:type="dxa"/>
            <w:vMerge w:val="continue"/>
            <w:shd w:val="clear" w:color="auto" w:fill="auto"/>
            <w:vAlign w:val="center"/>
          </w:tcPr>
          <w:p>
            <w:pPr>
              <w:widowControl/>
              <w:jc w:val="center"/>
              <w:rPr>
                <w:rFonts w:ascii="宋体" w:hAnsi="宋体" w:cs="宋体"/>
                <w:kern w:val="0"/>
                <w:szCs w:val="21"/>
              </w:rPr>
            </w:pPr>
          </w:p>
        </w:tc>
        <w:tc>
          <w:tcPr>
            <w:tcW w:w="1129" w:type="dxa"/>
            <w:vMerge w:val="continue"/>
            <w:shd w:val="clear" w:color="auto" w:fill="auto"/>
            <w:vAlign w:val="center"/>
          </w:tcPr>
          <w:p>
            <w:pPr>
              <w:widowControl/>
              <w:jc w:val="center"/>
              <w:rPr>
                <w:rFonts w:ascii="宋体" w:hAnsi="宋体" w:cs="宋体"/>
                <w:kern w:val="0"/>
                <w:szCs w:val="21"/>
              </w:rPr>
            </w:pPr>
          </w:p>
        </w:tc>
        <w:tc>
          <w:tcPr>
            <w:tcW w:w="205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必须软件</w:t>
            </w:r>
          </w:p>
        </w:tc>
        <w:tc>
          <w:tcPr>
            <w:tcW w:w="3649" w:type="dxa"/>
            <w:shd w:val="clear" w:color="auto" w:fill="auto"/>
            <w:vAlign w:val="center"/>
          </w:tcPr>
          <w:p>
            <w:pPr>
              <w:widowControl/>
              <w:rPr>
                <w:rFonts w:ascii="宋体" w:hAnsi="宋体" w:cs="宋体"/>
                <w:kern w:val="0"/>
                <w:szCs w:val="21"/>
              </w:rPr>
            </w:pPr>
            <w:r>
              <w:rPr>
                <w:rFonts w:hint="eastAsia" w:ascii="宋体" w:hAnsi="宋体" w:cs="宋体"/>
                <w:kern w:val="0"/>
                <w:szCs w:val="21"/>
              </w:rPr>
              <w:t>NET Framework4.0 、JDK1.8、JDK11或者以上</w:t>
            </w:r>
          </w:p>
        </w:tc>
        <w:tc>
          <w:tcPr>
            <w:tcW w:w="1088" w:type="dxa"/>
            <w:vMerge w:val="continue"/>
            <w:shd w:val="clear" w:color="auto" w:fill="auto"/>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64" w:type="dxa"/>
            <w:vMerge w:val="continue"/>
            <w:shd w:val="clear" w:color="auto" w:fill="auto"/>
            <w:vAlign w:val="center"/>
          </w:tcPr>
          <w:p>
            <w:pPr>
              <w:widowControl/>
              <w:jc w:val="center"/>
              <w:rPr>
                <w:rFonts w:ascii="宋体" w:hAnsi="宋体" w:cs="宋体"/>
                <w:kern w:val="0"/>
                <w:szCs w:val="21"/>
              </w:rPr>
            </w:pPr>
          </w:p>
        </w:tc>
        <w:tc>
          <w:tcPr>
            <w:tcW w:w="1129" w:type="dxa"/>
            <w:vMerge w:val="continue"/>
            <w:shd w:val="clear" w:color="auto" w:fill="auto"/>
            <w:vAlign w:val="center"/>
          </w:tcPr>
          <w:p>
            <w:pPr>
              <w:widowControl/>
              <w:jc w:val="center"/>
              <w:rPr>
                <w:rFonts w:ascii="宋体" w:hAnsi="宋体" w:cs="宋体"/>
                <w:kern w:val="0"/>
                <w:szCs w:val="21"/>
              </w:rPr>
            </w:pPr>
          </w:p>
        </w:tc>
        <w:tc>
          <w:tcPr>
            <w:tcW w:w="2054"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数据库</w:t>
            </w:r>
          </w:p>
        </w:tc>
        <w:tc>
          <w:tcPr>
            <w:tcW w:w="3649" w:type="dxa"/>
            <w:shd w:val="clear" w:color="auto" w:fill="auto"/>
            <w:vAlign w:val="center"/>
          </w:tcPr>
          <w:p>
            <w:pPr>
              <w:widowControl/>
              <w:rPr>
                <w:rFonts w:ascii="宋体" w:hAnsi="宋体" w:cs="宋体"/>
                <w:kern w:val="0"/>
                <w:szCs w:val="21"/>
              </w:rPr>
            </w:pPr>
            <w:r>
              <w:rPr>
                <w:rFonts w:hint="eastAsia" w:ascii="宋体" w:hAnsi="宋体" w:cs="宋体"/>
                <w:kern w:val="0"/>
                <w:szCs w:val="21"/>
              </w:rPr>
              <w:t>Oracle11及以上（数据库</w:t>
            </w:r>
            <w:r>
              <w:rPr>
                <w:rFonts w:hint="eastAsia" w:ascii="宋体" w:hAnsi="宋体" w:cs="宋体"/>
                <w:kern w:val="0"/>
                <w:szCs w:val="21"/>
                <w:lang w:val="en-US" w:eastAsia="zh-CN"/>
              </w:rPr>
              <w:t>可</w:t>
            </w:r>
            <w:r>
              <w:rPr>
                <w:rFonts w:hint="eastAsia" w:ascii="宋体" w:hAnsi="宋体" w:cs="宋体"/>
                <w:kern w:val="0"/>
                <w:szCs w:val="21"/>
              </w:rPr>
              <w:t>由院方提供）</w:t>
            </w:r>
          </w:p>
        </w:tc>
        <w:tc>
          <w:tcPr>
            <w:tcW w:w="1088" w:type="dxa"/>
            <w:vMerge w:val="continue"/>
            <w:shd w:val="clear" w:color="auto" w:fill="auto"/>
            <w:vAlign w:val="center"/>
          </w:tcPr>
          <w:p>
            <w:pPr>
              <w:widowControl/>
              <w:rPr>
                <w:rFonts w:hint="eastAsia" w:ascii="宋体" w:hAnsi="宋体" w:cs="宋体"/>
                <w:kern w:val="0"/>
                <w:szCs w:val="21"/>
              </w:rPr>
            </w:pPr>
          </w:p>
        </w:tc>
      </w:tr>
    </w:tbl>
    <w:p>
      <w:pPr>
        <w:numPr>
          <w:ilvl w:val="-1"/>
          <w:numId w:val="0"/>
        </w:numPr>
        <w:spacing w:before="0" w:after="0"/>
        <w:ind w:left="0" w:firstLine="0"/>
        <w:rPr>
          <w:rFonts w:ascii="Times New Roman" w:hAnsi="Times New Roman"/>
          <w:color w:val="FF0000"/>
          <w:sz w:val="44"/>
          <w:szCs w:val="44"/>
        </w:rPr>
      </w:pPr>
    </w:p>
    <w:p>
      <w:pPr>
        <w:pStyle w:val="3"/>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spacing w:line="360" w:lineRule="auto"/>
        <w:ind w:firstLine="422" w:firstLineChars="200"/>
        <w:rPr>
          <w:rFonts w:hint="eastAsia" w:ascii="宋体" w:hAnsi="宋体"/>
          <w:b/>
          <w:bCs/>
          <w:u w:val="single"/>
        </w:rPr>
      </w:pPr>
      <w:r>
        <w:rPr>
          <w:rFonts w:hint="eastAsia" w:ascii="宋体" w:hAnsi="宋体"/>
          <w:b/>
          <w:bCs/>
          <w:u w:val="single"/>
        </w:rPr>
        <w:t>软件免费维护期从合同标的验收合格之日算起，</w:t>
      </w:r>
      <w:r>
        <w:rPr>
          <w:rFonts w:hint="eastAsia" w:ascii="宋体" w:hAnsi="宋体"/>
          <w:b/>
          <w:bCs/>
          <w:u w:val="single"/>
          <w:lang w:val="en-US" w:eastAsia="zh-CN"/>
        </w:rPr>
        <w:t>至少要有2年</w:t>
      </w:r>
      <w:r>
        <w:rPr>
          <w:rFonts w:hint="eastAsia" w:ascii="宋体" w:hAnsi="宋体"/>
          <w:b/>
          <w:bCs/>
          <w:u w:val="single"/>
        </w:rPr>
        <w:t>；信息设备（产品）免费维护期从合同标的验收合格之日（分段验收的以最后验收期为准）算起，</w:t>
      </w:r>
      <w:r>
        <w:rPr>
          <w:rFonts w:hint="eastAsia" w:ascii="宋体" w:hAnsi="宋体"/>
          <w:b/>
          <w:bCs/>
          <w:u w:val="single"/>
          <w:lang w:val="en-US" w:eastAsia="zh-CN"/>
        </w:rPr>
        <w:t>至少要有3年免费原厂维护</w:t>
      </w:r>
      <w:r>
        <w:rPr>
          <w:rFonts w:hint="eastAsia" w:ascii="宋体" w:hAnsi="宋体"/>
          <w:b/>
          <w:bCs/>
          <w:u w:val="single"/>
        </w:rPr>
        <w:t>。</w:t>
      </w:r>
    </w:p>
    <w:p>
      <w:pPr>
        <w:spacing w:line="360" w:lineRule="auto"/>
        <w:ind w:firstLine="420" w:firstLineChars="200"/>
        <w:rPr>
          <w:rFonts w:ascii="宋体" w:hAnsi="宋体"/>
        </w:rPr>
      </w:pPr>
      <w:r>
        <w:rPr>
          <w:rFonts w:hint="eastAsia" w:ascii="宋体" w:hAnsi="宋体"/>
        </w:rPr>
        <w:t>在免费维护期内，承建商提供技术支持和指导，以及软件的局部改进完善以及故障情况下的现场问题解决。</w:t>
      </w:r>
    </w:p>
    <w:p>
      <w:pPr>
        <w:spacing w:line="360" w:lineRule="auto"/>
        <w:ind w:firstLine="420" w:firstLineChars="200"/>
        <w:rPr>
          <w:rFonts w:hint="eastAsia" w:ascii="宋体" w:hAnsi="宋体"/>
        </w:rPr>
      </w:pPr>
      <w:r>
        <w:rPr>
          <w:rFonts w:hint="eastAsia" w:ascii="宋体" w:hAnsi="宋体"/>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pStyle w:val="2"/>
      </w:pPr>
    </w:p>
    <w:p>
      <w:pPr>
        <w:pStyle w:val="3"/>
        <w:numPr>
          <w:ilvl w:val="0"/>
          <w:numId w:val="3"/>
        </w:numPr>
        <w:spacing w:before="0" w:after="0"/>
        <w:rPr>
          <w:rFonts w:ascii="宋体" w:hAnsi="宋体"/>
          <w:sz w:val="32"/>
          <w:szCs w:val="32"/>
        </w:rPr>
      </w:pPr>
      <w:r>
        <w:rPr>
          <w:rFonts w:hint="eastAsia" w:ascii="宋体" w:hAnsi="宋体"/>
          <w:sz w:val="32"/>
          <w:szCs w:val="32"/>
        </w:rPr>
        <w:t>系统安全保障要求</w:t>
      </w:r>
    </w:p>
    <w:p>
      <w:pPr>
        <w:spacing w:line="360" w:lineRule="auto"/>
        <w:ind w:firstLine="420" w:firstLineChars="200"/>
        <w:rPr>
          <w:rFonts w:hint="eastAsia" w:ascii="宋体" w:hAnsi="宋体"/>
        </w:rPr>
      </w:pPr>
      <w:r>
        <w:rPr>
          <w:rFonts w:hint="eastAsia" w:ascii="宋体" w:hAnsi="宋体"/>
        </w:rPr>
        <w:t>系统需配合院方通过信息系统安全等级保护三级认证，当系统不满足时需提供免费整改服务，直至通过为止。</w:t>
      </w:r>
    </w:p>
    <w:p>
      <w:pPr>
        <w:pStyle w:val="2"/>
      </w:pPr>
    </w:p>
    <w:p>
      <w:pPr>
        <w:pStyle w:val="3"/>
        <w:numPr>
          <w:ilvl w:val="0"/>
          <w:numId w:val="3"/>
        </w:numPr>
        <w:spacing w:before="0" w:after="0"/>
        <w:rPr>
          <w:rFonts w:ascii="宋体" w:hAnsi="宋体"/>
          <w:sz w:val="21"/>
          <w:szCs w:val="21"/>
        </w:rPr>
      </w:pPr>
      <w:r>
        <w:rPr>
          <w:rFonts w:hint="eastAsia" w:ascii="宋体" w:hAnsi="宋体"/>
          <w:sz w:val="32"/>
          <w:szCs w:val="32"/>
        </w:rPr>
        <w:t>项目工期</w:t>
      </w:r>
      <w:r>
        <w:rPr>
          <w:rFonts w:hint="eastAsia" w:ascii="宋体" w:hAnsi="宋体"/>
          <w:sz w:val="32"/>
          <w:szCs w:val="32"/>
          <w:lang w:val="en-US"/>
        </w:rPr>
        <w:t>及实施要求</w:t>
      </w:r>
    </w:p>
    <w:p>
      <w:pPr>
        <w:spacing w:line="360" w:lineRule="auto"/>
        <w:ind w:firstLine="420" w:firstLineChars="200"/>
        <w:rPr>
          <w:rFonts w:ascii="宋体" w:hAnsi="宋体"/>
        </w:rPr>
      </w:pPr>
      <w:r>
        <w:rPr>
          <w:rFonts w:hint="eastAsia" w:ascii="宋体" w:hAnsi="宋体"/>
        </w:rPr>
        <w:t>1</w:t>
      </w:r>
      <w:r>
        <w:rPr>
          <w:rFonts w:ascii="宋体" w:hAnsi="宋体"/>
        </w:rPr>
        <w:t>.</w:t>
      </w:r>
      <w:r>
        <w:rPr>
          <w:rFonts w:hint="eastAsia" w:ascii="宋体" w:hAnsi="宋体"/>
        </w:rPr>
        <w:t>自合同签订日起，须在_</w:t>
      </w:r>
      <w:r>
        <w:rPr>
          <w:rFonts w:ascii="宋体" w:hAnsi="宋体"/>
          <w:u w:val="single"/>
        </w:rPr>
        <w:t>10</w:t>
      </w:r>
      <w:r>
        <w:rPr>
          <w:rFonts w:hint="eastAsia" w:ascii="宋体" w:hAnsi="宋体"/>
        </w:rPr>
        <w:t>_个工作日内对《用户需求说明书》进行补充、确认或提出意见。</w:t>
      </w:r>
    </w:p>
    <w:p>
      <w:pPr>
        <w:spacing w:line="360" w:lineRule="auto"/>
        <w:ind w:firstLine="420" w:firstLineChars="200"/>
        <w:rPr>
          <w:rFonts w:ascii="宋体" w:hAnsi="宋体"/>
        </w:rPr>
      </w:pPr>
      <w:r>
        <w:rPr>
          <w:rFonts w:hint="eastAsia" w:ascii="宋体" w:hAnsi="宋体"/>
        </w:rPr>
        <w:t>2</w:t>
      </w:r>
      <w:r>
        <w:rPr>
          <w:rFonts w:ascii="宋体" w:hAnsi="宋体"/>
        </w:rPr>
        <w:t>.</w:t>
      </w:r>
      <w:r>
        <w:rPr>
          <w:rFonts w:hint="eastAsia" w:ascii="宋体" w:hAnsi="宋体"/>
        </w:rPr>
        <w:t>对《用户需求说明书》提出意见后，院方组织进行用户需求调研，根据调研情况提供业务调研记录、现况分析、功能设计及说明，双方共同整理并在</w:t>
      </w:r>
      <w:r>
        <w:rPr>
          <w:rFonts w:hint="eastAsia" w:ascii="宋体" w:hAnsi="宋体"/>
          <w:u w:val="single"/>
        </w:rPr>
        <w:t xml:space="preserve"> </w:t>
      </w:r>
      <w:r>
        <w:rPr>
          <w:rFonts w:ascii="宋体" w:hAnsi="宋体"/>
          <w:u w:val="single"/>
        </w:rPr>
        <w:t>10</w:t>
      </w:r>
      <w:r>
        <w:rPr>
          <w:rFonts w:hint="eastAsia" w:ascii="宋体" w:hAnsi="宋体"/>
          <w:u w:val="single"/>
        </w:rPr>
        <w:t xml:space="preserve"> </w:t>
      </w:r>
      <w:r>
        <w:rPr>
          <w:rFonts w:hint="eastAsia" w:ascii="宋体" w:hAnsi="宋体"/>
        </w:rPr>
        <w:t>个工作日内确认《需求规格说明书》。</w:t>
      </w:r>
    </w:p>
    <w:p>
      <w:pPr>
        <w:spacing w:line="360" w:lineRule="auto"/>
        <w:ind w:firstLine="420" w:firstLineChars="200"/>
        <w:rPr>
          <w:rFonts w:ascii="宋体" w:hAnsi="宋体"/>
        </w:rPr>
      </w:pPr>
      <w:r>
        <w:rPr>
          <w:rFonts w:hint="eastAsia" w:ascii="宋体" w:hAnsi="宋体"/>
        </w:rPr>
        <w:t>3</w:t>
      </w:r>
      <w:r>
        <w:rPr>
          <w:rFonts w:ascii="宋体" w:hAnsi="宋体"/>
        </w:rPr>
        <w:t>.</w:t>
      </w:r>
      <w:r>
        <w:rPr>
          <w:rFonts w:hint="eastAsia" w:ascii="宋体" w:hAnsi="宋体"/>
        </w:rPr>
        <w:t>须在《需求规格说明书》确认后的_</w:t>
      </w:r>
      <w:r>
        <w:rPr>
          <w:rFonts w:ascii="宋体" w:hAnsi="宋体"/>
          <w:u w:val="single"/>
        </w:rPr>
        <w:t>180</w:t>
      </w:r>
      <w:r>
        <w:rPr>
          <w:rFonts w:hint="eastAsia" w:ascii="宋体" w:hAnsi="宋体"/>
        </w:rPr>
        <w:t>_个工作日内完成实施导入和保证系统正常工作。</w:t>
      </w:r>
    </w:p>
    <w:p>
      <w:pPr>
        <w:spacing w:line="360" w:lineRule="auto"/>
        <w:ind w:firstLine="420" w:firstLineChars="200"/>
        <w:rPr>
          <w:rFonts w:hint="eastAsia" w:ascii="宋体" w:hAnsi="宋体"/>
        </w:rPr>
      </w:pPr>
      <w:r>
        <w:rPr>
          <w:rFonts w:hint="eastAsia" w:ascii="宋体" w:hAnsi="宋体"/>
        </w:rPr>
        <w:t>4</w:t>
      </w:r>
      <w:r>
        <w:rPr>
          <w:rFonts w:ascii="宋体" w:hAnsi="宋体"/>
        </w:rPr>
        <w:t>.</w:t>
      </w:r>
      <w:r>
        <w:rPr>
          <w:rFonts w:hint="eastAsia" w:ascii="宋体" w:hAnsi="宋体"/>
        </w:rPr>
        <w:t>完成软件实施，并根据院方提出的新需求完成修改后，系统运行_</w:t>
      </w:r>
      <w:r>
        <w:rPr>
          <w:rFonts w:ascii="宋体" w:hAnsi="宋体"/>
          <w:u w:val="single"/>
        </w:rPr>
        <w:t>1</w:t>
      </w:r>
      <w:r>
        <w:rPr>
          <w:rFonts w:hint="eastAsia" w:ascii="宋体" w:hAnsi="宋体"/>
        </w:rPr>
        <w:t>_个月以上无软件故障出现，则向院方申请验收。</w:t>
      </w:r>
    </w:p>
    <w:p>
      <w:pPr>
        <w:pStyle w:val="2"/>
      </w:pPr>
    </w:p>
    <w:p>
      <w:pPr>
        <w:pStyle w:val="3"/>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spacing w:line="360" w:lineRule="auto"/>
        <w:ind w:firstLine="420" w:firstLineChars="200"/>
        <w:rPr>
          <w:rFonts w:ascii="宋体" w:hAnsi="宋体"/>
        </w:rPr>
      </w:pPr>
      <w:r>
        <w:rPr>
          <w:rFonts w:hint="eastAsia" w:ascii="宋体" w:hAnsi="宋体"/>
        </w:rPr>
        <w:t>项目实施</w:t>
      </w:r>
      <w:r>
        <w:rPr>
          <w:rFonts w:ascii="宋体" w:hAnsi="宋体"/>
        </w:rPr>
        <w:t>期</w:t>
      </w:r>
      <w:r>
        <w:rPr>
          <w:rFonts w:hint="eastAsia" w:ascii="宋体" w:hAnsi="宋体"/>
        </w:rPr>
        <w:t>内承建商提供专职工程师</w:t>
      </w:r>
      <w:r>
        <w:rPr>
          <w:rFonts w:ascii="宋体" w:hAnsi="宋体"/>
          <w:u w:val="single"/>
        </w:rPr>
        <w:t xml:space="preserve"> 1 </w:t>
      </w:r>
      <w:r>
        <w:rPr>
          <w:rFonts w:hint="eastAsia" w:ascii="宋体" w:hAnsi="宋体"/>
        </w:rPr>
        <w:t>名负责本项目。必要时常驻本院，期间工作时间与院方工作时间一致，并且提供7*24小时响应服务。</w:t>
      </w:r>
    </w:p>
    <w:p>
      <w:pPr>
        <w:spacing w:line="360" w:lineRule="auto"/>
        <w:ind w:firstLine="420" w:firstLineChars="200"/>
        <w:rPr>
          <w:rFonts w:ascii="宋体" w:hAnsi="宋体"/>
        </w:rPr>
      </w:pPr>
      <w:r>
        <w:rPr>
          <w:rFonts w:hint="eastAsia" w:ascii="宋体" w:hAnsi="宋体"/>
        </w:rPr>
        <w:t>在项目实施前，结合院方项目需求，根据《网络安全等级保护制度》自评等保级别。需向医院提交设计方案进行安全评审，保证安全技术措施同步规划，系统建设根据信息系统安全等级保护要求进行建设。</w:t>
      </w:r>
    </w:p>
    <w:p>
      <w:pPr>
        <w:spacing w:line="360" w:lineRule="auto"/>
        <w:ind w:firstLine="420" w:firstLineChars="200"/>
        <w:rPr>
          <w:rFonts w:ascii="宋体" w:hAnsi="宋体"/>
        </w:rPr>
      </w:pPr>
      <w:r>
        <w:rPr>
          <w:rFonts w:hint="eastAsia" w:ascii="宋体" w:hAnsi="宋体"/>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spacing w:line="360" w:lineRule="auto"/>
        <w:ind w:firstLine="420" w:firstLineChars="200"/>
        <w:rPr>
          <w:rFonts w:ascii="宋体" w:hAnsi="宋体"/>
        </w:rPr>
      </w:pPr>
      <w:r>
        <w:rPr>
          <w:rFonts w:hint="eastAsia" w:ascii="宋体" w:hAnsi="宋体"/>
        </w:rPr>
        <w:t>项目承建商需根据院方的详细需求，提交项目系统的安装、调试及培训实施方案，方案得到院方确认后实施，保证系统按时、正常地投入运行。</w:t>
      </w:r>
    </w:p>
    <w:p>
      <w:pPr>
        <w:spacing w:line="360" w:lineRule="auto"/>
        <w:ind w:firstLine="420" w:firstLineChars="200"/>
        <w:rPr>
          <w:rFonts w:ascii="宋体" w:hAnsi="宋体"/>
        </w:rPr>
      </w:pPr>
      <w:r>
        <w:rPr>
          <w:rFonts w:hint="eastAsia" w:ascii="宋体" w:hAnsi="宋体"/>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spacing w:line="360" w:lineRule="auto"/>
        <w:ind w:firstLine="420" w:firstLineChars="200"/>
        <w:rPr>
          <w:rFonts w:ascii="宋体" w:hAnsi="宋体"/>
        </w:rPr>
      </w:pPr>
      <w:r>
        <w:rPr>
          <w:rFonts w:hint="eastAsia" w:ascii="宋体" w:hAnsi="宋体"/>
        </w:rPr>
        <w:t>验收由承建商给出具体的验收计划、测试的内容和方法，经院方审核通过后，方可进行验收测试。</w:t>
      </w:r>
    </w:p>
    <w:p>
      <w:pPr>
        <w:spacing w:line="360" w:lineRule="auto"/>
        <w:ind w:firstLine="0" w:firstLineChars="0"/>
        <w:rPr>
          <w:rFonts w:ascii="宋体" w:hAnsi="宋体"/>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caps/>
        <w:color w:val="000000" w:themeColor="text1"/>
        <w14:textFill>
          <w14:solidFill>
            <w14:schemeClr w14:val="tx1"/>
          </w14:solidFill>
        </w14:textFill>
      </w:rPr>
    </w:pPr>
    <w:r>
      <w:rPr>
        <w:caps/>
        <w:color w:val="000000" w:themeColor="text1"/>
        <w14:textFill>
          <w14:solidFill>
            <w14:schemeClr w14:val="tx1"/>
          </w14:solidFill>
        </w14:textFill>
      </w:rPr>
      <w:fldChar w:fldCharType="begin"/>
    </w:r>
    <w:r>
      <w:rPr>
        <w:caps/>
        <w:color w:val="000000" w:themeColor="text1"/>
        <w14:textFill>
          <w14:solidFill>
            <w14:schemeClr w14:val="tx1"/>
          </w14:solidFill>
        </w14:textFill>
      </w:rPr>
      <w:instrText xml:space="preserve">PAGE   \* MERGEFORMAT</w:instrText>
    </w:r>
    <w:r>
      <w:rPr>
        <w:caps/>
        <w:color w:val="000000" w:themeColor="text1"/>
        <w14:textFill>
          <w14:solidFill>
            <w14:schemeClr w14:val="tx1"/>
          </w14:solidFill>
        </w14:textFill>
      </w:rPr>
      <w:fldChar w:fldCharType="separate"/>
    </w:r>
    <w:r>
      <w:rPr>
        <w:caps/>
        <w:color w:val="000000" w:themeColor="text1"/>
        <w14:textFill>
          <w14:solidFill>
            <w14:schemeClr w14:val="tx1"/>
          </w14:solidFill>
        </w14:textFill>
      </w:rPr>
      <w:t>1</w:t>
    </w:r>
    <w:r>
      <w:rPr>
        <w:caps/>
        <w:color w:val="000000" w:themeColor="text1"/>
        <w14:textFill>
          <w14:solidFill>
            <w14:schemeClr w14:val="tx1"/>
          </w14:solidFill>
        </w14:textFill>
      </w:rP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6"/>
      <w:lvlText w:val="5.1.1.%4"/>
      <w:lvlJc w:val="left"/>
      <w:pPr>
        <w:ind w:left="864" w:hanging="864"/>
      </w:pPr>
      <w:rPr>
        <w:rFonts w:hint="eastAsia"/>
      </w:rPr>
    </w:lvl>
    <w:lvl w:ilvl="4" w:tentative="0">
      <w:start w:val="1"/>
      <w:numFmt w:val="decimal"/>
      <w:pStyle w:val="7"/>
      <w:lvlText w:val="5.1.1.1.%5"/>
      <w:lvlJc w:val="left"/>
      <w:pPr>
        <w:ind w:left="2142"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59"/>
      <w:lvlText w:val="%1. "/>
      <w:lvlJc w:val="left"/>
      <w:pPr>
        <w:ind w:left="420" w:hanging="420"/>
      </w:pPr>
      <w:rPr>
        <w:rFonts w:hint="default" w:ascii="Times New Roman" w:hAnsi="Times New Roman" w:eastAsia="宋体"/>
        <w:b/>
        <w:i w:val="0"/>
      </w:rPr>
    </w:lvl>
    <w:lvl w:ilvl="1" w:tentative="0">
      <w:start w:val="1"/>
      <w:numFmt w:val="decimal"/>
      <w:pStyle w:val="52"/>
      <w:isLgl/>
      <w:suff w:val="space"/>
      <w:lvlText w:val="%1.%2 "/>
      <w:lvlJc w:val="left"/>
      <w:pPr>
        <w:ind w:left="3913" w:hanging="794"/>
      </w:pPr>
      <w:rPr>
        <w:rFonts w:hint="eastAsia"/>
      </w:rPr>
    </w:lvl>
    <w:lvl w:ilvl="2" w:tentative="0">
      <w:start w:val="1"/>
      <w:numFmt w:val="decimal"/>
      <w:pStyle w:val="58"/>
      <w:isLgl/>
      <w:suff w:val="space"/>
      <w:lvlText w:val="%1.%2.%3 "/>
      <w:lvlJc w:val="left"/>
      <w:pPr>
        <w:ind w:left="907" w:hanging="907"/>
      </w:pPr>
      <w:rPr>
        <w:rFonts w:hint="eastAsia"/>
      </w:rPr>
    </w:lvl>
    <w:lvl w:ilvl="3" w:tentative="0">
      <w:start w:val="1"/>
      <w:numFmt w:val="decimal"/>
      <w:pStyle w:val="57"/>
      <w:isLgl/>
      <w:suff w:val="space"/>
      <w:lvlText w:val="%1.%2.%3.%4 "/>
      <w:lvlJc w:val="left"/>
      <w:pPr>
        <w:ind w:left="1021" w:hanging="1021"/>
      </w:pPr>
      <w:rPr>
        <w:rFonts w:hint="eastAsia"/>
      </w:rPr>
    </w:lvl>
    <w:lvl w:ilvl="4" w:tentative="0">
      <w:start w:val="1"/>
      <w:numFmt w:val="decimal"/>
      <w:pStyle w:val="62"/>
      <w:isLgl/>
      <w:suff w:val="space"/>
      <w:lvlText w:val="%1.%2.%3.%4.%5 "/>
      <w:lvlJc w:val="left"/>
      <w:pPr>
        <w:ind w:left="1134" w:hanging="1134"/>
      </w:pPr>
      <w:rPr>
        <w:rFonts w:hint="eastAsia"/>
      </w:rPr>
    </w:lvl>
    <w:lvl w:ilvl="5" w:tentative="0">
      <w:start w:val="1"/>
      <w:numFmt w:val="decimal"/>
      <w:pStyle w:val="56"/>
      <w:isLgl/>
      <w:suff w:val="space"/>
      <w:lvlText w:val="%1.%2.%3.%4.%5.%6 "/>
      <w:lvlJc w:val="left"/>
      <w:pPr>
        <w:ind w:left="1247" w:hanging="1247"/>
      </w:pPr>
      <w:rPr>
        <w:rFonts w:hint="eastAsia"/>
      </w:rPr>
    </w:lvl>
    <w:lvl w:ilvl="6" w:tentative="0">
      <w:start w:val="1"/>
      <w:numFmt w:val="decimal"/>
      <w:lvlRestart w:val="1"/>
      <w:pStyle w:val="51"/>
      <w:isLgl/>
      <w:suff w:val="space"/>
      <w:lvlText w:val="图 %1.%7 "/>
      <w:lvlJc w:val="left"/>
      <w:pPr>
        <w:ind w:left="0" w:firstLine="0"/>
      </w:pPr>
      <w:rPr>
        <w:rFonts w:hint="eastAsia"/>
      </w:rPr>
    </w:lvl>
    <w:lvl w:ilvl="7" w:tentative="0">
      <w:start w:val="1"/>
      <w:numFmt w:val="decimal"/>
      <w:lvlRestart w:val="1"/>
      <w:pStyle w:val="6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wMzVmOGE3ZTMxMTFlNjU0NGE1OTQ0OTA2ZjlmZTQifQ=="/>
  </w:docVars>
  <w:rsids>
    <w:rsidRoot w:val="00000000"/>
    <w:rsid w:val="04793F05"/>
    <w:rsid w:val="22623B4C"/>
    <w:rsid w:val="28C62555"/>
    <w:rsid w:val="45240BD4"/>
    <w:rsid w:val="4A501F04"/>
    <w:rsid w:val="4E1E65F8"/>
    <w:rsid w:val="68D31515"/>
    <w:rsid w:val="6E893036"/>
    <w:rsid w:val="71FF332D"/>
    <w:rsid w:val="7209731C"/>
    <w:rsid w:val="7618625D"/>
    <w:rsid w:val="7A744170"/>
    <w:rsid w:val="7D5827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0"/>
    <w:pPr>
      <w:keepNext/>
      <w:keepLines/>
      <w:numPr>
        <w:ilvl w:val="0"/>
        <w:numId w:val="1"/>
      </w:numPr>
      <w:spacing w:before="340" w:after="330" w:line="578" w:lineRule="auto"/>
      <w:outlineLvl w:val="0"/>
    </w:pPr>
    <w:rPr>
      <w:b/>
      <w:bCs/>
      <w:kern w:val="44"/>
      <w:sz w:val="44"/>
      <w:szCs w:val="44"/>
      <w:lang w:val="zh-CN"/>
    </w:rPr>
  </w:style>
  <w:style w:type="paragraph" w:styleId="4">
    <w:name w:val="heading 2"/>
    <w:basedOn w:val="1"/>
    <w:next w:val="1"/>
    <w:link w:val="27"/>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5">
    <w:name w:val="heading 3"/>
    <w:basedOn w:val="1"/>
    <w:next w:val="1"/>
    <w:link w:val="28"/>
    <w:qFormat/>
    <w:uiPriority w:val="0"/>
    <w:pPr>
      <w:keepNext/>
      <w:keepLines/>
      <w:spacing w:before="260" w:after="260" w:line="416" w:lineRule="auto"/>
      <w:outlineLvl w:val="2"/>
    </w:pPr>
    <w:rPr>
      <w:b/>
      <w:bCs/>
      <w:sz w:val="30"/>
      <w:szCs w:val="30"/>
      <w:lang w:val="zh-CN"/>
    </w:rPr>
  </w:style>
  <w:style w:type="paragraph" w:styleId="6">
    <w:name w:val="heading 4"/>
    <w:basedOn w:val="1"/>
    <w:next w:val="1"/>
    <w:link w:val="29"/>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7">
    <w:name w:val="heading 5"/>
    <w:basedOn w:val="1"/>
    <w:next w:val="1"/>
    <w:link w:val="30"/>
    <w:qFormat/>
    <w:uiPriority w:val="0"/>
    <w:pPr>
      <w:keepNext/>
      <w:keepLines/>
      <w:numPr>
        <w:ilvl w:val="4"/>
        <w:numId w:val="1"/>
      </w:numPr>
      <w:spacing w:before="280" w:after="290" w:line="376" w:lineRule="auto"/>
      <w:outlineLvl w:val="4"/>
    </w:pPr>
    <w:rPr>
      <w:b/>
      <w:bCs/>
      <w:sz w:val="28"/>
      <w:szCs w:val="28"/>
      <w:lang w:val="zh-CN"/>
    </w:rPr>
  </w:style>
  <w:style w:type="paragraph" w:styleId="8">
    <w:name w:val="heading 6"/>
    <w:basedOn w:val="1"/>
    <w:next w:val="1"/>
    <w:link w:val="31"/>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9">
    <w:name w:val="heading 7"/>
    <w:basedOn w:val="1"/>
    <w:next w:val="1"/>
    <w:link w:val="32"/>
    <w:qFormat/>
    <w:uiPriority w:val="0"/>
    <w:pPr>
      <w:keepNext/>
      <w:keepLines/>
      <w:numPr>
        <w:ilvl w:val="6"/>
        <w:numId w:val="1"/>
      </w:numPr>
      <w:spacing w:before="240" w:after="64" w:line="320" w:lineRule="auto"/>
      <w:outlineLvl w:val="6"/>
    </w:pPr>
    <w:rPr>
      <w:b/>
      <w:bCs/>
      <w:sz w:val="24"/>
      <w:lang w:val="zh-CN"/>
    </w:rPr>
  </w:style>
  <w:style w:type="paragraph" w:styleId="10">
    <w:name w:val="heading 8"/>
    <w:basedOn w:val="1"/>
    <w:next w:val="1"/>
    <w:link w:val="33"/>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1">
    <w:name w:val="heading 9"/>
    <w:basedOn w:val="1"/>
    <w:next w:val="1"/>
    <w:link w:val="34"/>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12">
    <w:name w:val="Normal Indent"/>
    <w:basedOn w:val="1"/>
    <w:link w:val="35"/>
    <w:qFormat/>
    <w:uiPriority w:val="99"/>
    <w:pPr>
      <w:spacing w:before="120" w:beforeLines="50" w:line="360" w:lineRule="auto"/>
      <w:ind w:firstLine="512" w:firstLineChars="200"/>
    </w:pPr>
    <w:rPr>
      <w:spacing w:val="8"/>
      <w:sz w:val="24"/>
      <w:szCs w:val="20"/>
    </w:rPr>
  </w:style>
  <w:style w:type="paragraph" w:styleId="13">
    <w:name w:val="annotation text"/>
    <w:basedOn w:val="1"/>
    <w:link w:val="36"/>
    <w:unhideWhenUsed/>
    <w:qFormat/>
    <w:uiPriority w:val="0"/>
    <w:pPr>
      <w:jc w:val="left"/>
    </w:pPr>
    <w:rPr>
      <w:kern w:val="0"/>
      <w:sz w:val="20"/>
      <w:lang w:val="zh-CN"/>
    </w:rPr>
  </w:style>
  <w:style w:type="paragraph" w:styleId="14">
    <w:name w:val="Plain Text"/>
    <w:basedOn w:val="1"/>
    <w:link w:val="37"/>
    <w:qFormat/>
    <w:uiPriority w:val="0"/>
    <w:rPr>
      <w:rFonts w:ascii="Calibri" w:hAnsi="Courier New"/>
      <w:szCs w:val="20"/>
      <w:lang w:val="zh-CN"/>
    </w:rPr>
  </w:style>
  <w:style w:type="paragraph" w:styleId="15">
    <w:name w:val="Balloon Text"/>
    <w:basedOn w:val="1"/>
    <w:link w:val="38"/>
    <w:qFormat/>
    <w:uiPriority w:val="0"/>
    <w:rPr>
      <w:sz w:val="18"/>
      <w:szCs w:val="18"/>
      <w:lang w:val="zh-CN"/>
    </w:rPr>
  </w:style>
  <w:style w:type="paragraph" w:styleId="16">
    <w:name w:val="footer"/>
    <w:basedOn w:val="1"/>
    <w:link w:val="39"/>
    <w:qFormat/>
    <w:uiPriority w:val="0"/>
    <w:pPr>
      <w:tabs>
        <w:tab w:val="center" w:pos="4153"/>
        <w:tab w:val="right" w:pos="8306"/>
      </w:tabs>
      <w:snapToGrid w:val="0"/>
      <w:jc w:val="left"/>
    </w:pPr>
    <w:rPr>
      <w:sz w:val="18"/>
      <w:szCs w:val="18"/>
      <w:lang w:val="zh-CN"/>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Subtitle"/>
    <w:basedOn w:val="1"/>
    <w:next w:val="1"/>
    <w:link w:val="65"/>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13"/>
    <w:next w:val="13"/>
    <w:link w:val="66"/>
    <w:qFormat/>
    <w:uiPriority w:val="0"/>
    <w:rPr>
      <w:b/>
      <w:bCs/>
      <w:kern w:val="2"/>
      <w:sz w:val="21"/>
      <w:lang w:val="en-US"/>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Hyperlink"/>
    <w:qFormat/>
    <w:uiPriority w:val="0"/>
    <w:rPr>
      <w:color w:val="0563C1"/>
      <w:u w:val="single"/>
    </w:rPr>
  </w:style>
  <w:style w:type="character" w:styleId="25">
    <w:name w:val="annotation reference"/>
    <w:unhideWhenUsed/>
    <w:qFormat/>
    <w:uiPriority w:val="99"/>
    <w:rPr>
      <w:sz w:val="21"/>
      <w:szCs w:val="21"/>
    </w:rPr>
  </w:style>
  <w:style w:type="character" w:customStyle="1" w:styleId="26">
    <w:name w:val="标题 1 字符"/>
    <w:link w:val="3"/>
    <w:qFormat/>
    <w:uiPriority w:val="0"/>
    <w:rPr>
      <w:b/>
      <w:bCs/>
      <w:kern w:val="44"/>
      <w:sz w:val="44"/>
      <w:szCs w:val="44"/>
      <w:lang w:val="zh-CN" w:eastAsia="zh-CN"/>
    </w:rPr>
  </w:style>
  <w:style w:type="character" w:customStyle="1" w:styleId="27">
    <w:name w:val="标题 2 字符"/>
    <w:link w:val="4"/>
    <w:qFormat/>
    <w:uiPriority w:val="0"/>
    <w:rPr>
      <w:rFonts w:ascii="等线 Light" w:hAnsi="等线 Light" w:eastAsia="等线 Light" w:cs="Times New Roman"/>
      <w:b/>
      <w:bCs/>
      <w:kern w:val="2"/>
      <w:sz w:val="32"/>
      <w:szCs w:val="32"/>
    </w:rPr>
  </w:style>
  <w:style w:type="character" w:customStyle="1" w:styleId="28">
    <w:name w:val="标题 3 字符"/>
    <w:link w:val="5"/>
    <w:qFormat/>
    <w:uiPriority w:val="0"/>
    <w:rPr>
      <w:b/>
      <w:bCs/>
      <w:kern w:val="2"/>
      <w:sz w:val="30"/>
      <w:szCs w:val="30"/>
    </w:rPr>
  </w:style>
  <w:style w:type="character" w:customStyle="1" w:styleId="29">
    <w:name w:val="标题 4 字符"/>
    <w:link w:val="6"/>
    <w:qFormat/>
    <w:uiPriority w:val="0"/>
    <w:rPr>
      <w:rFonts w:ascii="宋体" w:hAnsi="宋体"/>
      <w:b/>
      <w:bCs/>
      <w:kern w:val="2"/>
      <w:sz w:val="28"/>
      <w:szCs w:val="28"/>
    </w:rPr>
  </w:style>
  <w:style w:type="character" w:customStyle="1" w:styleId="30">
    <w:name w:val="标题 5 字符"/>
    <w:link w:val="7"/>
    <w:qFormat/>
    <w:uiPriority w:val="0"/>
    <w:rPr>
      <w:b/>
      <w:bCs/>
      <w:kern w:val="2"/>
      <w:sz w:val="28"/>
      <w:szCs w:val="28"/>
    </w:rPr>
  </w:style>
  <w:style w:type="character" w:customStyle="1" w:styleId="31">
    <w:name w:val="标题 6 字符"/>
    <w:link w:val="8"/>
    <w:semiHidden/>
    <w:qFormat/>
    <w:uiPriority w:val="0"/>
    <w:rPr>
      <w:rFonts w:ascii="等线 Light" w:hAnsi="等线 Light" w:eastAsia="等线 Light"/>
      <w:b/>
      <w:bCs/>
      <w:kern w:val="2"/>
      <w:sz w:val="24"/>
      <w:szCs w:val="24"/>
    </w:rPr>
  </w:style>
  <w:style w:type="character" w:customStyle="1" w:styleId="32">
    <w:name w:val="标题 7 字符"/>
    <w:link w:val="9"/>
    <w:semiHidden/>
    <w:qFormat/>
    <w:uiPriority w:val="0"/>
    <w:rPr>
      <w:b/>
      <w:bCs/>
      <w:kern w:val="2"/>
      <w:sz w:val="24"/>
      <w:szCs w:val="24"/>
    </w:rPr>
  </w:style>
  <w:style w:type="character" w:customStyle="1" w:styleId="33">
    <w:name w:val="标题 8 字符"/>
    <w:link w:val="10"/>
    <w:semiHidden/>
    <w:qFormat/>
    <w:uiPriority w:val="0"/>
    <w:rPr>
      <w:rFonts w:ascii="等线 Light" w:hAnsi="等线 Light" w:eastAsia="等线 Light"/>
      <w:kern w:val="2"/>
      <w:sz w:val="24"/>
      <w:szCs w:val="24"/>
    </w:rPr>
  </w:style>
  <w:style w:type="character" w:customStyle="1" w:styleId="34">
    <w:name w:val="标题 9 字符"/>
    <w:link w:val="11"/>
    <w:semiHidden/>
    <w:qFormat/>
    <w:uiPriority w:val="0"/>
    <w:rPr>
      <w:rFonts w:ascii="等线 Light" w:hAnsi="等线 Light" w:eastAsia="等线 Light"/>
      <w:kern w:val="2"/>
      <w:sz w:val="21"/>
      <w:szCs w:val="21"/>
    </w:rPr>
  </w:style>
  <w:style w:type="character" w:customStyle="1" w:styleId="35">
    <w:name w:val="正文缩进 字符"/>
    <w:link w:val="12"/>
    <w:qFormat/>
    <w:uiPriority w:val="99"/>
    <w:rPr>
      <w:spacing w:val="8"/>
      <w:kern w:val="2"/>
      <w:sz w:val="24"/>
      <w:lang w:val="en-US" w:eastAsia="zh-CN"/>
    </w:rPr>
  </w:style>
  <w:style w:type="character" w:customStyle="1" w:styleId="36">
    <w:name w:val="批注文字 字符1"/>
    <w:link w:val="13"/>
    <w:qFormat/>
    <w:uiPriority w:val="0"/>
    <w:rPr>
      <w:szCs w:val="24"/>
    </w:rPr>
  </w:style>
  <w:style w:type="character" w:customStyle="1" w:styleId="37">
    <w:name w:val="纯文本 字符"/>
    <w:link w:val="14"/>
    <w:qFormat/>
    <w:uiPriority w:val="0"/>
    <w:rPr>
      <w:rFonts w:ascii="Calibri" w:hAnsi="Courier New"/>
      <w:kern w:val="2"/>
      <w:sz w:val="21"/>
    </w:rPr>
  </w:style>
  <w:style w:type="character" w:customStyle="1" w:styleId="38">
    <w:name w:val="批注框文本 字符"/>
    <w:link w:val="15"/>
    <w:qFormat/>
    <w:uiPriority w:val="0"/>
    <w:rPr>
      <w:kern w:val="2"/>
      <w:sz w:val="18"/>
      <w:szCs w:val="18"/>
    </w:rPr>
  </w:style>
  <w:style w:type="character" w:customStyle="1" w:styleId="39">
    <w:name w:val="页脚 字符1"/>
    <w:link w:val="16"/>
    <w:qFormat/>
    <w:uiPriority w:val="0"/>
    <w:rPr>
      <w:kern w:val="2"/>
      <w:sz w:val="18"/>
      <w:szCs w:val="18"/>
    </w:rPr>
  </w:style>
  <w:style w:type="character" w:customStyle="1" w:styleId="40">
    <w:name w:val="页眉 字符"/>
    <w:link w:val="17"/>
    <w:qFormat/>
    <w:uiPriority w:val="0"/>
    <w:rPr>
      <w:kern w:val="2"/>
      <w:sz w:val="18"/>
      <w:szCs w:val="18"/>
    </w:rPr>
  </w:style>
  <w:style w:type="character" w:customStyle="1" w:styleId="41">
    <w:name w:val="已访问的超链接1"/>
    <w:qFormat/>
    <w:uiPriority w:val="0"/>
    <w:rPr>
      <w:color w:val="800080"/>
      <w:u w:val="single"/>
    </w:rPr>
  </w:style>
  <w:style w:type="character" w:customStyle="1" w:styleId="42">
    <w:name w:val="正文（首行缩进2字符） Char"/>
    <w:link w:val="43"/>
    <w:qFormat/>
    <w:uiPriority w:val="0"/>
    <w:rPr>
      <w:kern w:val="2"/>
      <w:sz w:val="24"/>
      <w:szCs w:val="24"/>
    </w:rPr>
  </w:style>
  <w:style w:type="paragraph" w:customStyle="1" w:styleId="43">
    <w:name w:val="正文（首行缩进2字符）"/>
    <w:basedOn w:val="1"/>
    <w:link w:val="42"/>
    <w:qFormat/>
    <w:uiPriority w:val="0"/>
    <w:pPr>
      <w:spacing w:line="360" w:lineRule="auto"/>
      <w:ind w:firstLine="480" w:firstLineChars="200"/>
    </w:pPr>
    <w:rPr>
      <w:sz w:val="24"/>
      <w:lang w:val="zh-CN"/>
    </w:rPr>
  </w:style>
  <w:style w:type="character" w:customStyle="1" w:styleId="44">
    <w:name w:val="段落 Char1"/>
    <w:link w:val="45"/>
    <w:qFormat/>
    <w:uiPriority w:val="0"/>
    <w:rPr>
      <w:rFonts w:eastAsia="仿宋_GB2312"/>
      <w:sz w:val="24"/>
      <w:szCs w:val="24"/>
      <w:lang w:val="en-US" w:eastAsia="zh-CN" w:bidi="ar-SA"/>
    </w:rPr>
  </w:style>
  <w:style w:type="paragraph" w:customStyle="1" w:styleId="45">
    <w:name w:val="段落"/>
    <w:link w:val="44"/>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6">
    <w:name w:val="正文（安华金和） Char"/>
    <w:link w:val="47"/>
    <w:qFormat/>
    <w:uiPriority w:val="0"/>
    <w:rPr>
      <w:rFonts w:ascii="Arial" w:hAnsi="Arial"/>
      <w:sz w:val="21"/>
      <w:szCs w:val="21"/>
      <w:lang w:val="en-US" w:eastAsia="zh-CN" w:bidi="ar-SA"/>
    </w:rPr>
  </w:style>
  <w:style w:type="paragraph" w:customStyle="1" w:styleId="47">
    <w:name w:val="正文（安华金和）"/>
    <w:link w:val="46"/>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8">
    <w:name w:val="页脚 字符"/>
    <w:qFormat/>
    <w:uiPriority w:val="99"/>
  </w:style>
  <w:style w:type="character" w:customStyle="1" w:styleId="49">
    <w:name w:val="列表段落 字符"/>
    <w:link w:val="50"/>
    <w:qFormat/>
    <w:uiPriority w:val="34"/>
    <w:rPr>
      <w:rFonts w:ascii="等线" w:hAnsi="等线" w:eastAsia="等线"/>
      <w:kern w:val="2"/>
      <w:sz w:val="21"/>
      <w:szCs w:val="22"/>
    </w:rPr>
  </w:style>
  <w:style w:type="paragraph" w:customStyle="1" w:styleId="50">
    <w:name w:val="List Paragraph"/>
    <w:basedOn w:val="1"/>
    <w:link w:val="49"/>
    <w:qFormat/>
    <w:uiPriority w:val="34"/>
    <w:pPr>
      <w:ind w:firstLine="420" w:firstLineChars="200"/>
    </w:pPr>
    <w:rPr>
      <w:rFonts w:ascii="等线" w:hAnsi="等线" w:eastAsia="等线"/>
      <w:szCs w:val="22"/>
      <w:lang w:val="zh-CN"/>
    </w:rPr>
  </w:style>
  <w:style w:type="paragraph" w:customStyle="1" w:styleId="51">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2">
    <w:name w:val="标题 2（DBSec）"/>
    <w:basedOn w:val="4"/>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4">
    <w:name w:val="_Style 27"/>
    <w:basedOn w:val="1"/>
    <w:next w:val="50"/>
    <w:qFormat/>
    <w:uiPriority w:val="34"/>
    <w:pPr>
      <w:widowControl/>
      <w:spacing w:line="240" w:lineRule="atLeast"/>
      <w:ind w:firstLine="420" w:firstLineChars="200"/>
    </w:pPr>
    <w:rPr>
      <w:rFonts w:ascii="Arial" w:hAnsi="Arial"/>
      <w:kern w:val="0"/>
      <w:szCs w:val="21"/>
    </w:rPr>
  </w:style>
  <w:style w:type="paragraph" w:customStyle="1" w:styleId="55">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6">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7">
    <w:name w:val="标题 4（DBSec）"/>
    <w:basedOn w:val="6"/>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8">
    <w:name w:val="标题 3（DBSec）"/>
    <w:basedOn w:val="5"/>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9">
    <w:name w:val="标题 1（DBSec）"/>
    <w:basedOn w:val="3"/>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0">
    <w:name w:val="彩色列表 - 着色 11"/>
    <w:basedOn w:val="1"/>
    <w:qFormat/>
    <w:uiPriority w:val="34"/>
    <w:pPr>
      <w:spacing w:line="360" w:lineRule="auto"/>
      <w:ind w:firstLine="420" w:firstLineChars="200"/>
    </w:pPr>
    <w:rPr>
      <w:rFonts w:ascii="Arial" w:hAnsi="Arial"/>
      <w:szCs w:val="21"/>
    </w:rPr>
  </w:style>
  <w:style w:type="paragraph" w:customStyle="1" w:styleId="61">
    <w:name w:val="表格标注（安华金和）"/>
    <w:basedOn w:val="51"/>
    <w:next w:val="1"/>
    <w:qFormat/>
    <w:uiPriority w:val="0"/>
    <w:pPr>
      <w:numPr>
        <w:ilvl w:val="7"/>
      </w:numPr>
    </w:pPr>
  </w:style>
  <w:style w:type="paragraph" w:customStyle="1" w:styleId="62">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3">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4">
    <w:name w:val="批注文字 字符"/>
    <w:qFormat/>
    <w:uiPriority w:val="99"/>
    <w:rPr>
      <w:kern w:val="2"/>
      <w:sz w:val="21"/>
      <w:szCs w:val="24"/>
    </w:rPr>
  </w:style>
  <w:style w:type="character" w:customStyle="1" w:styleId="65">
    <w:name w:val="副标题 字符"/>
    <w:link w:val="18"/>
    <w:qFormat/>
    <w:uiPriority w:val="0"/>
    <w:rPr>
      <w:rFonts w:ascii="Cambria" w:hAnsi="Cambria"/>
      <w:b/>
      <w:bCs/>
      <w:kern w:val="28"/>
      <w:sz w:val="32"/>
      <w:szCs w:val="32"/>
      <w:lang w:eastAsia="en-US"/>
    </w:rPr>
  </w:style>
  <w:style w:type="character" w:customStyle="1" w:styleId="66">
    <w:name w:val="批注主题 字符"/>
    <w:basedOn w:val="36"/>
    <w:link w:val="20"/>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3652</Words>
  <Characters>3787</Characters>
  <Lines>28</Lines>
  <Paragraphs>7</Paragraphs>
  <TotalTime>0</TotalTime>
  <ScaleCrop>false</ScaleCrop>
  <LinksUpToDate>false</LinksUpToDate>
  <CharactersWithSpaces>3802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2022-01-06T10:42:00Z</dcterms:created>
  <dc:creator>陈永辉</dc:creator>
  <cp:lastModifiedBy>Administrator</cp:lastModifiedBy>
  <dcterms:modified xsi:type="dcterms:W3CDTF">2022-10-09T08:36:18Z</dcterms:modified>
  <dc:title>1</dc:title>
  <cp:revision>276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C519AC9585249D4BBF1B2863E954D41D</vt:lpwstr>
  </property>
</Properties>
</file>