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  <w:t>广东省人民医院科研实验用房租赁项目租金评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估服务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56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难度系数：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640" w:lineRule="exact"/>
        <w:ind w:firstLine="56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下浮率：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报价系数：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年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3600" w:firstLineChars="1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3"/>
        <w:spacing w:line="600" w:lineRule="exact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eastAsia="zh-CN"/>
        </w:rPr>
        <w:t>广东省人民医院科研实验用房租赁项目租金评估服务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>
      <w:pPr>
        <w:pStyle w:val="6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>
      <w:pPr>
        <w:jc w:val="center"/>
        <w:rPr>
          <w:rFonts w:hint="eastAsia"/>
          <w:sz w:val="18"/>
          <w:szCs w:val="21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189EF"/>
    <w:multiLevelType w:val="singleLevel"/>
    <w:tmpl w:val="558189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DAyNDU3NWM1NTQ3NDZhNTA2Y2RlYzA1NzljM2YifQ=="/>
  </w:docVars>
  <w:rsids>
    <w:rsidRoot w:val="72FF4591"/>
    <w:rsid w:val="72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2022-11-01T02:19:00Z</dcterms:created>
  <dc:creator>鱼丫</dc:creator>
  <cp:lastModifiedBy>鱼丫</cp:lastModifiedBy>
  <dcterms:modified xsi:type="dcterms:W3CDTF">2022-11-01T02:19:37Z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4F937BFE0E45412099AE49442E3B024A</vt:lpwstr>
  </property>
</Properties>
</file>