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cs="Times New Roman"/>
          <w:b w:val="0"/>
          <w:bCs w:val="0"/>
          <w:color w:val="auto"/>
          <w:sz w:val="28"/>
          <w:szCs w:val="36"/>
          <w:highlight w:val="none"/>
        </w:rPr>
      </w:pPr>
    </w:p>
    <w:p>
      <w:pPr>
        <w:jc w:val="left"/>
        <w:rPr>
          <w:rFonts w:hint="default" w:ascii="Times New Roman" w:hAnsi="Times New Roman" w:cs="Times New Roman"/>
          <w:b w:val="0"/>
          <w:bCs w:val="0"/>
          <w:color w:val="auto"/>
          <w:sz w:val="28"/>
          <w:szCs w:val="36"/>
          <w:highlight w:val="none"/>
        </w:rPr>
      </w:pPr>
      <w:r>
        <w:rPr>
          <w:rFonts w:hint="eastAsia" w:cs="Times New Roman"/>
          <w:b/>
          <w:bCs/>
          <w:color w:val="auto"/>
          <w:sz w:val="32"/>
          <w:szCs w:val="40"/>
          <w:highlight w:val="none"/>
          <w:lang w:eastAsia="zh-CN"/>
        </w:rPr>
        <w:t>一、商务</w:t>
      </w:r>
      <w:r>
        <w:rPr>
          <w:rFonts w:hint="default" w:ascii="Times New Roman" w:hAnsi="Times New Roman" w:cs="Times New Roman"/>
          <w:b/>
          <w:bCs/>
          <w:color w:val="auto"/>
          <w:sz w:val="32"/>
          <w:szCs w:val="40"/>
          <w:highlight w:val="none"/>
        </w:rPr>
        <w:t>技术评价</w:t>
      </w:r>
      <w:r>
        <w:rPr>
          <w:rFonts w:hint="default" w:ascii="Times New Roman" w:hAnsi="Times New Roman" w:cs="Times New Roman"/>
          <w:b/>
          <w:bCs/>
          <w:color w:val="auto"/>
          <w:sz w:val="28"/>
          <w:szCs w:val="36"/>
          <w:highlight w:val="none"/>
          <w:lang w:eastAsia="zh-CN"/>
        </w:rPr>
        <w:t>（</w:t>
      </w:r>
      <w:r>
        <w:rPr>
          <w:rFonts w:hint="eastAsia" w:cs="Times New Roman"/>
          <w:b/>
          <w:bCs/>
          <w:color w:val="auto"/>
          <w:sz w:val="28"/>
          <w:szCs w:val="36"/>
          <w:highlight w:val="none"/>
          <w:lang w:val="en-US" w:eastAsia="zh-CN"/>
        </w:rPr>
        <w:t>70</w:t>
      </w:r>
      <w:r>
        <w:rPr>
          <w:rFonts w:hint="default" w:ascii="Times New Roman" w:hAnsi="Times New Roman" w:cs="Times New Roman"/>
          <w:b/>
          <w:bCs/>
          <w:color w:val="auto"/>
          <w:sz w:val="28"/>
          <w:szCs w:val="36"/>
          <w:highlight w:val="none"/>
          <w:lang w:val="en-US" w:eastAsia="zh-CN"/>
        </w:rPr>
        <w:t>分</w:t>
      </w:r>
      <w:r>
        <w:rPr>
          <w:rFonts w:hint="default" w:ascii="Times New Roman" w:hAnsi="Times New Roman" w:cs="Times New Roman"/>
          <w:b/>
          <w:bCs/>
          <w:color w:val="auto"/>
          <w:sz w:val="28"/>
          <w:szCs w:val="36"/>
          <w:highlight w:val="none"/>
          <w:lang w:eastAsia="zh-CN"/>
        </w:rPr>
        <w:t>）</w:t>
      </w:r>
      <w:r>
        <w:rPr>
          <w:rFonts w:hint="default" w:ascii="Times New Roman" w:hAnsi="Times New Roman" w:cs="Times New Roman"/>
          <w:b w:val="0"/>
          <w:bCs w:val="0"/>
          <w:color w:val="auto"/>
          <w:sz w:val="28"/>
          <w:szCs w:val="36"/>
          <w:highlight w:val="none"/>
        </w:rPr>
        <w:t>：</w:t>
      </w:r>
    </w:p>
    <w:tbl>
      <w:tblPr>
        <w:tblStyle w:val="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04"/>
        <w:gridCol w:w="716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2" w:type="dxa"/>
            <w:noWrap w:val="0"/>
            <w:vAlign w:val="center"/>
          </w:tcPr>
          <w:p>
            <w:pPr>
              <w:jc w:val="both"/>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1104" w:type="dxa"/>
            <w:noWrap w:val="0"/>
            <w:vAlign w:val="center"/>
          </w:tcPr>
          <w:p>
            <w:pPr>
              <w:jc w:val="both"/>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评审内容</w:t>
            </w:r>
          </w:p>
        </w:tc>
        <w:tc>
          <w:tcPr>
            <w:tcW w:w="7163" w:type="dxa"/>
            <w:noWrap w:val="0"/>
            <w:vAlign w:val="center"/>
          </w:tcPr>
          <w:p>
            <w:pPr>
              <w:jc w:val="both"/>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评审细则</w:t>
            </w:r>
          </w:p>
        </w:tc>
        <w:tc>
          <w:tcPr>
            <w:tcW w:w="709" w:type="dxa"/>
            <w:noWrap w:val="0"/>
            <w:vAlign w:val="center"/>
          </w:tcPr>
          <w:p>
            <w:pPr>
              <w:jc w:val="both"/>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eastAsia" w:cs="Times New Roman"/>
                <w:color w:val="auto"/>
                <w:sz w:val="21"/>
                <w:szCs w:val="21"/>
                <w:highlight w:val="none"/>
                <w:lang w:eastAsia="zh-CN"/>
              </w:rPr>
              <w:t>产品综合品质评定</w:t>
            </w:r>
          </w:p>
        </w:tc>
        <w:tc>
          <w:tcPr>
            <w:tcW w:w="7163" w:type="dxa"/>
            <w:noWrap w:val="0"/>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rPr>
              <w:t>对比各</w:t>
            </w:r>
            <w:r>
              <w:rPr>
                <w:rFonts w:hint="default" w:ascii="Times New Roman" w:hAnsi="Times New Roman" w:cs="Times New Roman"/>
                <w:color w:val="auto"/>
                <w:sz w:val="21"/>
                <w:szCs w:val="21"/>
                <w:highlight w:val="none"/>
                <w:lang w:eastAsia="zh-CN"/>
              </w:rPr>
              <w:t>供应商</w:t>
            </w:r>
            <w:r>
              <w:rPr>
                <w:rFonts w:hint="eastAsia" w:cs="Times New Roman"/>
                <w:color w:val="auto"/>
                <w:sz w:val="21"/>
                <w:szCs w:val="21"/>
                <w:highlight w:val="none"/>
                <w:lang w:eastAsia="zh-CN"/>
              </w:rPr>
              <w:t>提供的走地鸡的品种、养殖环境、出栏时间等进行综合评定，</w:t>
            </w:r>
            <w:r>
              <w:rPr>
                <w:rFonts w:hint="eastAsia" w:cs="Times New Roman"/>
                <w:color w:val="auto"/>
                <w:sz w:val="21"/>
                <w:szCs w:val="21"/>
                <w:highlight w:val="none"/>
                <w:lang w:eastAsia="zh-CN"/>
              </w:rPr>
              <w:br w:type="textWrapping"/>
            </w:r>
            <w:r>
              <w:rPr>
                <w:rFonts w:hint="eastAsia" w:cs="Times New Roman"/>
                <w:color w:val="auto"/>
                <w:sz w:val="21"/>
                <w:szCs w:val="21"/>
                <w:highlight w:val="none"/>
                <w:lang w:eastAsia="zh-CN"/>
              </w:rPr>
              <w:t>优得</w:t>
            </w:r>
            <w:r>
              <w:rPr>
                <w:rFonts w:hint="eastAsia" w:cs="Times New Roman"/>
                <w:color w:val="auto"/>
                <w:sz w:val="21"/>
                <w:szCs w:val="21"/>
                <w:highlight w:val="none"/>
                <w:lang w:val="en-US" w:eastAsia="zh-CN"/>
              </w:rPr>
              <w:t>20分，良得15分，一般得10分，差不得分。</w:t>
            </w:r>
          </w:p>
        </w:tc>
        <w:tc>
          <w:tcPr>
            <w:tcW w:w="709" w:type="dxa"/>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6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104"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hAnsi="宋体"/>
                <w:sz w:val="21"/>
                <w:szCs w:val="21"/>
                <w:highlight w:val="none"/>
              </w:rPr>
              <w:t>第三方检测情况</w:t>
            </w:r>
          </w:p>
        </w:tc>
        <w:tc>
          <w:tcPr>
            <w:tcW w:w="7163" w:type="dxa"/>
            <w:noWrap w:val="0"/>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color w:val="auto"/>
                <w:sz w:val="21"/>
                <w:szCs w:val="21"/>
                <w:highlight w:val="none"/>
                <w:lang w:val="en-US" w:eastAsia="zh-CN"/>
              </w:rPr>
            </w:pPr>
            <w:r>
              <w:rPr>
                <w:rFonts w:hint="eastAsia" w:ascii="宋体" w:hAnsi="宋体" w:cs="宋体"/>
                <w:color w:val="000000"/>
                <w:kern w:val="0"/>
                <w:sz w:val="21"/>
                <w:szCs w:val="21"/>
                <w:highlight w:val="none"/>
              </w:rPr>
              <w:t>提供</w:t>
            </w:r>
            <w:r>
              <w:rPr>
                <w:rFonts w:hint="eastAsia" w:ascii="宋体" w:hAnsi="宋体" w:cs="宋体"/>
                <w:color w:val="000000"/>
                <w:kern w:val="0"/>
                <w:sz w:val="21"/>
                <w:szCs w:val="21"/>
                <w:highlight w:val="none"/>
                <w:lang w:eastAsia="zh-CN"/>
              </w:rPr>
              <w:t>该批次产品</w:t>
            </w:r>
            <w:r>
              <w:rPr>
                <w:rFonts w:hint="eastAsia" w:ascii="宋体" w:hAnsi="宋体" w:cs="宋体"/>
                <w:color w:val="000000"/>
                <w:kern w:val="0"/>
                <w:sz w:val="21"/>
                <w:szCs w:val="21"/>
                <w:highlight w:val="none"/>
              </w:rPr>
              <w:t>具有CNAS、CMA及CATL认证资质的第三方</w:t>
            </w:r>
            <w:r>
              <w:rPr>
                <w:rFonts w:ascii="宋体" w:hAnsi="宋体" w:cs="宋体"/>
                <w:color w:val="000000"/>
                <w:kern w:val="0"/>
                <w:sz w:val="21"/>
                <w:szCs w:val="21"/>
                <w:highlight w:val="none"/>
              </w:rPr>
              <w:t>机构出具</w:t>
            </w:r>
            <w:r>
              <w:rPr>
                <w:rFonts w:hint="eastAsia" w:ascii="宋体" w:hAnsi="宋体" w:cs="宋体"/>
                <w:color w:val="000000"/>
                <w:kern w:val="0"/>
                <w:sz w:val="21"/>
                <w:szCs w:val="21"/>
                <w:highlight w:val="none"/>
              </w:rPr>
              <w:t>的</w:t>
            </w:r>
            <w:r>
              <w:rPr>
                <w:rFonts w:ascii="宋体" w:hAnsi="宋体" w:cs="宋体"/>
                <w:color w:val="000000"/>
                <w:kern w:val="0"/>
                <w:sz w:val="21"/>
                <w:szCs w:val="21"/>
                <w:highlight w:val="none"/>
              </w:rPr>
              <w:t xml:space="preserve">合格检测报告复印件： </w:t>
            </w:r>
            <w:r>
              <w:rPr>
                <w:rFonts w:hint="eastAsia" w:ascii="宋体" w:hAnsi="宋体" w:cs="宋体"/>
                <w:bCs/>
                <w:color w:val="000000"/>
                <w:kern w:val="0"/>
                <w:sz w:val="21"/>
                <w:szCs w:val="21"/>
                <w:highlight w:val="none"/>
                <w:lang w:val="en-US" w:eastAsia="zh-CN" w:bidi="ar-SA"/>
              </w:rPr>
              <w:t>有提供合格检测报告的得10分；没有提供得0分。</w:t>
            </w:r>
          </w:p>
        </w:tc>
        <w:tc>
          <w:tcPr>
            <w:tcW w:w="709" w:type="dxa"/>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6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w:t>
            </w:r>
          </w:p>
        </w:tc>
        <w:tc>
          <w:tcPr>
            <w:tcW w:w="1104"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eastAsia" w:hAnsi="宋体"/>
                <w:sz w:val="21"/>
                <w:szCs w:val="21"/>
                <w:highlight w:val="none"/>
                <w:lang w:eastAsia="zh-CN"/>
              </w:rPr>
              <w:t>产</w:t>
            </w:r>
            <w:r>
              <w:rPr>
                <w:rFonts w:hint="eastAsia" w:hAnsi="宋体"/>
                <w:sz w:val="21"/>
                <w:szCs w:val="21"/>
                <w:highlight w:val="none"/>
              </w:rPr>
              <w:t>品质量保证方案</w:t>
            </w:r>
          </w:p>
        </w:tc>
        <w:tc>
          <w:tcPr>
            <w:tcW w:w="7163" w:type="dxa"/>
            <w:noWrap w:val="0"/>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eastAsia="zh-CN"/>
              </w:rPr>
              <w:t>产品</w:t>
            </w:r>
            <w:r>
              <w:rPr>
                <w:rFonts w:hint="eastAsia" w:ascii="宋体" w:hAnsi="宋体" w:cs="宋体"/>
                <w:color w:val="000000"/>
                <w:kern w:val="0"/>
                <w:sz w:val="21"/>
                <w:szCs w:val="21"/>
                <w:highlight w:val="none"/>
              </w:rPr>
              <w:t>的来源、采购、检验、加工、储存、运输各环节的质量管理及保障措施：</w:t>
            </w:r>
          </w:p>
          <w:p>
            <w:pPr>
              <w:keepNext w:val="0"/>
              <w:keepLines w:val="0"/>
              <w:pageBreakBefore w:val="0"/>
              <w:widowControl w:val="0"/>
              <w:kinsoku/>
              <w:wordWrap/>
              <w:overflowPunct/>
              <w:topLinePunct w:val="0"/>
              <w:autoSpaceDE/>
              <w:autoSpaceDN/>
              <w:bidi w:val="0"/>
              <w:spacing w:line="380" w:lineRule="exact"/>
              <w:jc w:val="both"/>
              <w:textAlignment w:val="auto"/>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质量保障详细具体，食品安全措施切实可行，得</w:t>
            </w:r>
            <w:r>
              <w:rPr>
                <w:rFonts w:hint="eastAsia" w:ascii="宋体" w:hAnsi="宋体" w:cs="宋体"/>
                <w:color w:val="000000"/>
                <w:kern w:val="0"/>
                <w:sz w:val="21"/>
                <w:szCs w:val="21"/>
                <w:highlight w:val="none"/>
                <w:lang w:val="en-US" w:eastAsia="zh-CN"/>
              </w:rPr>
              <w:t>15</w:t>
            </w:r>
            <w:r>
              <w:rPr>
                <w:rFonts w:ascii="宋体" w:hAnsi="宋体" w:cs="宋体"/>
                <w:color w:val="000000"/>
                <w:kern w:val="0"/>
                <w:sz w:val="21"/>
                <w:szCs w:val="21"/>
                <w:highlight w:val="none"/>
              </w:rPr>
              <w:t>分；</w:t>
            </w:r>
          </w:p>
          <w:p>
            <w:pPr>
              <w:keepNext w:val="0"/>
              <w:keepLines w:val="0"/>
              <w:pageBreakBefore w:val="0"/>
              <w:widowControl w:val="0"/>
              <w:kinsoku/>
              <w:wordWrap/>
              <w:overflowPunct/>
              <w:topLinePunct w:val="0"/>
              <w:autoSpaceDE/>
              <w:autoSpaceDN/>
              <w:bidi w:val="0"/>
              <w:spacing w:line="380" w:lineRule="exact"/>
              <w:jc w:val="both"/>
              <w:textAlignment w:val="auto"/>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质量保障较详细良好，有一定食品安全措施，得</w:t>
            </w:r>
            <w:r>
              <w:rPr>
                <w:rFonts w:hint="eastAsia" w:ascii="宋体" w:hAnsi="宋体" w:cs="宋体"/>
                <w:color w:val="000000"/>
                <w:kern w:val="0"/>
                <w:sz w:val="21"/>
                <w:szCs w:val="21"/>
                <w:highlight w:val="none"/>
                <w:lang w:val="en-US" w:eastAsia="zh-CN"/>
              </w:rPr>
              <w:t>10</w:t>
            </w:r>
            <w:r>
              <w:rPr>
                <w:rFonts w:ascii="宋体" w:hAnsi="宋体" w:cs="宋体"/>
                <w:color w:val="000000"/>
                <w:kern w:val="0"/>
                <w:sz w:val="21"/>
                <w:szCs w:val="21"/>
                <w:highlight w:val="none"/>
              </w:rPr>
              <w:t>分；</w:t>
            </w:r>
          </w:p>
          <w:p>
            <w:pPr>
              <w:keepNext w:val="0"/>
              <w:keepLines w:val="0"/>
              <w:pageBreakBefore w:val="0"/>
              <w:widowControl w:val="0"/>
              <w:kinsoku/>
              <w:wordWrap/>
              <w:overflowPunct/>
              <w:topLinePunct w:val="0"/>
              <w:autoSpaceDE/>
              <w:autoSpaceDN/>
              <w:bidi w:val="0"/>
              <w:spacing w:line="380" w:lineRule="exact"/>
              <w:jc w:val="both"/>
              <w:textAlignment w:val="auto"/>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质量保障较简单，食品安全措施一般，得</w:t>
            </w:r>
            <w:r>
              <w:rPr>
                <w:rFonts w:hint="eastAsia" w:ascii="宋体" w:hAnsi="宋体" w:cs="宋体"/>
                <w:color w:val="000000"/>
                <w:kern w:val="0"/>
                <w:sz w:val="21"/>
                <w:szCs w:val="21"/>
                <w:highlight w:val="none"/>
                <w:lang w:val="en-US" w:eastAsia="zh-CN"/>
              </w:rPr>
              <w:t>5</w:t>
            </w:r>
            <w:r>
              <w:rPr>
                <w:rFonts w:ascii="宋体" w:hAnsi="宋体" w:cs="宋体"/>
                <w:color w:val="000000"/>
                <w:kern w:val="0"/>
                <w:sz w:val="21"/>
                <w:szCs w:val="21"/>
                <w:highlight w:val="none"/>
              </w:rPr>
              <w:t>分；</w:t>
            </w:r>
          </w:p>
          <w:p>
            <w:pPr>
              <w:keepNext w:val="0"/>
              <w:keepLines w:val="0"/>
              <w:pageBreakBefore w:val="0"/>
              <w:widowControl w:val="0"/>
              <w:kinsoku/>
              <w:wordWrap/>
              <w:overflowPunct/>
              <w:topLinePunct w:val="0"/>
              <w:autoSpaceDE/>
              <w:autoSpaceDN/>
              <w:bidi w:val="0"/>
              <w:spacing w:line="380" w:lineRule="exact"/>
              <w:jc w:val="both"/>
              <w:textAlignment w:val="auto"/>
              <w:rPr>
                <w:rFonts w:hint="default"/>
                <w:sz w:val="21"/>
                <w:szCs w:val="21"/>
              </w:rPr>
            </w:pPr>
            <w:r>
              <w:rPr>
                <w:rFonts w:hint="eastAsia" w:ascii="宋体" w:hAnsi="宋体" w:cs="宋体"/>
                <w:color w:val="000000"/>
                <w:kern w:val="0"/>
                <w:sz w:val="21"/>
                <w:szCs w:val="21"/>
                <w:highlight w:val="none"/>
              </w:rPr>
              <w:t>质量保障不满足采购需求，食品安全措施较差，得0</w:t>
            </w:r>
            <w:r>
              <w:rPr>
                <w:rFonts w:ascii="宋体" w:hAnsi="宋体" w:cs="宋体"/>
                <w:color w:val="000000"/>
                <w:kern w:val="0"/>
                <w:sz w:val="21"/>
                <w:szCs w:val="21"/>
                <w:highlight w:val="none"/>
              </w:rPr>
              <w:t>分。</w:t>
            </w:r>
          </w:p>
        </w:tc>
        <w:tc>
          <w:tcPr>
            <w:tcW w:w="709" w:type="dxa"/>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jc w:val="center"/>
        </w:trPr>
        <w:tc>
          <w:tcPr>
            <w:tcW w:w="6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w:t>
            </w:r>
          </w:p>
        </w:tc>
        <w:tc>
          <w:tcPr>
            <w:tcW w:w="1104"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bidi="ar-SA"/>
              </w:rPr>
            </w:pPr>
            <w:r>
              <w:rPr>
                <w:rFonts w:hint="eastAsia" w:hAnsi="宋体"/>
                <w:sz w:val="21"/>
                <w:szCs w:val="21"/>
                <w:highlight w:val="none"/>
              </w:rPr>
              <w:t>配送服务、售后服务方案</w:t>
            </w:r>
          </w:p>
        </w:tc>
        <w:tc>
          <w:tcPr>
            <w:tcW w:w="71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宋体" w:hAnsi="宋体" w:cs="楷体"/>
                <w:sz w:val="21"/>
                <w:szCs w:val="21"/>
                <w:highlight w:val="none"/>
              </w:rPr>
            </w:pPr>
            <w:r>
              <w:rPr>
                <w:rFonts w:hint="eastAsia" w:ascii="宋体" w:hAnsi="宋体" w:cs="楷体"/>
                <w:sz w:val="21"/>
                <w:szCs w:val="21"/>
                <w:highlight w:val="none"/>
              </w:rPr>
              <w:t>根据本项目投标人需提供项目的配送服务和售后服务方案，内容须至少包含：采购渠道、供货保障、品质监控、</w:t>
            </w:r>
            <w:r>
              <w:rPr>
                <w:rFonts w:hint="eastAsia" w:ascii="宋体" w:hAnsi="宋体" w:cs="楷体"/>
                <w:sz w:val="21"/>
                <w:szCs w:val="21"/>
                <w:highlight w:val="none"/>
                <w:lang w:eastAsia="zh-CN"/>
              </w:rPr>
              <w:t>运输能力</w:t>
            </w:r>
            <w:r>
              <w:rPr>
                <w:rFonts w:hint="eastAsia" w:ascii="宋体" w:hAnsi="宋体" w:cs="楷体"/>
                <w:sz w:val="21"/>
                <w:szCs w:val="21"/>
                <w:highlight w:val="none"/>
              </w:rPr>
              <w:t>、售后服务方案</w:t>
            </w:r>
            <w:r>
              <w:rPr>
                <w:rFonts w:hint="eastAsia" w:ascii="宋体" w:hAnsi="宋体" w:cs="楷体"/>
                <w:sz w:val="21"/>
                <w:szCs w:val="21"/>
                <w:highlight w:val="none"/>
                <w:lang w:eastAsia="zh-CN"/>
              </w:rPr>
              <w:t>等</w:t>
            </w:r>
            <w:r>
              <w:rPr>
                <w:rFonts w:hint="eastAsia" w:ascii="宋体" w:hAnsi="宋体" w:cs="楷体"/>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宋体" w:hAnsi="宋体" w:cs="楷体"/>
                <w:sz w:val="21"/>
                <w:szCs w:val="21"/>
                <w:highlight w:val="none"/>
              </w:rPr>
            </w:pPr>
            <w:r>
              <w:rPr>
                <w:rFonts w:hint="eastAsia" w:ascii="宋体" w:hAnsi="宋体" w:cs="楷体"/>
                <w:sz w:val="21"/>
                <w:szCs w:val="21"/>
                <w:highlight w:val="none"/>
              </w:rPr>
              <w:t>1、内容完整准确，思路清晰，贴合实际情况，内容详实具体、保障措 施针对性强，且有较强的可执行性，得</w:t>
            </w:r>
            <w:r>
              <w:rPr>
                <w:rFonts w:hint="eastAsia" w:ascii="宋体" w:hAnsi="宋体" w:cs="楷体"/>
                <w:sz w:val="21"/>
                <w:szCs w:val="21"/>
                <w:highlight w:val="none"/>
                <w:lang w:val="en-US" w:eastAsia="zh-CN"/>
              </w:rPr>
              <w:t>1</w:t>
            </w:r>
            <w:r>
              <w:rPr>
                <w:rFonts w:hint="eastAsia" w:ascii="宋体" w:hAnsi="宋体" w:cs="楷体"/>
                <w:sz w:val="21"/>
                <w:szCs w:val="21"/>
                <w:highlight w:val="none"/>
              </w:rPr>
              <w:t>5分；</w:t>
            </w:r>
          </w:p>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宋体" w:hAnsi="宋体" w:cs="楷体"/>
                <w:sz w:val="21"/>
                <w:szCs w:val="21"/>
                <w:highlight w:val="none"/>
              </w:rPr>
            </w:pPr>
            <w:r>
              <w:rPr>
                <w:rFonts w:hint="eastAsia" w:ascii="宋体" w:hAnsi="宋体" w:cs="楷体"/>
                <w:sz w:val="21"/>
                <w:szCs w:val="21"/>
                <w:highlight w:val="none"/>
              </w:rPr>
              <w:t>2、内容完整准确，思路清晰，内容详实具体，但保障措施针对性一般， 可执行性一般，得</w:t>
            </w:r>
            <w:r>
              <w:rPr>
                <w:rFonts w:hint="eastAsia" w:ascii="宋体" w:hAnsi="宋体" w:cs="楷体"/>
                <w:sz w:val="21"/>
                <w:szCs w:val="21"/>
                <w:highlight w:val="none"/>
                <w:lang w:val="en-US" w:eastAsia="zh-CN"/>
              </w:rPr>
              <w:t>10</w:t>
            </w:r>
            <w:r>
              <w:rPr>
                <w:rFonts w:hint="eastAsia" w:ascii="宋体" w:hAnsi="宋体" w:cs="楷体"/>
                <w:sz w:val="21"/>
                <w:szCs w:val="21"/>
                <w:highlight w:val="none"/>
              </w:rPr>
              <w:t>分；</w:t>
            </w:r>
          </w:p>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宋体" w:hAnsi="宋体" w:cs="楷体"/>
                <w:sz w:val="21"/>
                <w:szCs w:val="21"/>
                <w:highlight w:val="none"/>
              </w:rPr>
            </w:pPr>
            <w:r>
              <w:rPr>
                <w:rFonts w:hint="eastAsia" w:ascii="宋体" w:hAnsi="宋体" w:cs="楷体"/>
                <w:sz w:val="21"/>
                <w:szCs w:val="21"/>
                <w:highlight w:val="none"/>
              </w:rPr>
              <w:t>3、内容简单，保障措施针对性一般，可执行性一般，得</w:t>
            </w:r>
            <w:r>
              <w:rPr>
                <w:rFonts w:hint="eastAsia" w:ascii="宋体" w:hAnsi="宋体" w:cs="楷体"/>
                <w:sz w:val="21"/>
                <w:szCs w:val="21"/>
                <w:highlight w:val="none"/>
                <w:lang w:val="en-US" w:eastAsia="zh-CN"/>
              </w:rPr>
              <w:t>5</w:t>
            </w:r>
            <w:r>
              <w:rPr>
                <w:rFonts w:hint="eastAsia" w:ascii="宋体" w:hAnsi="宋体" w:cs="楷体"/>
                <w:sz w:val="21"/>
                <w:szCs w:val="21"/>
                <w:highlight w:val="none"/>
              </w:rPr>
              <w:t>分；</w:t>
            </w:r>
          </w:p>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default" w:ascii="Calibri" w:hAnsi="Calibri" w:eastAsia="宋体" w:cs="宋体"/>
                <w:kern w:val="2"/>
                <w:sz w:val="21"/>
                <w:szCs w:val="21"/>
                <w:lang w:val="en-US" w:eastAsia="zh-CN" w:bidi="ar-SA"/>
              </w:rPr>
            </w:pPr>
            <w:r>
              <w:rPr>
                <w:rFonts w:hint="eastAsia" w:ascii="宋体" w:hAnsi="宋体" w:cs="楷体"/>
                <w:sz w:val="21"/>
                <w:szCs w:val="21"/>
                <w:highlight w:val="none"/>
              </w:rPr>
              <w:t>4、其它或不提供不得分。</w:t>
            </w:r>
          </w:p>
        </w:tc>
        <w:tc>
          <w:tcPr>
            <w:tcW w:w="709" w:type="dxa"/>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6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rPr>
              <w:t>同类项目业绩</w:t>
            </w:r>
          </w:p>
        </w:tc>
        <w:tc>
          <w:tcPr>
            <w:tcW w:w="71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default" w:ascii="宋体" w:hAnsi="宋体" w:cs="楷体"/>
                <w:sz w:val="21"/>
                <w:szCs w:val="21"/>
                <w:highlight w:val="none"/>
                <w:lang w:val="en-US" w:eastAsia="zh-CN"/>
              </w:rPr>
            </w:pPr>
            <w:r>
              <w:rPr>
                <w:rFonts w:hint="eastAsia" w:ascii="宋体" w:hAnsi="宋体" w:cs="楷体"/>
                <w:sz w:val="21"/>
                <w:szCs w:val="21"/>
                <w:highlight w:val="none"/>
              </w:rPr>
              <w:t>2020</w:t>
            </w:r>
            <w:r>
              <w:rPr>
                <w:rFonts w:hint="eastAsia" w:ascii="宋体" w:hAnsi="宋体" w:cs="楷体"/>
                <w:sz w:val="21"/>
                <w:szCs w:val="21"/>
                <w:highlight w:val="none"/>
                <w:lang w:eastAsia="zh-CN"/>
              </w:rPr>
              <w:t>年</w:t>
            </w:r>
            <w:r>
              <w:rPr>
                <w:rFonts w:hint="eastAsia" w:ascii="宋体" w:hAnsi="宋体" w:cs="楷体"/>
                <w:sz w:val="21"/>
                <w:szCs w:val="21"/>
                <w:highlight w:val="none"/>
              </w:rPr>
              <w:t>以来同类业绩，请附合同关键页（含签订合同各方的单位名称、合同项目名称、合同标的、签订合同各方的落款盖章、签订日期等关键页）复印件或扫描件，否则不得作为评价证明资料，每提供1个得1分，最高得1</w:t>
            </w:r>
            <w:r>
              <w:rPr>
                <w:rFonts w:hint="eastAsia" w:ascii="宋体" w:hAnsi="宋体" w:cs="楷体"/>
                <w:sz w:val="21"/>
                <w:szCs w:val="21"/>
                <w:highlight w:val="none"/>
                <w:lang w:val="en-US" w:eastAsia="zh-CN"/>
              </w:rPr>
              <w:t>0</w:t>
            </w:r>
            <w:r>
              <w:rPr>
                <w:rFonts w:hint="eastAsia" w:ascii="宋体" w:hAnsi="宋体" w:cs="楷体"/>
                <w:sz w:val="21"/>
                <w:szCs w:val="21"/>
                <w:highlight w:val="none"/>
              </w:rPr>
              <w:t>分。</w:t>
            </w:r>
          </w:p>
        </w:tc>
        <w:tc>
          <w:tcPr>
            <w:tcW w:w="709" w:type="dxa"/>
            <w:noWrap w:val="0"/>
            <w:vAlign w:val="center"/>
          </w:tcPr>
          <w:p>
            <w:pPr>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r>
    </w:tbl>
    <w:p>
      <w:pPr>
        <w:jc w:val="left"/>
        <w:rPr>
          <w:rFonts w:hint="eastAsia" w:ascii="Times New Roman" w:hAnsi="Times New Roman" w:cs="Times New Roman"/>
          <w:b/>
          <w:bCs/>
          <w:color w:val="auto"/>
          <w:sz w:val="32"/>
          <w:szCs w:val="40"/>
          <w:highlight w:val="none"/>
          <w:lang w:eastAsia="zh-CN"/>
        </w:rPr>
      </w:pPr>
    </w:p>
    <w:p>
      <w:pPr>
        <w:numPr>
          <w:ilvl w:val="0"/>
          <w:numId w:val="1"/>
        </w:numPr>
        <w:jc w:val="left"/>
        <w:rPr>
          <w:rFonts w:hint="eastAsia" w:ascii="Times New Roman" w:hAnsi="Times New Roman" w:cs="Times New Roman"/>
          <w:b/>
          <w:bCs/>
          <w:color w:val="auto"/>
          <w:sz w:val="32"/>
          <w:szCs w:val="40"/>
          <w:highlight w:val="none"/>
          <w:lang w:eastAsia="zh-CN"/>
        </w:rPr>
      </w:pPr>
      <w:r>
        <w:rPr>
          <w:rFonts w:hint="eastAsia" w:ascii="Times New Roman" w:hAnsi="Times New Roman" w:cs="Times New Roman"/>
          <w:b/>
          <w:bCs/>
          <w:color w:val="auto"/>
          <w:sz w:val="32"/>
          <w:szCs w:val="40"/>
          <w:highlight w:val="none"/>
          <w:lang w:eastAsia="zh-CN"/>
        </w:rPr>
        <w:t>价格评价（</w:t>
      </w:r>
      <w:r>
        <w:rPr>
          <w:rFonts w:hint="eastAsia" w:ascii="Times New Roman" w:hAnsi="Times New Roman" w:cs="Times New Roman"/>
          <w:b/>
          <w:bCs/>
          <w:color w:val="auto"/>
          <w:sz w:val="32"/>
          <w:szCs w:val="40"/>
          <w:highlight w:val="none"/>
          <w:lang w:val="en-US" w:eastAsia="zh-CN"/>
        </w:rPr>
        <w:t>30分</w:t>
      </w:r>
      <w:r>
        <w:rPr>
          <w:rFonts w:hint="eastAsia" w:ascii="Times New Roman" w:hAnsi="Times New Roman" w:cs="Times New Roman"/>
          <w:b/>
          <w:bCs/>
          <w:color w:val="auto"/>
          <w:sz w:val="32"/>
          <w:szCs w:val="40"/>
          <w:highlight w:val="none"/>
          <w:lang w:eastAsia="zh-CN"/>
        </w:rPr>
        <w:t>）</w:t>
      </w:r>
    </w:p>
    <w:p>
      <w:pPr>
        <w:pStyle w:val="4"/>
        <w:numPr>
          <w:ilvl w:val="0"/>
          <w:numId w:val="0"/>
        </w:numP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本次报价分两轮进行，以谈判后的第二次报价做为最终报价。</w:t>
      </w:r>
    </w:p>
    <w:tbl>
      <w:tblPr>
        <w:tblStyle w:val="6"/>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8"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评审项目</w:t>
            </w:r>
          </w:p>
        </w:tc>
        <w:tc>
          <w:tcPr>
            <w:tcW w:w="900"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分值</w:t>
            </w:r>
          </w:p>
        </w:tc>
        <w:tc>
          <w:tcPr>
            <w:tcW w:w="6883" w:type="dxa"/>
            <w:noWrap w:val="0"/>
            <w:vAlign w:val="center"/>
          </w:tcPr>
          <w:p>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188"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价格</w:t>
            </w:r>
          </w:p>
        </w:tc>
        <w:tc>
          <w:tcPr>
            <w:tcW w:w="900" w:type="dxa"/>
            <w:noWrap w:val="0"/>
            <w:vAlign w:val="center"/>
          </w:tcPr>
          <w:p>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30</w:t>
            </w:r>
          </w:p>
        </w:tc>
        <w:tc>
          <w:tcPr>
            <w:tcW w:w="6883"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价格分是以满足招标文件要求且投标价格最低的投标报价为评标基准价，其他</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的价格分则按比例算出。</w:t>
            </w:r>
          </w:p>
          <w:p>
            <w:pP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价格分＝（评标基准价/投标报价）×</w:t>
            </w:r>
            <w:r>
              <w:rPr>
                <w:rFonts w:hint="default" w:ascii="Times New Roman" w:hAnsi="Times New Roman" w:cs="Times New Roman"/>
                <w:color w:val="auto"/>
                <w:highlight w:val="none"/>
                <w:lang w:val="en-US" w:eastAsia="zh-CN"/>
              </w:rPr>
              <w:t>30</w:t>
            </w:r>
          </w:p>
        </w:tc>
      </w:tr>
    </w:tbl>
    <w:p>
      <w:pPr>
        <w:pStyle w:val="2"/>
        <w:numPr>
          <w:ilvl w:val="0"/>
          <w:numId w:val="0"/>
        </w:numPr>
        <w:rPr>
          <w:rFonts w:hint="default"/>
          <w:lang w:eastAsia="zh-CN"/>
        </w:rPr>
      </w:pPr>
    </w:p>
    <w:sectPr>
      <w:pgSz w:w="11906" w:h="16838"/>
      <w:pgMar w:top="1157" w:right="1576" w:bottom="110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11BA71"/>
    <w:multiLevelType w:val="singleLevel"/>
    <w:tmpl w:val="7D11BA7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27BB71DF"/>
    <w:rsid w:val="02A641F0"/>
    <w:rsid w:val="02F84417"/>
    <w:rsid w:val="03664F61"/>
    <w:rsid w:val="03C16290"/>
    <w:rsid w:val="05833D2F"/>
    <w:rsid w:val="072F66C1"/>
    <w:rsid w:val="0C47762A"/>
    <w:rsid w:val="0C633373"/>
    <w:rsid w:val="11765FC4"/>
    <w:rsid w:val="11FA6640"/>
    <w:rsid w:val="15A90D9F"/>
    <w:rsid w:val="18D32961"/>
    <w:rsid w:val="1A5C6199"/>
    <w:rsid w:val="1BCE1757"/>
    <w:rsid w:val="1CF27F94"/>
    <w:rsid w:val="1E7D3868"/>
    <w:rsid w:val="1F821634"/>
    <w:rsid w:val="1FF50063"/>
    <w:rsid w:val="20C22627"/>
    <w:rsid w:val="21D11108"/>
    <w:rsid w:val="25324A72"/>
    <w:rsid w:val="260650EE"/>
    <w:rsid w:val="26CA68E0"/>
    <w:rsid w:val="278A5CF5"/>
    <w:rsid w:val="27BB71DF"/>
    <w:rsid w:val="2BA207CC"/>
    <w:rsid w:val="30D85D44"/>
    <w:rsid w:val="34433B0C"/>
    <w:rsid w:val="39822C77"/>
    <w:rsid w:val="3DF87B37"/>
    <w:rsid w:val="45CC4E61"/>
    <w:rsid w:val="482B3035"/>
    <w:rsid w:val="48AB0378"/>
    <w:rsid w:val="4AC40607"/>
    <w:rsid w:val="4B2A49FB"/>
    <w:rsid w:val="4D806FF1"/>
    <w:rsid w:val="4DB72F61"/>
    <w:rsid w:val="4ED24027"/>
    <w:rsid w:val="4F2E6668"/>
    <w:rsid w:val="50422F63"/>
    <w:rsid w:val="51AA0EDF"/>
    <w:rsid w:val="54BD3506"/>
    <w:rsid w:val="56F12341"/>
    <w:rsid w:val="58F43901"/>
    <w:rsid w:val="590B3D71"/>
    <w:rsid w:val="595C707B"/>
    <w:rsid w:val="595F1CF9"/>
    <w:rsid w:val="59CF6619"/>
    <w:rsid w:val="5CF36FF6"/>
    <w:rsid w:val="60F7489A"/>
    <w:rsid w:val="65BC6B1F"/>
    <w:rsid w:val="68D93E08"/>
    <w:rsid w:val="6F7A0237"/>
    <w:rsid w:val="70361528"/>
    <w:rsid w:val="72D8486C"/>
    <w:rsid w:val="75954C96"/>
    <w:rsid w:val="76BE4EDB"/>
    <w:rsid w:val="7862526E"/>
    <w:rsid w:val="7ABA4BF4"/>
    <w:rsid w:val="7F16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80" w:lineRule="auto"/>
    </w:pPr>
    <w:rPr>
      <w:sz w:val="24"/>
      <w:lang w:val="zh-CN"/>
    </w:rPr>
  </w:style>
  <w:style w:type="paragraph" w:customStyle="1" w:styleId="3">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paragraph" w:styleId="4">
    <w:name w:val="Normal Indent"/>
    <w:basedOn w:val="1"/>
    <w:qFormat/>
    <w:uiPriority w:val="0"/>
    <w:pPr>
      <w:ind w:firstLine="420"/>
    </w:pPr>
  </w:style>
  <w:style w:type="paragraph" w:styleId="5">
    <w:name w:val="Body Text Indent"/>
    <w:basedOn w:val="1"/>
    <w:qFormat/>
    <w:uiPriority w:val="0"/>
    <w:pPr>
      <w:ind w:firstLine="570"/>
    </w:pPr>
    <w:rPr>
      <w:rFonts w:ascii="宋体" w:hAnsi="宋体"/>
      <w:sz w:val="28"/>
      <w:szCs w:val="20"/>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3"/>
    <w:qFormat/>
    <w:uiPriority w:val="1"/>
    <w:pPr>
      <w:widowControl w:val="0"/>
      <w:jc w:val="both"/>
    </w:pPr>
    <w:rPr>
      <w:rFonts w:ascii="Calibri" w:hAnsi="Calibri" w:eastAsia="宋体" w:cs="宋体"/>
      <w:kern w:val="2"/>
      <w:sz w:val="21"/>
      <w:szCs w:val="22"/>
      <w:lang w:val="en-US" w:eastAsia="zh-CN" w:bidi="ar-SA"/>
    </w:rPr>
  </w:style>
  <w:style w:type="paragraph" w:customStyle="1" w:styleId="10">
    <w:name w:val="Table Paragraph"/>
    <w:basedOn w:val="1"/>
    <w:qFormat/>
    <w:uiPriority w:val="1"/>
    <w:rPr>
      <w:rFonts w:ascii="宋体" w:hAnsi="宋体" w:cs="宋体"/>
      <w:lang w:val="zh-CN" w:bidi="zh-CN"/>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723</Words>
  <Characters>753</Characters>
  <Lines>0</Lines>
  <Paragraphs>0</Paragraphs>
  <TotalTime>14</TotalTime>
  <ScaleCrop>false</ScaleCrop>
  <LinksUpToDate>false</LinksUpToDate>
  <CharactersWithSpaces>756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2020-03-19T05:34:00Z</dcterms:created>
  <dc:creator>Mad  rabbit</dc:creator>
  <cp:lastModifiedBy>舜娟</cp:lastModifiedBy>
  <cp:lastPrinted>2020-03-19T07:07:00Z</cp:lastPrinted>
  <dcterms:modified xsi:type="dcterms:W3CDTF">2022-11-10T07:11:52Z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D006CC0003A147BA9F33755593643C82</vt:lpwstr>
  </property>
</Properties>
</file>