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r>
        <w:rPr>
          <w:rFonts w:hint="eastAsia"/>
          <w:b/>
          <w:bCs/>
          <w:sz w:val="32"/>
          <w:szCs w:val="40"/>
        </w:rPr>
        <w:t>麻醉科疼痛患者AI智能语音机器人系统采购项目（2022年）</w:t>
      </w:r>
    </w:p>
    <w:p>
      <w:pPr>
        <w:jc w:val="center"/>
        <w:rPr>
          <w:rFonts w:hint="eastAsia"/>
          <w:b/>
          <w:bCs/>
          <w:sz w:val="32"/>
          <w:szCs w:val="40"/>
        </w:rPr>
      </w:pPr>
      <w:r>
        <w:rPr>
          <w:rFonts w:hint="eastAsia"/>
          <w:b/>
          <w:bCs/>
          <w:sz w:val="32"/>
          <w:szCs w:val="40"/>
        </w:rPr>
        <w:t>项目需求</w:t>
      </w:r>
    </w:p>
    <w:p>
      <w:pPr>
        <w:pStyle w:val="2"/>
      </w:pPr>
    </w:p>
    <w:p>
      <w:pPr>
        <w:pStyle w:val="3"/>
        <w:numPr>
          <w:ilvl w:val="0"/>
          <w:numId w:val="3"/>
        </w:numPr>
        <w:spacing w:before="0" w:after="0"/>
        <w:rPr>
          <w:rFonts w:ascii="宋体" w:hAnsi="宋体"/>
          <w:sz w:val="32"/>
          <w:szCs w:val="32"/>
        </w:rPr>
      </w:pPr>
      <w:r>
        <w:rPr>
          <w:rFonts w:hint="eastAsia" w:ascii="宋体" w:hAnsi="宋体"/>
          <w:sz w:val="32"/>
          <w:szCs w:val="32"/>
        </w:rPr>
        <w:t>项目</w:t>
      </w:r>
      <w:r>
        <w:rPr>
          <w:rFonts w:hint="eastAsia" w:ascii="宋体" w:hAnsi="宋体"/>
          <w:sz w:val="32"/>
          <w:szCs w:val="32"/>
          <w:lang w:val="en-US" w:eastAsia="zh-CN"/>
        </w:rPr>
        <w:t>介绍</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sz w:val="22"/>
          <w:lang w:eastAsia="zh-CN"/>
        </w:rPr>
      </w:pPr>
      <w:r>
        <w:rPr>
          <w:rFonts w:hint="eastAsia" w:ascii="宋体" w:hAnsi="宋体"/>
          <w:b/>
          <w:bCs/>
          <w:sz w:val="22"/>
        </w:rPr>
        <w:t>项目名称：</w:t>
      </w:r>
      <w:r>
        <w:rPr>
          <w:rFonts w:hint="eastAsia" w:ascii="宋体" w:hAnsi="宋体"/>
          <w:sz w:val="22"/>
          <w:lang w:eastAsia="zh-CN"/>
        </w:rPr>
        <w:t>麻醉科疼痛患者AI智能语音机器人系统采购项目（2022年）</w:t>
      </w:r>
    </w:p>
    <w:p>
      <w:pPr>
        <w:pStyle w:val="2"/>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b/>
          <w:bCs/>
          <w:sz w:val="22"/>
          <w:lang w:val="en-US" w:eastAsia="zh-CN"/>
        </w:rPr>
      </w:pPr>
      <w:r>
        <w:rPr>
          <w:rFonts w:hint="eastAsia" w:ascii="宋体" w:hAnsi="宋体"/>
          <w:b/>
          <w:bCs/>
          <w:sz w:val="22"/>
          <w:lang w:val="en-US" w:eastAsia="zh-CN"/>
        </w:rPr>
        <w:t>项目概述：</w:t>
      </w:r>
    </w:p>
    <w:p>
      <w:pPr>
        <w:pStyle w:val="2"/>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sz w:val="22"/>
          <w:lang w:val="en-US" w:eastAsia="zh-CN"/>
        </w:rPr>
      </w:pPr>
      <w:r>
        <w:rPr>
          <w:rFonts w:hint="eastAsia" w:ascii="宋体" w:hAnsi="宋体"/>
          <w:sz w:val="22"/>
          <w:lang w:val="en-US" w:eastAsia="zh-CN"/>
        </w:rPr>
        <w:t>麻醉科科研课题实施过程中需对老年疼痛患者进行关护和诊后情况监测，现需购买</w:t>
      </w:r>
      <w:r>
        <w:rPr>
          <w:rFonts w:hint="eastAsia" w:ascii="宋体" w:hAnsi="宋体"/>
          <w:sz w:val="22"/>
          <w:lang w:eastAsia="zh-CN"/>
        </w:rPr>
        <w:t>疼痛患者AI智能语音机器人系统</w:t>
      </w:r>
      <w:r>
        <w:rPr>
          <w:rFonts w:hint="eastAsia" w:ascii="宋体" w:hAnsi="宋体"/>
          <w:sz w:val="22"/>
          <w:lang w:val="en-US" w:eastAsia="zh-CN"/>
        </w:rPr>
        <w:t>及配套硬件，实现对疼痛患者相关医疗场景的逻辑设计与互动管理。</w:t>
      </w:r>
    </w:p>
    <w:p>
      <w:pPr>
        <w:pStyle w:val="2"/>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sz w:val="22"/>
          <w:lang w:val="en-US" w:eastAsia="zh-CN"/>
        </w:rPr>
      </w:pPr>
      <w:r>
        <w:rPr>
          <w:rFonts w:hint="eastAsia" w:ascii="宋体" w:hAnsi="宋体"/>
          <w:sz w:val="22"/>
          <w:lang w:val="en-US" w:eastAsia="zh-CN"/>
        </w:rPr>
        <w:t>系统应具备人机语言交互技术，即以语音信号识别为基础，搭配自然语言处理和对话管理技术，将语言输入信息提取、分析，最终通过语音合成或文字等方式输出并完成响应；系统应包</w:t>
      </w:r>
      <w:r>
        <w:rPr>
          <w:rFonts w:hint="eastAsia" w:ascii="宋体" w:hAnsi="宋体"/>
          <w:b w:val="0"/>
          <w:bCs w:val="0"/>
          <w:sz w:val="22"/>
          <w:lang w:val="en-US" w:eastAsia="zh-CN"/>
        </w:rPr>
        <w:t>括主线流程管理、分支流程管理、通话逻辑判断、意图/词槽映射和对话状态维护等功能，同时系统的意识识别模块应具备能够基于深度学习相关模型、规则匹配等实现单句意图识别、整轮意图识别、自主反馈与情况应对等功能</w:t>
      </w:r>
      <w:r>
        <w:rPr>
          <w:rFonts w:hint="eastAsia" w:ascii="宋体" w:hAnsi="宋体"/>
          <w:sz w:val="22"/>
          <w:lang w:val="en-US" w:eastAsia="zh-CN"/>
        </w:rPr>
        <w:t>（具体功能需求详见下文）。</w:t>
      </w:r>
    </w:p>
    <w:p>
      <w:pPr>
        <w:pStyle w:val="2"/>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sz w:val="22"/>
          <w:lang w:val="en-US" w:eastAsia="zh-CN"/>
        </w:rPr>
      </w:pPr>
      <w:bookmarkStart w:id="2" w:name="_GoBack"/>
      <w:bookmarkEnd w:id="2"/>
    </w:p>
    <w:p>
      <w:pPr>
        <w:pStyle w:val="3"/>
        <w:numPr>
          <w:ilvl w:val="0"/>
          <w:numId w:val="3"/>
        </w:numPr>
        <w:spacing w:before="0" w:after="0"/>
        <w:rPr>
          <w:rFonts w:ascii="宋体" w:hAnsi="宋体"/>
          <w:sz w:val="32"/>
          <w:szCs w:val="32"/>
        </w:rPr>
      </w:pPr>
      <w:r>
        <w:rPr>
          <w:rFonts w:hint="eastAsia" w:ascii="宋体" w:hAnsi="宋体"/>
          <w:sz w:val="32"/>
          <w:szCs w:val="32"/>
        </w:rPr>
        <w:t>项目</w:t>
      </w:r>
      <w:r>
        <w:rPr>
          <w:rFonts w:hint="eastAsia" w:ascii="宋体" w:hAnsi="宋体"/>
          <w:sz w:val="32"/>
          <w:szCs w:val="32"/>
          <w:lang w:val="en-US"/>
        </w:rPr>
        <w:t>建设内容及采购清单</w:t>
      </w:r>
    </w:p>
    <w:p>
      <w:pPr>
        <w:spacing w:line="360" w:lineRule="auto"/>
        <w:ind w:left="432"/>
        <w:rPr>
          <w:rFonts w:hint="eastAsia" w:ascii="宋体" w:hAnsi="宋体"/>
          <w:b/>
          <w:bCs/>
          <w:sz w:val="22"/>
          <w:lang w:val="en-US" w:eastAsia="zh-CN"/>
        </w:rPr>
      </w:pPr>
      <w:r>
        <w:rPr>
          <w:rFonts w:hint="eastAsia" w:ascii="宋体" w:hAnsi="宋体"/>
          <w:b/>
          <w:bCs/>
          <w:sz w:val="22"/>
          <w:lang w:val="en-US" w:eastAsia="zh-CN"/>
        </w:rPr>
        <w:t>（一）系统功能模块</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6"/>
        <w:gridCol w:w="3737"/>
        <w:gridCol w:w="2266"/>
        <w:gridCol w:w="2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656" w:type="dxa"/>
            <w:vAlign w:val="center"/>
          </w:tcPr>
          <w:p>
            <w:pPr>
              <w:jc w:val="center"/>
              <w:rPr>
                <w:b/>
                <w:bCs/>
              </w:rPr>
            </w:pPr>
            <w:r>
              <w:rPr>
                <w:rFonts w:hint="eastAsia"/>
                <w:b/>
                <w:bCs/>
              </w:rPr>
              <w:t>序号</w:t>
            </w:r>
          </w:p>
        </w:tc>
        <w:tc>
          <w:tcPr>
            <w:tcW w:w="3737" w:type="dxa"/>
            <w:vAlign w:val="center"/>
          </w:tcPr>
          <w:p>
            <w:pPr>
              <w:jc w:val="center"/>
              <w:rPr>
                <w:b/>
                <w:bCs/>
              </w:rPr>
            </w:pPr>
            <w:r>
              <w:rPr>
                <w:rFonts w:hint="eastAsia"/>
                <w:b/>
                <w:bCs/>
              </w:rPr>
              <w:t>系统名称</w:t>
            </w:r>
          </w:p>
        </w:tc>
        <w:tc>
          <w:tcPr>
            <w:tcW w:w="2266" w:type="dxa"/>
            <w:vAlign w:val="center"/>
          </w:tcPr>
          <w:p>
            <w:pPr>
              <w:jc w:val="center"/>
              <w:rPr>
                <w:b/>
                <w:bCs/>
              </w:rPr>
            </w:pPr>
            <w:r>
              <w:rPr>
                <w:rFonts w:hint="eastAsia"/>
                <w:b/>
                <w:bCs/>
              </w:rPr>
              <w:t>功能模块</w:t>
            </w:r>
          </w:p>
        </w:tc>
        <w:tc>
          <w:tcPr>
            <w:tcW w:w="2401" w:type="dxa"/>
            <w:vAlign w:val="center"/>
          </w:tcPr>
          <w:p>
            <w:pPr>
              <w:jc w:val="center"/>
              <w:rPr>
                <w:b/>
                <w:bCs/>
              </w:rPr>
            </w:pPr>
            <w:r>
              <w:rPr>
                <w:rFonts w:hint="eastAsia"/>
                <w:b/>
                <w:bCs/>
              </w:rPr>
              <w:t>数量及单位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exact"/>
        </w:trPr>
        <w:tc>
          <w:tcPr>
            <w:tcW w:w="656" w:type="dxa"/>
            <w:vAlign w:val="center"/>
          </w:tcPr>
          <w:p>
            <w:pPr>
              <w:jc w:val="center"/>
            </w:pPr>
            <w:r>
              <w:t>1</w:t>
            </w:r>
          </w:p>
        </w:tc>
        <w:tc>
          <w:tcPr>
            <w:tcW w:w="3737" w:type="dxa"/>
            <w:vAlign w:val="center"/>
          </w:tcPr>
          <w:p>
            <w:pPr>
              <w:jc w:val="center"/>
            </w:pPr>
            <w:r>
              <w:rPr>
                <w:rFonts w:hint="eastAsia"/>
                <w:lang w:eastAsia="zh-CN"/>
              </w:rPr>
              <w:t>疼痛患者AI智能语音机器人系统</w:t>
            </w:r>
          </w:p>
        </w:tc>
        <w:tc>
          <w:tcPr>
            <w:tcW w:w="2266" w:type="dxa"/>
            <w:vAlign w:val="center"/>
          </w:tcPr>
          <w:p>
            <w:pPr>
              <w:jc w:val="center"/>
              <w:rPr>
                <w:rFonts w:ascii="宋体" w:hAnsi="宋体"/>
              </w:rPr>
            </w:pPr>
            <w:r>
              <w:fldChar w:fldCharType="begin"/>
            </w:r>
            <w:r>
              <w:instrText xml:space="preserve"> HYPERLINK \l "_6.1.1、大数据服务器" </w:instrText>
            </w:r>
            <w:r>
              <w:fldChar w:fldCharType="separate"/>
            </w:r>
            <w:r>
              <w:rPr>
                <w:rFonts w:hint="eastAsia" w:ascii="宋体" w:hAnsi="宋体"/>
              </w:rPr>
              <w:t>配置详见3</w:t>
            </w:r>
            <w:r>
              <w:rPr>
                <w:rFonts w:ascii="宋体" w:hAnsi="宋体"/>
              </w:rPr>
              <w:t>.</w:t>
            </w:r>
            <w:r>
              <w:rPr>
                <w:rFonts w:hint="eastAsia" w:ascii="宋体" w:hAnsi="宋体"/>
              </w:rPr>
              <w:t>1.1</w:t>
            </w:r>
            <w:r>
              <w:rPr>
                <w:rFonts w:hint="eastAsia" w:ascii="宋体" w:hAnsi="宋体"/>
              </w:rPr>
              <w:fldChar w:fldCharType="end"/>
            </w:r>
          </w:p>
        </w:tc>
        <w:tc>
          <w:tcPr>
            <w:tcW w:w="2401" w:type="dxa"/>
            <w:vAlign w:val="center"/>
          </w:tcPr>
          <w:p>
            <w:pPr>
              <w:jc w:val="center"/>
            </w:pPr>
            <w:r>
              <w:rPr>
                <w:rFonts w:hint="eastAsia"/>
              </w:rPr>
              <w:t>1套</w:t>
            </w:r>
          </w:p>
        </w:tc>
      </w:tr>
    </w:tbl>
    <w:p>
      <w:pPr>
        <w:spacing w:line="360" w:lineRule="auto"/>
        <w:ind w:left="432"/>
        <w:rPr>
          <w:rFonts w:ascii="宋体" w:hAnsi="宋体"/>
          <w:b/>
          <w:bCs/>
          <w:sz w:val="22"/>
        </w:rPr>
      </w:pPr>
      <w:r>
        <w:rPr>
          <w:rFonts w:hint="eastAsia" w:ascii="宋体" w:hAnsi="宋体"/>
          <w:b/>
          <w:bCs/>
          <w:sz w:val="22"/>
        </w:rPr>
        <w:t>（二）</w:t>
      </w:r>
      <w:r>
        <w:rPr>
          <w:rFonts w:hint="eastAsia" w:ascii="宋体" w:hAnsi="宋体"/>
          <w:b/>
          <w:bCs/>
          <w:sz w:val="22"/>
          <w:lang w:val="en-US" w:eastAsia="zh-CN"/>
        </w:rPr>
        <w:t>配套资源</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117"/>
        <w:gridCol w:w="3922"/>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675" w:type="dxa"/>
            <w:vAlign w:val="center"/>
          </w:tcPr>
          <w:p>
            <w:pPr>
              <w:jc w:val="center"/>
              <w:rPr>
                <w:b/>
                <w:bCs/>
              </w:rPr>
            </w:pPr>
            <w:r>
              <w:rPr>
                <w:rFonts w:hint="eastAsia"/>
                <w:b/>
                <w:bCs/>
              </w:rPr>
              <w:t>序号</w:t>
            </w:r>
          </w:p>
        </w:tc>
        <w:tc>
          <w:tcPr>
            <w:tcW w:w="3117" w:type="dxa"/>
            <w:vAlign w:val="center"/>
          </w:tcPr>
          <w:p>
            <w:pPr>
              <w:jc w:val="center"/>
              <w:rPr>
                <w:b/>
                <w:bCs/>
              </w:rPr>
            </w:pPr>
            <w:r>
              <w:rPr>
                <w:rFonts w:hint="eastAsia"/>
                <w:b/>
                <w:bCs/>
              </w:rPr>
              <w:t>名称</w:t>
            </w:r>
          </w:p>
        </w:tc>
        <w:tc>
          <w:tcPr>
            <w:tcW w:w="3922" w:type="dxa"/>
            <w:vAlign w:val="center"/>
          </w:tcPr>
          <w:p>
            <w:pPr>
              <w:jc w:val="center"/>
              <w:rPr>
                <w:rFonts w:hint="default" w:eastAsia="宋体"/>
                <w:b/>
                <w:bCs/>
                <w:lang w:val="en-US" w:eastAsia="zh-CN"/>
              </w:rPr>
            </w:pPr>
            <w:r>
              <w:rPr>
                <w:rFonts w:hint="eastAsia"/>
                <w:b/>
                <w:bCs/>
                <w:lang w:val="en-US" w:eastAsia="zh-CN"/>
              </w:rPr>
              <w:t>硬件配置参数</w:t>
            </w:r>
          </w:p>
        </w:tc>
        <w:tc>
          <w:tcPr>
            <w:tcW w:w="1343" w:type="dxa"/>
            <w:vAlign w:val="center"/>
          </w:tcPr>
          <w:p>
            <w:pPr>
              <w:jc w:val="center"/>
              <w:rPr>
                <w:b/>
                <w:bCs/>
              </w:rPr>
            </w:pPr>
            <w:r>
              <w:rPr>
                <w:rFonts w:hint="eastAsia"/>
                <w:b/>
                <w:bCs/>
              </w:rPr>
              <w:t>数量及单位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75" w:type="dxa"/>
            <w:vAlign w:val="center"/>
          </w:tcPr>
          <w:p>
            <w:pPr>
              <w:jc w:val="center"/>
              <w:rPr>
                <w:rFonts w:hint="eastAsia" w:eastAsia="宋体"/>
                <w:lang w:val="en-US" w:eastAsia="zh-CN"/>
              </w:rPr>
            </w:pPr>
            <w:r>
              <w:rPr>
                <w:rFonts w:hint="eastAsia"/>
                <w:lang w:val="en-US" w:eastAsia="zh-CN"/>
              </w:rPr>
              <w:t>1</w:t>
            </w:r>
          </w:p>
        </w:tc>
        <w:tc>
          <w:tcPr>
            <w:tcW w:w="3117" w:type="dxa"/>
            <w:vAlign w:val="center"/>
          </w:tcPr>
          <w:p>
            <w:pPr>
              <w:jc w:val="center"/>
              <w:rPr>
                <w:rFonts w:hint="eastAsia" w:eastAsia="宋体"/>
                <w:lang w:val="en-US" w:eastAsia="zh-CN"/>
              </w:rPr>
            </w:pPr>
            <w:r>
              <w:rPr>
                <w:rFonts w:hint="eastAsia"/>
                <w:lang w:val="en-US" w:eastAsia="zh-CN"/>
              </w:rPr>
              <w:t>云</w:t>
            </w:r>
            <w:r>
              <w:rPr>
                <w:rFonts w:hint="eastAsia"/>
              </w:rPr>
              <w:t>服务器</w:t>
            </w:r>
            <w:r>
              <w:rPr>
                <w:rFonts w:hint="eastAsia"/>
                <w:highlight w:val="none"/>
                <w:lang w:eastAsia="zh-CN"/>
              </w:rPr>
              <w:t>（</w:t>
            </w:r>
            <w:r>
              <w:rPr>
                <w:rFonts w:hint="eastAsia"/>
                <w:highlight w:val="none"/>
                <w:lang w:val="en-US" w:eastAsia="zh-CN"/>
              </w:rPr>
              <w:t>租用3年</w:t>
            </w:r>
            <w:r>
              <w:rPr>
                <w:rFonts w:hint="eastAsia"/>
                <w:highlight w:val="none"/>
                <w:lang w:eastAsia="zh-CN"/>
              </w:rPr>
              <w:t>）</w:t>
            </w:r>
          </w:p>
        </w:tc>
        <w:tc>
          <w:tcPr>
            <w:tcW w:w="3922" w:type="dxa"/>
            <w:vAlign w:val="center"/>
          </w:tcPr>
          <w:p>
            <w:pPr>
              <w:jc w:val="center"/>
              <w:rPr>
                <w:rFonts w:hint="eastAsia" w:ascii="Times New Roman" w:hAnsi="Times New Roman" w:eastAsia="宋体" w:cs="Times New Roman"/>
                <w:kern w:val="2"/>
                <w:sz w:val="21"/>
                <w:szCs w:val="24"/>
                <w:lang w:val="en-US" w:eastAsia="zh-CN" w:bidi="ar-SA"/>
              </w:rPr>
            </w:pPr>
            <w:r>
              <w:fldChar w:fldCharType="begin"/>
            </w:r>
            <w:r>
              <w:instrText xml:space="preserve"> HYPERLINK \l "_6.1.1、大数据服务器" </w:instrText>
            </w:r>
            <w:r>
              <w:fldChar w:fldCharType="separate"/>
            </w:r>
            <w:r>
              <w:rPr>
                <w:rFonts w:hint="eastAsia" w:ascii="宋体" w:hAnsi="宋体"/>
              </w:rPr>
              <w:t>配置详见3</w:t>
            </w:r>
            <w:r>
              <w:rPr>
                <w:rFonts w:ascii="宋体" w:hAnsi="宋体"/>
              </w:rPr>
              <w:t>.</w:t>
            </w:r>
            <w:r>
              <w:rPr>
                <w:rFonts w:hint="eastAsia" w:ascii="宋体" w:hAnsi="宋体"/>
              </w:rPr>
              <w:t>1.</w:t>
            </w:r>
            <w:r>
              <w:rPr>
                <w:rFonts w:hint="eastAsia" w:ascii="宋体" w:hAnsi="宋体"/>
                <w:lang w:val="en-US" w:eastAsia="zh-CN"/>
              </w:rPr>
              <w:t>2</w:t>
            </w:r>
            <w:r>
              <w:rPr>
                <w:rFonts w:ascii="宋体" w:hAnsi="宋体"/>
              </w:rPr>
              <w:fldChar w:fldCharType="end"/>
            </w:r>
          </w:p>
        </w:tc>
        <w:tc>
          <w:tcPr>
            <w:tcW w:w="1343" w:type="dxa"/>
            <w:vAlign w:val="center"/>
          </w:tcPr>
          <w:p>
            <w:pPr>
              <w:jc w:val="center"/>
              <w:rPr>
                <w:rFonts w:hint="default" w:eastAsia="宋体"/>
                <w:color w:val="000000"/>
                <w:sz w:val="24"/>
                <w:lang w:val="en-US" w:eastAsia="zh-CN"/>
              </w:rPr>
            </w:pPr>
            <w:r>
              <w:rPr>
                <w:rFonts w:hint="eastAsia" w:ascii="宋体" w:hAnsi="宋体"/>
              </w:rPr>
              <w:t>1台</w:t>
            </w:r>
          </w:p>
        </w:tc>
      </w:tr>
    </w:tbl>
    <w:p>
      <w:pPr>
        <w:pStyle w:val="2"/>
        <w:rPr>
          <w:lang w:val="en-US"/>
        </w:rPr>
      </w:pPr>
    </w:p>
    <w:p>
      <w:pPr>
        <w:pStyle w:val="3"/>
        <w:numPr>
          <w:ilvl w:val="0"/>
          <w:numId w:val="3"/>
        </w:numPr>
        <w:spacing w:before="0" w:after="0"/>
        <w:rPr>
          <w:rFonts w:ascii="宋体" w:hAnsi="宋体"/>
          <w:sz w:val="32"/>
          <w:szCs w:val="32"/>
        </w:rPr>
      </w:pPr>
      <w:r>
        <w:rPr>
          <w:rFonts w:hint="eastAsia" w:ascii="宋体" w:hAnsi="宋体"/>
          <w:sz w:val="32"/>
          <w:szCs w:val="32"/>
          <w:lang w:val="en-US"/>
        </w:rPr>
        <w:t>系统</w:t>
      </w:r>
      <w:r>
        <w:rPr>
          <w:rFonts w:hint="eastAsia" w:ascii="宋体" w:hAnsi="宋体"/>
          <w:sz w:val="32"/>
          <w:szCs w:val="32"/>
        </w:rPr>
        <w:t>详细功能描述</w:t>
      </w:r>
      <w:r>
        <w:rPr>
          <w:rFonts w:hint="eastAsia" w:ascii="宋体" w:hAnsi="宋体"/>
          <w:sz w:val="32"/>
          <w:szCs w:val="32"/>
          <w:lang w:val="en-US"/>
        </w:rPr>
        <w:t>及</w:t>
      </w:r>
      <w:r>
        <w:rPr>
          <w:rFonts w:hint="eastAsia" w:ascii="宋体" w:hAnsi="宋体"/>
          <w:sz w:val="32"/>
          <w:szCs w:val="32"/>
          <w:lang w:val="en-US" w:eastAsia="zh-CN"/>
        </w:rPr>
        <w:t>存储</w:t>
      </w:r>
      <w:r>
        <w:rPr>
          <w:rFonts w:hint="eastAsia" w:ascii="宋体" w:hAnsi="宋体"/>
          <w:sz w:val="32"/>
          <w:szCs w:val="32"/>
          <w:lang w:val="en-US"/>
        </w:rPr>
        <w:t>资源配置参数</w:t>
      </w:r>
    </w:p>
    <w:p>
      <w:pPr>
        <w:spacing w:line="360" w:lineRule="auto"/>
        <w:ind w:left="432"/>
        <w:rPr>
          <w:sz w:val="24"/>
          <w:szCs w:val="32"/>
        </w:rPr>
      </w:pPr>
      <w:r>
        <w:rPr>
          <w:rFonts w:hint="eastAsia" w:ascii="宋体" w:hAnsi="宋体"/>
          <w:b/>
          <w:bCs/>
          <w:sz w:val="28"/>
          <w:szCs w:val="32"/>
        </w:rPr>
        <w:t>（一）</w:t>
      </w:r>
      <w:r>
        <w:rPr>
          <w:rFonts w:hint="eastAsia" w:ascii="宋体" w:hAnsi="宋体"/>
          <w:b/>
          <w:bCs/>
          <w:sz w:val="28"/>
          <w:szCs w:val="32"/>
          <w:lang w:val="en-US" w:eastAsia="zh-CN"/>
        </w:rPr>
        <w:t>系统</w:t>
      </w:r>
      <w:r>
        <w:rPr>
          <w:rFonts w:ascii="宋体" w:hAnsi="宋体"/>
          <w:b/>
          <w:bCs/>
          <w:sz w:val="28"/>
          <w:szCs w:val="32"/>
        </w:rPr>
        <w:t>功能</w:t>
      </w:r>
      <w:r>
        <w:rPr>
          <w:rFonts w:hint="eastAsia" w:ascii="宋体" w:hAnsi="宋体"/>
          <w:b/>
          <w:bCs/>
          <w:sz w:val="28"/>
          <w:szCs w:val="32"/>
        </w:rPr>
        <w:t>模块</w:t>
      </w:r>
    </w:p>
    <w:p>
      <w:pPr>
        <w:pStyle w:val="4"/>
        <w:spacing w:before="0" w:after="0"/>
        <w:rPr>
          <w:rFonts w:hint="eastAsia" w:ascii="宋体" w:hAnsi="宋体" w:eastAsia="宋体"/>
          <w:sz w:val="24"/>
          <w:szCs w:val="24"/>
        </w:rPr>
      </w:pPr>
      <w:bookmarkStart w:id="0" w:name="_6.1.1、大数据服务器"/>
      <w:bookmarkEnd w:id="0"/>
      <w:r>
        <w:rPr>
          <w:rFonts w:ascii="宋体" w:hAnsi="宋体" w:eastAsia="宋体"/>
          <w:sz w:val="24"/>
          <w:szCs w:val="24"/>
        </w:rPr>
        <w:t>3.1.1</w:t>
      </w:r>
      <w:r>
        <w:rPr>
          <w:rFonts w:hint="eastAsia" w:ascii="宋体" w:hAnsi="宋体" w:eastAsia="宋体"/>
          <w:sz w:val="24"/>
          <w:szCs w:val="24"/>
        </w:rPr>
        <w:t>、疼痛患者AI智能语音机器人系统</w:t>
      </w:r>
    </w:p>
    <w:tbl>
      <w:tblPr>
        <w:tblStyle w:val="21"/>
        <w:tblW w:w="9260" w:type="dxa"/>
        <w:tblInd w:w="0" w:type="dxa"/>
        <w:tblLayout w:type="autofit"/>
        <w:tblCellMar>
          <w:top w:w="0" w:type="dxa"/>
          <w:left w:w="108" w:type="dxa"/>
          <w:bottom w:w="0" w:type="dxa"/>
          <w:right w:w="108" w:type="dxa"/>
        </w:tblCellMar>
      </w:tblPr>
      <w:tblGrid>
        <w:gridCol w:w="1080"/>
        <w:gridCol w:w="1660"/>
        <w:gridCol w:w="2560"/>
        <w:gridCol w:w="3960"/>
      </w:tblGrid>
      <w:tr>
        <w:tblPrEx>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模块</w:t>
            </w: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功能</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功能描述</w:t>
            </w:r>
          </w:p>
        </w:tc>
      </w:tr>
      <w:tr>
        <w:tblPrEx>
          <w:tblCellMar>
            <w:top w:w="0" w:type="dxa"/>
            <w:left w:w="108" w:type="dxa"/>
            <w:bottom w:w="0" w:type="dxa"/>
            <w:right w:w="108" w:type="dxa"/>
          </w:tblCellMar>
        </w:tblPrEx>
        <w:trPr>
          <w:trHeight w:val="88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基础模块</w:t>
            </w: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账号管理模块</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对用户账号进行增加，修改，删除，设置管理</w:t>
            </w:r>
          </w:p>
        </w:tc>
      </w:tr>
      <w:tr>
        <w:tblPrEx>
          <w:tblCellMar>
            <w:top w:w="0" w:type="dxa"/>
            <w:left w:w="108" w:type="dxa"/>
            <w:bottom w:w="0" w:type="dxa"/>
            <w:right w:w="108" w:type="dxa"/>
          </w:tblCellMar>
        </w:tblPrEx>
        <w:trPr>
          <w:trHeight w:val="5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个人信息管理模块</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对个人信息详情进行编辑管理模块</w:t>
            </w:r>
          </w:p>
        </w:tc>
      </w:tr>
      <w:tr>
        <w:tblPrEx>
          <w:tblCellMar>
            <w:top w:w="0" w:type="dxa"/>
            <w:left w:w="108" w:type="dxa"/>
            <w:bottom w:w="0" w:type="dxa"/>
            <w:right w:w="108" w:type="dxa"/>
          </w:tblCellMar>
        </w:tblPrEx>
        <w:trPr>
          <w:trHeight w:val="96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权限管理模块</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定义不同角色（可包括主任、管理医生、一般医生、护士和患者）的操作权限</w:t>
            </w:r>
          </w:p>
        </w:tc>
      </w:tr>
      <w:tr>
        <w:tblPrEx>
          <w:tblCellMar>
            <w:top w:w="0" w:type="dxa"/>
            <w:left w:w="108" w:type="dxa"/>
            <w:bottom w:w="0" w:type="dxa"/>
            <w:right w:w="108" w:type="dxa"/>
          </w:tblCellMar>
        </w:tblPrEx>
        <w:trPr>
          <w:trHeight w:val="96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数据对接</w:t>
            </w: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基层架构</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支持XML和JSON格式数据传输，预留对接医院HIS/PACS/LIS接口，实现数据交互</w:t>
            </w:r>
          </w:p>
        </w:tc>
      </w:tr>
      <w:tr>
        <w:tblPrEx>
          <w:tblCellMar>
            <w:top w:w="0" w:type="dxa"/>
            <w:left w:w="108" w:type="dxa"/>
            <w:bottom w:w="0" w:type="dxa"/>
            <w:right w:w="108" w:type="dxa"/>
          </w:tblCellMar>
        </w:tblPrEx>
        <w:trPr>
          <w:trHeight w:val="1245"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输入输出</w:t>
            </w:r>
          </w:p>
        </w:tc>
        <w:tc>
          <w:tcPr>
            <w:tcW w:w="25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基层架构</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对不同的数据格式进行个性化定义，对数据有效性进行校验，数据质量控制，对数据提供标注功能，数据合法性验证</w:t>
            </w:r>
          </w:p>
        </w:tc>
      </w:tr>
      <w:tr>
        <w:tblPrEx>
          <w:tblCellMar>
            <w:top w:w="0" w:type="dxa"/>
            <w:left w:w="108" w:type="dxa"/>
            <w:bottom w:w="0" w:type="dxa"/>
            <w:right w:w="108" w:type="dxa"/>
          </w:tblCellMar>
        </w:tblPrEx>
        <w:trPr>
          <w:trHeight w:val="915"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AI设备管理子系统</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设备参数管理模块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对使用的终端设备(如：PAD）的相关运作情况进行管理</w:t>
            </w:r>
          </w:p>
        </w:tc>
      </w:tr>
      <w:tr>
        <w:tblPrEx>
          <w:tblCellMar>
            <w:top w:w="0" w:type="dxa"/>
            <w:left w:w="108" w:type="dxa"/>
            <w:bottom w:w="0" w:type="dxa"/>
            <w:right w:w="108" w:type="dxa"/>
          </w:tblCellMar>
        </w:tblPrEx>
        <w:trPr>
          <w:trHeight w:val="61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关系管理模块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对交互设备与病床的映射关系进行维护</w:t>
            </w:r>
          </w:p>
        </w:tc>
      </w:tr>
      <w:tr>
        <w:tblPrEx>
          <w:tblCellMar>
            <w:top w:w="0" w:type="dxa"/>
            <w:left w:w="108" w:type="dxa"/>
            <w:bottom w:w="0" w:type="dxa"/>
            <w:right w:w="108" w:type="dxa"/>
          </w:tblCellMar>
        </w:tblPrEx>
        <w:trPr>
          <w:trHeight w:val="91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交互设置模块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对患者交互的语音、语调、说话快慢等进行设置</w:t>
            </w:r>
          </w:p>
        </w:tc>
      </w:tr>
      <w:tr>
        <w:tblPrEx>
          <w:tblCellMar>
            <w:top w:w="0" w:type="dxa"/>
            <w:left w:w="108" w:type="dxa"/>
            <w:bottom w:w="0" w:type="dxa"/>
            <w:right w:w="108" w:type="dxa"/>
          </w:tblCellMar>
        </w:tblPrEx>
        <w:trPr>
          <w:trHeight w:val="1215"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疼痛患者AI方案管理子系统</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内容方案管理模块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对要进行的业务内容进行相关配置，如：需要的文字、图片和视频等进行相关匹配和配置</w:t>
            </w:r>
          </w:p>
        </w:tc>
      </w:tr>
      <w:tr>
        <w:tblPrEx>
          <w:tblCellMar>
            <w:top w:w="0" w:type="dxa"/>
            <w:left w:w="108" w:type="dxa"/>
            <w:bottom w:w="0" w:type="dxa"/>
            <w:right w:w="108" w:type="dxa"/>
          </w:tblCellMar>
        </w:tblPrEx>
        <w:trPr>
          <w:trHeight w:val="9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语音问答流程管理模块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对需要询问患者的相关问题瀑布流进行设计与交互响应进行流程化管理</w:t>
            </w:r>
          </w:p>
        </w:tc>
      </w:tr>
      <w:tr>
        <w:tblPrEx>
          <w:tblCellMar>
            <w:top w:w="0" w:type="dxa"/>
            <w:left w:w="108" w:type="dxa"/>
            <w:bottom w:w="0" w:type="dxa"/>
            <w:right w:w="108" w:type="dxa"/>
          </w:tblCellMar>
        </w:tblPrEx>
        <w:trPr>
          <w:trHeight w:val="5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方案逻辑控制管理模块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对响应患者的触发点进行设置和管理</w:t>
            </w:r>
          </w:p>
        </w:tc>
      </w:tr>
      <w:tr>
        <w:tblPrEx>
          <w:tblCellMar>
            <w:top w:w="0" w:type="dxa"/>
            <w:left w:w="108" w:type="dxa"/>
            <w:bottom w:w="0" w:type="dxa"/>
            <w:right w:w="108" w:type="dxa"/>
          </w:tblCellMar>
        </w:tblPrEx>
        <w:trPr>
          <w:trHeight w:val="840"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患者信息管理子系统</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病床患者信息采集模块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可通过接口自动获取指定病床患者相关所需数据</w:t>
            </w: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病床患者信息维护模块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可通过接口自动同步患者病情情况、检查情况、用药信息等到HIS系统</w:t>
            </w:r>
          </w:p>
        </w:tc>
      </w:tr>
      <w:tr>
        <w:tblPrEx>
          <w:tblCellMar>
            <w:top w:w="0" w:type="dxa"/>
            <w:left w:w="108" w:type="dxa"/>
            <w:bottom w:w="0" w:type="dxa"/>
            <w:right w:w="108" w:type="dxa"/>
          </w:tblCellMar>
        </w:tblPrEx>
        <w:trPr>
          <w:trHeight w:val="63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病床患者信息查询模块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支持模糊及多条件查询</w:t>
            </w:r>
          </w:p>
        </w:tc>
      </w:tr>
      <w:tr>
        <w:tblPrEx>
          <w:tblCellMar>
            <w:top w:w="0" w:type="dxa"/>
            <w:left w:w="108" w:type="dxa"/>
            <w:bottom w:w="0" w:type="dxa"/>
            <w:right w:w="108" w:type="dxa"/>
          </w:tblCellMar>
        </w:tblPrEx>
        <w:trPr>
          <w:trHeight w:val="6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病床患者信息导入与导出模块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支持多条件导入或导出</w:t>
            </w:r>
          </w:p>
        </w:tc>
      </w:tr>
      <w:tr>
        <w:tblPrEx>
          <w:tblCellMar>
            <w:top w:w="0" w:type="dxa"/>
            <w:left w:w="108" w:type="dxa"/>
            <w:bottom w:w="0" w:type="dxa"/>
            <w:right w:w="108" w:type="dxa"/>
          </w:tblCellMar>
        </w:tblPrEx>
        <w:trPr>
          <w:trHeight w:val="1020"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AI任务管理子系统</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对AI任务管理模块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对实施的任务情况进行管理（开始、终止、暂停等）</w:t>
            </w:r>
          </w:p>
        </w:tc>
      </w:tr>
      <w:tr>
        <w:tblPrEx>
          <w:tblCellMar>
            <w:top w:w="0" w:type="dxa"/>
            <w:left w:w="108" w:type="dxa"/>
            <w:bottom w:w="0" w:type="dxa"/>
            <w:right w:w="108" w:type="dxa"/>
          </w:tblCellMar>
        </w:tblPrEx>
        <w:trPr>
          <w:trHeight w:val="79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任务进度监控模块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可实现未完成情况告警，并对任务进度情况进行可视化</w:t>
            </w:r>
          </w:p>
        </w:tc>
      </w:tr>
      <w:tr>
        <w:tblPrEx>
          <w:tblCellMar>
            <w:top w:w="0" w:type="dxa"/>
            <w:left w:w="108" w:type="dxa"/>
            <w:bottom w:w="0" w:type="dxa"/>
            <w:right w:w="108" w:type="dxa"/>
          </w:tblCellMar>
        </w:tblPrEx>
        <w:trPr>
          <w:trHeight w:val="75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任务消息通知模块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对出现的异常情况及时通过短信的方式提醒医生/护士</w:t>
            </w:r>
          </w:p>
        </w:tc>
      </w:tr>
      <w:tr>
        <w:tblPrEx>
          <w:tblCellMar>
            <w:top w:w="0" w:type="dxa"/>
            <w:left w:w="108" w:type="dxa"/>
            <w:bottom w:w="0" w:type="dxa"/>
            <w:right w:w="108" w:type="dxa"/>
          </w:tblCellMar>
        </w:tblPrEx>
        <w:trPr>
          <w:trHeight w:val="525"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AI交互内容管理子系统</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任务相关图片管理模块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任务相关图片的设计与创建模块</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任务相关视频管理模块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任务相关视频的设计与创建模块</w:t>
            </w:r>
          </w:p>
        </w:tc>
      </w:tr>
      <w:tr>
        <w:tblPrEx>
          <w:tblCellMar>
            <w:top w:w="0" w:type="dxa"/>
            <w:left w:w="108" w:type="dxa"/>
            <w:bottom w:w="0" w:type="dxa"/>
            <w:right w:w="108" w:type="dxa"/>
          </w:tblCellMar>
        </w:tblPrEx>
        <w:trPr>
          <w:trHeight w:val="55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任务相关问答管理模块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机器人问答的设计与创建模块</w:t>
            </w:r>
          </w:p>
        </w:tc>
      </w:tr>
      <w:tr>
        <w:tblPrEx>
          <w:tblCellMar>
            <w:top w:w="0" w:type="dxa"/>
            <w:left w:w="108" w:type="dxa"/>
            <w:bottom w:w="0" w:type="dxa"/>
            <w:right w:w="108" w:type="dxa"/>
          </w:tblCellMar>
        </w:tblPrEx>
        <w:trPr>
          <w:trHeight w:val="52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任务相关模板管理模块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包括内容库管理和模板管理</w:t>
            </w:r>
          </w:p>
        </w:tc>
      </w:tr>
      <w:tr>
        <w:tblPrEx>
          <w:tblCellMar>
            <w:top w:w="0" w:type="dxa"/>
            <w:left w:w="108" w:type="dxa"/>
            <w:bottom w:w="0" w:type="dxa"/>
            <w:right w:w="108" w:type="dxa"/>
          </w:tblCellMar>
        </w:tblPrEx>
        <w:trPr>
          <w:trHeight w:val="52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任务相关内容检索模块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实现灵活的检索，条件设置与查询</w:t>
            </w:r>
          </w:p>
        </w:tc>
      </w:tr>
      <w:tr>
        <w:tblPrEx>
          <w:tblCellMar>
            <w:top w:w="0" w:type="dxa"/>
            <w:left w:w="108" w:type="dxa"/>
            <w:bottom w:w="0" w:type="dxa"/>
            <w:right w:w="108" w:type="dxa"/>
          </w:tblCellMar>
        </w:tblPrEx>
        <w:trPr>
          <w:trHeight w:val="810"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AI语音识别解析子系统</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机器人语义建模模块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根据不同应用场景完成所需患教交互的语义建模</w:t>
            </w:r>
          </w:p>
        </w:tc>
      </w:tr>
      <w:tr>
        <w:tblPrEx>
          <w:tblCellMar>
            <w:top w:w="0" w:type="dxa"/>
            <w:left w:w="108" w:type="dxa"/>
            <w:bottom w:w="0" w:type="dxa"/>
            <w:right w:w="108" w:type="dxa"/>
          </w:tblCellMar>
        </w:tblPrEx>
        <w:trPr>
          <w:trHeight w:val="61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机器人语音拟合模块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医学AI能力平台中英文语音合成</w:t>
            </w:r>
          </w:p>
        </w:tc>
      </w:tr>
      <w:tr>
        <w:tblPrEx>
          <w:tblCellMar>
            <w:top w:w="0" w:type="dxa"/>
            <w:left w:w="108" w:type="dxa"/>
            <w:bottom w:w="0" w:type="dxa"/>
            <w:right w:w="108" w:type="dxa"/>
          </w:tblCellMar>
        </w:tblPrEx>
        <w:trPr>
          <w:trHeight w:val="85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语音分析模块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获取识别引擎的文本后对患者说话的意图进行理解吗，支持上下文分析</w:t>
            </w:r>
          </w:p>
        </w:tc>
      </w:tr>
      <w:tr>
        <w:tblPrEx>
          <w:tblCellMar>
            <w:top w:w="0" w:type="dxa"/>
            <w:left w:w="108" w:type="dxa"/>
            <w:bottom w:w="0" w:type="dxa"/>
            <w:right w:w="108" w:type="dxa"/>
          </w:tblCellMar>
        </w:tblPrEx>
        <w:trPr>
          <w:trHeight w:val="70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语音转换模块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语音转化成文字并形成标准的格式化数据</w:t>
            </w:r>
          </w:p>
        </w:tc>
      </w:tr>
      <w:tr>
        <w:tblPrEx>
          <w:tblCellMar>
            <w:top w:w="0" w:type="dxa"/>
            <w:left w:w="108" w:type="dxa"/>
            <w:bottom w:w="0" w:type="dxa"/>
            <w:right w:w="108" w:type="dxa"/>
          </w:tblCellMar>
        </w:tblPrEx>
        <w:trPr>
          <w:trHeight w:val="51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自然语义分析范式模块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自然语义识别的数据模型</w:t>
            </w:r>
          </w:p>
        </w:tc>
      </w:tr>
      <w:tr>
        <w:tblPrEx>
          <w:tblCellMar>
            <w:top w:w="0" w:type="dxa"/>
            <w:left w:w="108" w:type="dxa"/>
            <w:bottom w:w="0" w:type="dxa"/>
            <w:right w:w="108" w:type="dxa"/>
          </w:tblCellMar>
        </w:tblPrEx>
        <w:trPr>
          <w:trHeight w:val="9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语音数据智能结构化模块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形成标准的语义数据结构</w:t>
            </w:r>
          </w:p>
        </w:tc>
      </w:tr>
      <w:tr>
        <w:tblPrEx>
          <w:tblCellMar>
            <w:top w:w="0" w:type="dxa"/>
            <w:left w:w="108" w:type="dxa"/>
            <w:bottom w:w="0" w:type="dxa"/>
            <w:right w:w="108" w:type="dxa"/>
          </w:tblCellMar>
        </w:tblPrEx>
        <w:trPr>
          <w:trHeight w:val="9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语音数据过滤与提取模块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过滤噪音及非关键信息</w:t>
            </w:r>
          </w:p>
        </w:tc>
      </w:tr>
      <w:tr>
        <w:tblPrEx>
          <w:tblCellMar>
            <w:top w:w="0" w:type="dxa"/>
            <w:left w:w="108" w:type="dxa"/>
            <w:bottom w:w="0" w:type="dxa"/>
            <w:right w:w="108" w:type="dxa"/>
          </w:tblCellMar>
        </w:tblPrEx>
        <w:trPr>
          <w:trHeight w:val="76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关键字标识矩阵模块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能实现对关键标识（或指标）智能化的分层分级</w:t>
            </w:r>
          </w:p>
        </w:tc>
      </w:tr>
      <w:tr>
        <w:tblPrEx>
          <w:tblCellMar>
            <w:top w:w="0" w:type="dxa"/>
            <w:left w:w="108" w:type="dxa"/>
            <w:bottom w:w="0" w:type="dxa"/>
            <w:right w:w="108" w:type="dxa"/>
          </w:tblCellMar>
        </w:tblPrEx>
        <w:trPr>
          <w:trHeight w:val="55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关键字结构化模块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形成标准的文本数据结构</w:t>
            </w:r>
          </w:p>
        </w:tc>
      </w:tr>
      <w:tr>
        <w:tblPrEx>
          <w:tblCellMar>
            <w:top w:w="0" w:type="dxa"/>
            <w:left w:w="108" w:type="dxa"/>
            <w:bottom w:w="0" w:type="dxa"/>
            <w:right w:w="108" w:type="dxa"/>
          </w:tblCellMar>
        </w:tblPrEx>
        <w:trPr>
          <w:trHeight w:val="109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AI患教触发矩阵模块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按照任务计划，机器人可实现规律（固定周期和频率）的自动触发式任务和非规律的自动唤醒</w:t>
            </w:r>
          </w:p>
        </w:tc>
      </w:tr>
      <w:tr>
        <w:tblPrEx>
          <w:tblCellMar>
            <w:top w:w="0" w:type="dxa"/>
            <w:left w:w="108" w:type="dxa"/>
            <w:bottom w:w="0" w:type="dxa"/>
            <w:right w:w="108" w:type="dxa"/>
          </w:tblCellMar>
        </w:tblPrEx>
        <w:trPr>
          <w:trHeight w:val="123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语音数据库自反馈控制模块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创建学习语义知识库，能依据神经网络学习模型进行自主学习升级提高与患者的交互能力</w:t>
            </w:r>
          </w:p>
        </w:tc>
      </w:tr>
      <w:tr>
        <w:tblPrEx>
          <w:tblCellMar>
            <w:top w:w="0" w:type="dxa"/>
            <w:left w:w="108" w:type="dxa"/>
            <w:bottom w:w="0" w:type="dxa"/>
            <w:right w:w="108" w:type="dxa"/>
          </w:tblCellMar>
        </w:tblPrEx>
        <w:trPr>
          <w:trHeight w:val="780"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AI路径管理子系统</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AI路径设置模块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可针对不同类型的术后患者自定义患教路径</w:t>
            </w:r>
          </w:p>
        </w:tc>
      </w:tr>
      <w:tr>
        <w:tblPrEx>
          <w:tblCellMar>
            <w:top w:w="0" w:type="dxa"/>
            <w:left w:w="108" w:type="dxa"/>
            <w:bottom w:w="0" w:type="dxa"/>
            <w:right w:w="108" w:type="dxa"/>
          </w:tblCellMar>
        </w:tblPrEx>
        <w:trPr>
          <w:trHeight w:val="94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AI执行规则设置模块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患教周期，相关患教内容的推送频率，提醒方式的设定</w:t>
            </w:r>
          </w:p>
        </w:tc>
      </w:tr>
      <w:tr>
        <w:tblPrEx>
          <w:tblCellMar>
            <w:top w:w="0" w:type="dxa"/>
            <w:left w:w="108" w:type="dxa"/>
            <w:bottom w:w="0" w:type="dxa"/>
            <w:right w:w="108" w:type="dxa"/>
          </w:tblCellMar>
        </w:tblPrEx>
        <w:trPr>
          <w:trHeight w:val="91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AI分层识别模块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按设定标识情况对术后患者群体进行疼痛自动的分层分级</w:t>
            </w:r>
          </w:p>
        </w:tc>
      </w:tr>
      <w:tr>
        <w:tblPrEx>
          <w:tblCellMar>
            <w:top w:w="0" w:type="dxa"/>
            <w:left w:w="108" w:type="dxa"/>
            <w:bottom w:w="0" w:type="dxa"/>
            <w:right w:w="108" w:type="dxa"/>
          </w:tblCellMar>
        </w:tblPrEx>
        <w:trPr>
          <w:trHeight w:val="1095"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AI记录管理子系统</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AI执行记录管理模块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查看该患者记录的详细信息，包括患者查看的具体内容、患者的所提问题、时长</w:t>
            </w:r>
          </w:p>
        </w:tc>
      </w:tr>
      <w:tr>
        <w:tblPrEx>
          <w:tblCellMar>
            <w:top w:w="0" w:type="dxa"/>
            <w:left w:w="108" w:type="dxa"/>
            <w:bottom w:w="0" w:type="dxa"/>
            <w:right w:w="108" w:type="dxa"/>
          </w:tblCellMar>
        </w:tblPrEx>
        <w:trPr>
          <w:trHeight w:val="139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AI执行异常记录管理模块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针对任务执行过程中的异常情况，查看该患者主要包括异常状态、异常原因等，可进行通话录音回听，进一步明确异常情况。</w:t>
            </w:r>
          </w:p>
        </w:tc>
      </w:tr>
      <w:tr>
        <w:tblPrEx>
          <w:tblCellMar>
            <w:top w:w="0" w:type="dxa"/>
            <w:left w:w="108" w:type="dxa"/>
            <w:bottom w:w="0" w:type="dxa"/>
            <w:right w:w="108" w:type="dxa"/>
          </w:tblCellMar>
        </w:tblPrEx>
        <w:trPr>
          <w:trHeight w:val="1245"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AI语音问答管理子系统</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问题意图识别</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问题意图识别适用于对疼痛情况进行咨询的场景，帮助疼痛患者解决一些跟疼痛相关的常识性问题</w:t>
            </w:r>
          </w:p>
        </w:tc>
      </w:tr>
      <w:tr>
        <w:tblPrEx>
          <w:tblCellMar>
            <w:top w:w="0" w:type="dxa"/>
            <w:left w:w="108" w:type="dxa"/>
            <w:bottom w:w="0" w:type="dxa"/>
            <w:right w:w="108" w:type="dxa"/>
          </w:tblCellMar>
        </w:tblPrEx>
        <w:trPr>
          <w:trHeight w:val="9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问答资源管理</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能够针对每一位患者定制不一样的问答内容，实现多样化，人性化管理</w:t>
            </w:r>
          </w:p>
        </w:tc>
      </w:tr>
      <w:tr>
        <w:tblPrEx>
          <w:tblCellMar>
            <w:top w:w="0" w:type="dxa"/>
            <w:left w:w="108" w:type="dxa"/>
            <w:bottom w:w="0" w:type="dxa"/>
            <w:right w:w="108" w:type="dxa"/>
          </w:tblCellMar>
        </w:tblPrEx>
        <w:trPr>
          <w:trHeight w:val="168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问答内容管理</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问答内容主要对一些通用的、常见的词集进行维护管理，如疼痛症状描述、相关药品等。便于机器人快速引用业务名称（参数）进行数据收集</w:t>
            </w:r>
          </w:p>
        </w:tc>
      </w:tr>
      <w:tr>
        <w:tblPrEx>
          <w:tblCellMar>
            <w:top w:w="0" w:type="dxa"/>
            <w:left w:w="108" w:type="dxa"/>
            <w:bottom w:w="0" w:type="dxa"/>
            <w:right w:w="108" w:type="dxa"/>
          </w:tblCellMar>
        </w:tblPrEx>
        <w:trPr>
          <w:trHeight w:val="1020"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疼痛患者智能风险评估子系统</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疼痛患者分层分级管理模块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对不同的患教患者的疼痛情况进行分层分级，自动采用不同的措施应对</w:t>
            </w:r>
          </w:p>
        </w:tc>
      </w:tr>
      <w:tr>
        <w:tblPrEx>
          <w:tblCellMar>
            <w:top w:w="0" w:type="dxa"/>
            <w:left w:w="108" w:type="dxa"/>
            <w:bottom w:w="0" w:type="dxa"/>
            <w:right w:w="108" w:type="dxa"/>
          </w:tblCellMar>
        </w:tblPrEx>
        <w:trPr>
          <w:trHeight w:val="6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疼痛患者风险预警阈值设置模块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提供阈值自动告警处理机制</w:t>
            </w:r>
          </w:p>
        </w:tc>
      </w:tr>
      <w:tr>
        <w:tblPrEx>
          <w:tblCellMar>
            <w:top w:w="0" w:type="dxa"/>
            <w:left w:w="108" w:type="dxa"/>
            <w:bottom w:w="0" w:type="dxa"/>
            <w:right w:w="108" w:type="dxa"/>
          </w:tblCellMar>
        </w:tblPrEx>
        <w:trPr>
          <w:trHeight w:val="72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疼痛患者风险监控模块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对风险进行监控和评估</w:t>
            </w:r>
          </w:p>
        </w:tc>
      </w:tr>
      <w:tr>
        <w:tblPrEx>
          <w:tblCellMar>
            <w:top w:w="0" w:type="dxa"/>
            <w:left w:w="108" w:type="dxa"/>
            <w:bottom w:w="0" w:type="dxa"/>
            <w:right w:w="108" w:type="dxa"/>
          </w:tblCellMar>
        </w:tblPrEx>
        <w:trPr>
          <w:trHeight w:val="73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疼痛患者风险提示模块</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通过多渠道多形式的消息提醒机制</w:t>
            </w:r>
          </w:p>
        </w:tc>
      </w:tr>
      <w:tr>
        <w:tblPrEx>
          <w:tblCellMar>
            <w:top w:w="0" w:type="dxa"/>
            <w:left w:w="108" w:type="dxa"/>
            <w:bottom w:w="0" w:type="dxa"/>
            <w:right w:w="108" w:type="dxa"/>
          </w:tblCellMar>
        </w:tblPrEx>
        <w:trPr>
          <w:trHeight w:val="1170"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中心信息统计看板子系统</w:t>
            </w: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今日统计</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支持当日多维度的交互统计概览，包括总人数、热点问题、疼痛情况概览、患者问题反馈等</w:t>
            </w:r>
          </w:p>
        </w:tc>
      </w:tr>
      <w:tr>
        <w:tblPrEx>
          <w:tblCellMar>
            <w:top w:w="0" w:type="dxa"/>
            <w:left w:w="108" w:type="dxa"/>
            <w:bottom w:w="0" w:type="dxa"/>
            <w:right w:w="108" w:type="dxa"/>
          </w:tblCellMar>
        </w:tblPrEx>
        <w:trPr>
          <w:trHeight w:val="9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今日待办</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直观展示医生、护士今日待办任务情况，包括异常任务待办、任务待办等</w:t>
            </w:r>
          </w:p>
        </w:tc>
      </w:tr>
      <w:tr>
        <w:tblPrEx>
          <w:tblCellMar>
            <w:top w:w="0" w:type="dxa"/>
            <w:left w:w="108" w:type="dxa"/>
            <w:bottom w:w="0" w:type="dxa"/>
            <w:right w:w="108" w:type="dxa"/>
          </w:tblCellMar>
        </w:tblPrEx>
        <w:trPr>
          <w:trHeight w:val="82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患者访视情况统计</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支持月度整体患者访视情况统计，以可视化柱状图展示</w:t>
            </w:r>
          </w:p>
        </w:tc>
      </w:tr>
      <w:tr>
        <w:tblPrEx>
          <w:tblCellMar>
            <w:top w:w="0" w:type="dxa"/>
            <w:left w:w="108" w:type="dxa"/>
            <w:bottom w:w="0" w:type="dxa"/>
            <w:right w:w="108" w:type="dxa"/>
          </w:tblCellMar>
        </w:tblPrEx>
        <w:trPr>
          <w:trHeight w:val="52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通知公告</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日常消息提醒、系统更新提醒等</w:t>
            </w:r>
          </w:p>
        </w:tc>
      </w:tr>
      <w:tr>
        <w:tblPrEx>
          <w:tblCellMar>
            <w:top w:w="0" w:type="dxa"/>
            <w:left w:w="108" w:type="dxa"/>
            <w:bottom w:w="0" w:type="dxa"/>
            <w:right w:w="108" w:type="dxa"/>
          </w:tblCellMar>
        </w:tblPrEx>
        <w:trPr>
          <w:trHeight w:val="900"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系统维护子模块</w:t>
            </w: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系统帮助模块</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对创建表单的操作方式进行提示和引导的模块</w:t>
            </w:r>
          </w:p>
        </w:tc>
      </w:tr>
      <w:tr>
        <w:tblPrEx>
          <w:tblCellMar>
            <w:top w:w="0" w:type="dxa"/>
            <w:left w:w="108" w:type="dxa"/>
            <w:bottom w:w="0" w:type="dxa"/>
            <w:right w:w="108" w:type="dxa"/>
          </w:tblCellMar>
        </w:tblPrEx>
        <w:trPr>
          <w:trHeight w:val="45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日志管理模块</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对相关系统操作进行记录并形成文档</w:t>
            </w:r>
          </w:p>
        </w:tc>
      </w:tr>
      <w:tr>
        <w:tblPrEx>
          <w:tblCellMar>
            <w:top w:w="0" w:type="dxa"/>
            <w:left w:w="108" w:type="dxa"/>
            <w:bottom w:w="0" w:type="dxa"/>
            <w:right w:w="108" w:type="dxa"/>
          </w:tblCellMar>
        </w:tblPrEx>
        <w:trPr>
          <w:trHeight w:val="43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服务申请模块</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对业务服务发起申请的模块</w:t>
            </w:r>
          </w:p>
        </w:tc>
      </w:tr>
      <w:tr>
        <w:tblPrEx>
          <w:tblCellMar>
            <w:top w:w="0" w:type="dxa"/>
            <w:left w:w="108" w:type="dxa"/>
            <w:bottom w:w="0" w:type="dxa"/>
            <w:right w:w="108" w:type="dxa"/>
          </w:tblCellMar>
        </w:tblPrEx>
        <w:trPr>
          <w:trHeight w:val="58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版本管理模块</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实现版本控制及升级</w:t>
            </w:r>
          </w:p>
        </w:tc>
      </w:tr>
      <w:tr>
        <w:tblPrEx>
          <w:tblCellMar>
            <w:top w:w="0" w:type="dxa"/>
            <w:left w:w="108" w:type="dxa"/>
            <w:bottom w:w="0" w:type="dxa"/>
            <w:right w:w="108" w:type="dxa"/>
          </w:tblCellMar>
        </w:tblPrEx>
        <w:trPr>
          <w:trHeight w:val="18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数据安全管理</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采取7层数据安全策略，数据采集安全、数据传输安全、数据存储安全、数据处理安全、数据访问安全、数据备份安全、数据协作安全，全方位保证数据的安全性</w:t>
            </w:r>
          </w:p>
        </w:tc>
      </w:tr>
      <w:tr>
        <w:tblPrEx>
          <w:tblCellMar>
            <w:top w:w="0" w:type="dxa"/>
            <w:left w:w="108" w:type="dxa"/>
            <w:bottom w:w="0" w:type="dxa"/>
            <w:right w:w="108" w:type="dxa"/>
          </w:tblCellMar>
        </w:tblPrEx>
        <w:trPr>
          <w:trHeight w:val="73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数据库备份</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对数据库的数据进行定期备份以防止丢失</w:t>
            </w:r>
          </w:p>
        </w:tc>
      </w:tr>
      <w:tr>
        <w:tblPrEx>
          <w:tblCellMar>
            <w:top w:w="0" w:type="dxa"/>
            <w:left w:w="108" w:type="dxa"/>
            <w:bottom w:w="0" w:type="dxa"/>
            <w:right w:w="108" w:type="dxa"/>
          </w:tblCellMar>
        </w:tblPrEx>
        <w:trPr>
          <w:trHeight w:val="75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1"/>
                <w:szCs w:val="21"/>
              </w:rPr>
            </w:pP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服务器维护</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对数据库的正常运行进行维护</w:t>
            </w:r>
          </w:p>
        </w:tc>
      </w:tr>
      <w:tr>
        <w:tblPrEx>
          <w:tblCellMar>
            <w:top w:w="0" w:type="dxa"/>
            <w:left w:w="108" w:type="dxa"/>
            <w:bottom w:w="0" w:type="dxa"/>
            <w:right w:w="108" w:type="dxa"/>
          </w:tblCellMar>
        </w:tblPrEx>
        <w:trPr>
          <w:trHeight w:val="806" w:hRule="atLeast"/>
        </w:trPr>
        <w:tc>
          <w:tcPr>
            <w:tcW w:w="1080" w:type="dxa"/>
            <w:vMerge w:val="restart"/>
            <w:tcBorders>
              <w:top w:val="single" w:color="auto" w:sz="4" w:space="0"/>
              <w:left w:val="single" w:color="auto" w:sz="4" w:space="0"/>
              <w:right w:val="single" w:color="auto" w:sz="4" w:space="0"/>
            </w:tcBorders>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16</w:t>
            </w:r>
          </w:p>
        </w:tc>
        <w:tc>
          <w:tcPr>
            <w:tcW w:w="1660" w:type="dxa"/>
            <w:vMerge w:val="restart"/>
            <w:tcBorders>
              <w:top w:val="single" w:color="auto" w:sz="4" w:space="0"/>
              <w:left w:val="single" w:color="auto" w:sz="4" w:space="0"/>
              <w:right w:val="single" w:color="auto" w:sz="4" w:space="0"/>
            </w:tcBorders>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highlight w:val="none"/>
                <w:lang w:val="en-US" w:eastAsia="zh-CN"/>
              </w:rPr>
              <w:t>移动应用系统</w:t>
            </w: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AI语言沟通发起</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根据后台设置的场景指令和内容监测患者的状态，发起对话，开展语音沟通</w:t>
            </w:r>
            <w:r>
              <w:rPr>
                <w:rFonts w:hint="eastAsia" w:ascii="宋体" w:hAnsi="宋体" w:cs="宋体"/>
                <w:color w:val="000000"/>
                <w:kern w:val="0"/>
                <w:sz w:val="21"/>
                <w:szCs w:val="21"/>
                <w:lang w:eastAsia="zh-CN"/>
              </w:rPr>
              <w:t>。</w:t>
            </w:r>
          </w:p>
        </w:tc>
      </w:tr>
      <w:tr>
        <w:tblPrEx>
          <w:tblCellMar>
            <w:top w:w="0" w:type="dxa"/>
            <w:left w:w="108" w:type="dxa"/>
            <w:bottom w:w="0" w:type="dxa"/>
            <w:right w:w="108" w:type="dxa"/>
          </w:tblCellMar>
        </w:tblPrEx>
        <w:trPr>
          <w:trHeight w:val="687" w:hRule="atLeast"/>
        </w:trPr>
        <w:tc>
          <w:tcPr>
            <w:tcW w:w="1080" w:type="dxa"/>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 w:val="21"/>
                <w:szCs w:val="21"/>
                <w:lang w:val="en-US" w:eastAsia="zh-CN"/>
              </w:rPr>
            </w:pPr>
          </w:p>
        </w:tc>
        <w:tc>
          <w:tcPr>
            <w:tcW w:w="1660" w:type="dxa"/>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 w:val="21"/>
                <w:szCs w:val="21"/>
                <w:highlight w:val="yellow"/>
                <w:lang w:val="en-US" w:eastAsia="zh-CN"/>
              </w:rPr>
            </w:pP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AI语音结果采集</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识别患者的回答内容并进行数据采集与传输</w:t>
            </w:r>
            <w:r>
              <w:rPr>
                <w:rFonts w:hint="eastAsia" w:ascii="宋体" w:hAnsi="宋体" w:cs="宋体"/>
                <w:color w:val="000000"/>
                <w:kern w:val="0"/>
                <w:sz w:val="21"/>
                <w:szCs w:val="21"/>
                <w:lang w:eastAsia="zh-CN"/>
              </w:rPr>
              <w:t>。</w:t>
            </w:r>
          </w:p>
        </w:tc>
      </w:tr>
      <w:tr>
        <w:tblPrEx>
          <w:tblCellMar>
            <w:top w:w="0" w:type="dxa"/>
            <w:left w:w="108" w:type="dxa"/>
            <w:bottom w:w="0" w:type="dxa"/>
            <w:right w:w="108" w:type="dxa"/>
          </w:tblCellMar>
        </w:tblPrEx>
        <w:trPr>
          <w:trHeight w:val="736" w:hRule="atLeast"/>
        </w:trPr>
        <w:tc>
          <w:tcPr>
            <w:tcW w:w="1080" w:type="dxa"/>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 w:val="21"/>
                <w:szCs w:val="21"/>
                <w:lang w:val="en-US" w:eastAsia="zh-CN"/>
              </w:rPr>
            </w:pPr>
          </w:p>
        </w:tc>
        <w:tc>
          <w:tcPr>
            <w:tcW w:w="1660" w:type="dxa"/>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 w:val="21"/>
                <w:szCs w:val="21"/>
                <w:highlight w:val="yellow"/>
                <w:lang w:val="en-US" w:eastAsia="zh-CN"/>
              </w:rPr>
            </w:pP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个性化患教</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判断患者状态，为患者进行患教内容传达</w:t>
            </w:r>
            <w:r>
              <w:rPr>
                <w:rFonts w:hint="eastAsia" w:ascii="宋体" w:hAnsi="宋体" w:cs="宋体"/>
                <w:color w:val="000000"/>
                <w:kern w:val="0"/>
                <w:sz w:val="21"/>
                <w:szCs w:val="21"/>
                <w:lang w:eastAsia="zh-CN"/>
              </w:rPr>
              <w:t>。</w:t>
            </w:r>
          </w:p>
        </w:tc>
      </w:tr>
      <w:tr>
        <w:tblPrEx>
          <w:tblCellMar>
            <w:top w:w="0" w:type="dxa"/>
            <w:left w:w="108" w:type="dxa"/>
            <w:bottom w:w="0" w:type="dxa"/>
            <w:right w:w="108" w:type="dxa"/>
          </w:tblCellMar>
        </w:tblPrEx>
        <w:trPr>
          <w:trHeight w:val="985" w:hRule="atLeast"/>
        </w:trPr>
        <w:tc>
          <w:tcPr>
            <w:tcW w:w="1080"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1"/>
                <w:szCs w:val="21"/>
                <w:lang w:val="en-US" w:eastAsia="zh-CN"/>
              </w:rPr>
            </w:pPr>
          </w:p>
        </w:tc>
        <w:tc>
          <w:tcPr>
            <w:tcW w:w="1660"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1"/>
                <w:szCs w:val="21"/>
                <w:highlight w:val="yellow"/>
                <w:lang w:val="en-US" w:eastAsia="zh-CN"/>
              </w:rPr>
            </w:pP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疼痛问题处置</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在判断到患者疼痛需要协助时候传达其处置方式，并能将需要协助的信息传达给护士</w:t>
            </w:r>
            <w:r>
              <w:rPr>
                <w:rFonts w:hint="eastAsia" w:ascii="宋体" w:hAnsi="宋体" w:cs="宋体"/>
                <w:color w:val="000000"/>
                <w:kern w:val="0"/>
                <w:sz w:val="21"/>
                <w:szCs w:val="21"/>
                <w:lang w:eastAsia="zh-CN"/>
              </w:rPr>
              <w:t>。</w:t>
            </w:r>
          </w:p>
        </w:tc>
      </w:tr>
    </w:tbl>
    <w:p/>
    <w:p>
      <w:pPr>
        <w:spacing w:line="360" w:lineRule="auto"/>
        <w:rPr>
          <w:rFonts w:ascii="宋体" w:hAnsi="宋体"/>
          <w:b/>
          <w:bCs/>
          <w:sz w:val="28"/>
          <w:szCs w:val="32"/>
        </w:rPr>
      </w:pPr>
      <w:bookmarkStart w:id="1" w:name="_6.1.2、容器服务器"/>
      <w:bookmarkEnd w:id="1"/>
      <w:r>
        <w:rPr>
          <w:rFonts w:hint="eastAsia" w:ascii="宋体" w:hAnsi="宋体"/>
          <w:b/>
          <w:bCs/>
          <w:sz w:val="28"/>
          <w:szCs w:val="32"/>
        </w:rPr>
        <w:t>（二）</w:t>
      </w:r>
      <w:r>
        <w:rPr>
          <w:rFonts w:hint="eastAsia" w:ascii="宋体" w:hAnsi="宋体"/>
          <w:b/>
          <w:bCs/>
          <w:sz w:val="28"/>
          <w:szCs w:val="32"/>
          <w:lang w:val="en-US" w:eastAsia="zh-CN"/>
        </w:rPr>
        <w:t>配套资源</w:t>
      </w:r>
    </w:p>
    <w:p>
      <w:pPr>
        <w:pStyle w:val="4"/>
        <w:rPr>
          <w:rFonts w:hint="eastAsia" w:ascii="宋体" w:hAnsi="宋体" w:eastAsia="宋体"/>
          <w:sz w:val="24"/>
          <w:szCs w:val="24"/>
          <w:lang w:val="en-US" w:eastAsia="zh-CN"/>
        </w:rPr>
      </w:pPr>
      <w:r>
        <w:rPr>
          <w:rFonts w:hint="eastAsia" w:ascii="宋体" w:hAnsi="宋体" w:eastAsia="宋体"/>
          <w:sz w:val="24"/>
          <w:szCs w:val="24"/>
        </w:rPr>
        <w:t>3</w:t>
      </w:r>
      <w:r>
        <w:rPr>
          <w:rFonts w:ascii="宋体" w:hAnsi="宋体" w:eastAsia="宋体"/>
          <w:sz w:val="24"/>
          <w:szCs w:val="24"/>
        </w:rPr>
        <w:t>.1.</w:t>
      </w:r>
      <w:r>
        <w:rPr>
          <w:rFonts w:hint="eastAsia" w:ascii="宋体" w:hAnsi="宋体" w:eastAsia="宋体"/>
          <w:sz w:val="24"/>
          <w:szCs w:val="24"/>
          <w:lang w:val="en-US" w:eastAsia="zh-CN"/>
        </w:rPr>
        <w:t>2</w:t>
      </w:r>
      <w:r>
        <w:rPr>
          <w:rFonts w:hint="eastAsia" w:ascii="宋体" w:hAnsi="宋体" w:eastAsia="宋体"/>
          <w:sz w:val="24"/>
          <w:szCs w:val="24"/>
        </w:rPr>
        <w:t>、</w:t>
      </w:r>
      <w:r>
        <w:rPr>
          <w:rFonts w:hint="eastAsia" w:ascii="宋体" w:hAnsi="宋体" w:eastAsia="宋体"/>
          <w:sz w:val="24"/>
          <w:szCs w:val="24"/>
          <w:lang w:val="en-US" w:eastAsia="zh-CN"/>
        </w:rPr>
        <w:t>云</w:t>
      </w:r>
      <w:r>
        <w:rPr>
          <w:rFonts w:hint="eastAsia" w:ascii="宋体" w:hAnsi="宋体" w:eastAsia="宋体"/>
          <w:sz w:val="24"/>
          <w:szCs w:val="24"/>
        </w:rPr>
        <w:t>服务器</w:t>
      </w:r>
      <w:r>
        <w:rPr>
          <w:rFonts w:hint="eastAsia" w:ascii="宋体" w:hAnsi="宋体" w:eastAsia="宋体"/>
          <w:sz w:val="24"/>
          <w:szCs w:val="24"/>
          <w:lang w:val="en-US" w:eastAsia="zh-CN"/>
        </w:rPr>
        <w:t>租用</w:t>
      </w:r>
    </w:p>
    <w:p>
      <w:pPr>
        <w:spacing w:line="360" w:lineRule="auto"/>
        <w:rPr>
          <w:rFonts w:hint="eastAsia"/>
          <w:lang w:val="zh-CN"/>
        </w:rPr>
      </w:pPr>
      <w:r>
        <w:rPr>
          <w:rFonts w:hint="eastAsia"/>
          <w:lang w:val="zh-CN"/>
        </w:rPr>
        <w:t>本项目所采购的</w:t>
      </w:r>
      <w:r>
        <w:rPr>
          <w:rFonts w:hint="eastAsia"/>
          <w:lang w:val="en-US" w:eastAsia="zh-CN"/>
        </w:rPr>
        <w:t>云</w:t>
      </w:r>
      <w:r>
        <w:rPr>
          <w:rFonts w:hint="eastAsia"/>
          <w:lang w:val="zh-CN"/>
        </w:rPr>
        <w:t>服务器具体参数要求如下：</w:t>
      </w:r>
    </w:p>
    <w:tbl>
      <w:tblPr>
        <w:tblStyle w:val="21"/>
        <w:tblW w:w="7960" w:type="dxa"/>
        <w:tblInd w:w="0" w:type="dxa"/>
        <w:tblLayout w:type="fixed"/>
        <w:tblCellMar>
          <w:top w:w="0" w:type="dxa"/>
          <w:left w:w="108" w:type="dxa"/>
          <w:bottom w:w="0" w:type="dxa"/>
          <w:right w:w="108" w:type="dxa"/>
        </w:tblCellMar>
      </w:tblPr>
      <w:tblGrid>
        <w:gridCol w:w="2046"/>
        <w:gridCol w:w="5914"/>
      </w:tblGrid>
      <w:tr>
        <w:tblPrEx>
          <w:tblCellMar>
            <w:top w:w="0" w:type="dxa"/>
            <w:left w:w="108" w:type="dxa"/>
            <w:bottom w:w="0" w:type="dxa"/>
            <w:right w:w="108" w:type="dxa"/>
          </w:tblCellMar>
        </w:tblPrEx>
        <w:trPr>
          <w:trHeight w:val="645" w:hRule="atLeast"/>
        </w:trPr>
        <w:tc>
          <w:tcPr>
            <w:tcW w:w="20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云服务器类型</w:t>
            </w:r>
          </w:p>
        </w:tc>
        <w:tc>
          <w:tcPr>
            <w:tcW w:w="591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计算型</w:t>
            </w:r>
          </w:p>
        </w:tc>
      </w:tr>
      <w:tr>
        <w:tblPrEx>
          <w:tblCellMar>
            <w:top w:w="0" w:type="dxa"/>
            <w:left w:w="108" w:type="dxa"/>
            <w:bottom w:w="0" w:type="dxa"/>
            <w:right w:w="108" w:type="dxa"/>
          </w:tblCellMar>
        </w:tblPrEx>
        <w:trPr>
          <w:trHeight w:val="660" w:hRule="atLeast"/>
        </w:trPr>
        <w:tc>
          <w:tcPr>
            <w:tcW w:w="20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rPr>
              <w:t>云服务器</w:t>
            </w:r>
            <w:r>
              <w:rPr>
                <w:rFonts w:hint="eastAsia" w:ascii="宋体" w:hAnsi="宋体" w:cs="宋体"/>
                <w:b/>
                <w:bCs/>
                <w:color w:val="000000"/>
                <w:kern w:val="0"/>
                <w:sz w:val="22"/>
                <w:szCs w:val="22"/>
                <w:lang w:val="en-US" w:eastAsia="zh-CN"/>
              </w:rPr>
              <w:t>台数及租用时长</w:t>
            </w:r>
          </w:p>
        </w:tc>
        <w:tc>
          <w:tcPr>
            <w:tcW w:w="5914"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1台，从合同签订之日起租用3年。</w:t>
            </w:r>
          </w:p>
        </w:tc>
      </w:tr>
      <w:tr>
        <w:tblPrEx>
          <w:tblCellMar>
            <w:top w:w="0" w:type="dxa"/>
            <w:left w:w="108" w:type="dxa"/>
            <w:bottom w:w="0" w:type="dxa"/>
            <w:right w:w="108" w:type="dxa"/>
          </w:tblCellMar>
        </w:tblPrEx>
        <w:trPr>
          <w:trHeight w:val="1130" w:hRule="atLeast"/>
        </w:trPr>
        <w:tc>
          <w:tcPr>
            <w:tcW w:w="20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云服务器配置</w:t>
            </w:r>
          </w:p>
        </w:tc>
        <w:tc>
          <w:tcPr>
            <w:tcW w:w="591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8核16G；</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100GESSD云盘；</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5M带宽；</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vCPU内存比1：2；</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最大基础带宽能力64 Gbit/s；</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最大网络收发包能力2400万PPS。</w:t>
            </w:r>
          </w:p>
        </w:tc>
      </w:tr>
      <w:tr>
        <w:tblPrEx>
          <w:tblCellMar>
            <w:top w:w="0" w:type="dxa"/>
            <w:left w:w="108" w:type="dxa"/>
            <w:bottom w:w="0" w:type="dxa"/>
            <w:right w:w="108" w:type="dxa"/>
          </w:tblCellMar>
        </w:tblPrEx>
        <w:trPr>
          <w:trHeight w:val="486" w:hRule="atLeast"/>
        </w:trPr>
        <w:tc>
          <w:tcPr>
            <w:tcW w:w="20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lang w:val="en-US" w:eastAsia="zh-CN"/>
              </w:rPr>
              <w:t>原厂售后服务</w:t>
            </w:r>
          </w:p>
        </w:tc>
        <w:tc>
          <w:tcPr>
            <w:tcW w:w="59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numPr>
                <w:ilvl w:val="0"/>
                <w:numId w:val="0"/>
              </w:numPr>
              <w:ind w:leftChars="0"/>
              <w:rPr>
                <w:rFonts w:hint="eastAsia" w:ascii="宋体" w:hAnsi="宋体" w:cs="宋体"/>
                <w:color w:val="000000"/>
                <w:kern w:val="0"/>
                <w:sz w:val="22"/>
                <w:szCs w:val="22"/>
              </w:rPr>
            </w:pPr>
            <w:r>
              <w:rPr>
                <w:rFonts w:hint="eastAsia" w:ascii="宋体" w:hAnsi="宋体" w:eastAsia="宋体" w:cs="宋体"/>
                <w:color w:val="000000"/>
                <w:kern w:val="0"/>
                <w:sz w:val="22"/>
                <w:szCs w:val="22"/>
                <w:lang w:val="en-US" w:eastAsia="zh-CN" w:bidi="ar-SA"/>
              </w:rPr>
              <w:t>提供原厂家的现场安装、调试服务，设备原厂商须提供至少3年质保和3年7*24小时现场保修服务；供应商须提供针对此项目的设备原厂售后服务承诺函。</w:t>
            </w:r>
          </w:p>
        </w:tc>
      </w:tr>
    </w:tbl>
    <w:p>
      <w:pPr>
        <w:spacing w:line="360" w:lineRule="auto"/>
        <w:ind w:firstLine="420" w:firstLineChars="200"/>
        <w:rPr>
          <w:rFonts w:hint="eastAsia"/>
          <w:lang w:val="zh-CN"/>
        </w:rPr>
      </w:pPr>
    </w:p>
    <w:p>
      <w:pPr>
        <w:pStyle w:val="2"/>
      </w:pPr>
    </w:p>
    <w:p>
      <w:pPr>
        <w:pStyle w:val="3"/>
        <w:numPr>
          <w:ilvl w:val="0"/>
          <w:numId w:val="3"/>
        </w:numPr>
        <w:spacing w:before="0" w:after="0"/>
        <w:rPr>
          <w:rFonts w:ascii="宋体" w:hAnsi="宋体"/>
          <w:sz w:val="32"/>
          <w:szCs w:val="32"/>
        </w:rPr>
      </w:pPr>
      <w:r>
        <w:rPr>
          <w:rFonts w:hint="eastAsia" w:ascii="宋体" w:hAnsi="宋体"/>
          <w:sz w:val="32"/>
          <w:szCs w:val="32"/>
        </w:rPr>
        <w:t>系统安全保障要求</w:t>
      </w:r>
    </w:p>
    <w:p>
      <w:pPr>
        <w:spacing w:line="360" w:lineRule="auto"/>
        <w:ind w:firstLine="420" w:firstLineChars="200"/>
        <w:rPr>
          <w:rFonts w:hint="eastAsia" w:ascii="宋体" w:hAnsi="宋体"/>
        </w:rPr>
      </w:pPr>
      <w:r>
        <w:rPr>
          <w:rFonts w:hint="eastAsia" w:ascii="宋体" w:hAnsi="宋体"/>
        </w:rPr>
        <w:t>系统需</w:t>
      </w:r>
      <w:r>
        <w:rPr>
          <w:rFonts w:hint="eastAsia" w:ascii="宋体" w:hAnsi="宋体"/>
          <w:lang w:val="en-US" w:eastAsia="zh-CN"/>
        </w:rPr>
        <w:t>结合</w:t>
      </w:r>
      <w:r>
        <w:rPr>
          <w:rFonts w:hint="eastAsia" w:ascii="宋体" w:hAnsi="宋体"/>
        </w:rPr>
        <w:t>院方</w:t>
      </w:r>
      <w:r>
        <w:rPr>
          <w:rFonts w:hint="eastAsia" w:ascii="宋体" w:hAnsi="宋体"/>
          <w:lang w:val="en-US" w:eastAsia="zh-CN"/>
        </w:rPr>
        <w:t>需求，配合</w:t>
      </w:r>
      <w:r>
        <w:rPr>
          <w:rFonts w:hint="eastAsia" w:ascii="宋体" w:hAnsi="宋体"/>
        </w:rPr>
        <w:t>通过信息系统安全等级保护认证，当系统不满足时需提供免费整改服务，直至通过为止。</w:t>
      </w:r>
    </w:p>
    <w:p>
      <w:pPr>
        <w:pStyle w:val="2"/>
        <w:rPr>
          <w:rFonts w:hint="eastAsia"/>
        </w:rPr>
      </w:pPr>
    </w:p>
    <w:p>
      <w:pPr>
        <w:pStyle w:val="3"/>
        <w:numPr>
          <w:ilvl w:val="0"/>
          <w:numId w:val="3"/>
        </w:numPr>
        <w:spacing w:before="0" w:after="0"/>
        <w:rPr>
          <w:rFonts w:ascii="宋体" w:hAnsi="宋体"/>
          <w:sz w:val="21"/>
          <w:szCs w:val="21"/>
        </w:rPr>
      </w:pPr>
      <w:r>
        <w:rPr>
          <w:rFonts w:hint="eastAsia" w:ascii="宋体" w:hAnsi="宋体"/>
          <w:sz w:val="32"/>
          <w:szCs w:val="32"/>
        </w:rPr>
        <w:t>项目工期</w:t>
      </w:r>
      <w:r>
        <w:rPr>
          <w:rFonts w:hint="eastAsia" w:ascii="宋体" w:hAnsi="宋体"/>
          <w:sz w:val="32"/>
          <w:szCs w:val="32"/>
          <w:lang w:val="en-US"/>
        </w:rPr>
        <w:t>及实施要求</w:t>
      </w:r>
    </w:p>
    <w:p>
      <w:pPr>
        <w:spacing w:line="360" w:lineRule="auto"/>
        <w:ind w:firstLine="420" w:firstLineChars="200"/>
        <w:rPr>
          <w:rFonts w:ascii="宋体" w:hAnsi="宋体"/>
        </w:rPr>
      </w:pPr>
      <w:r>
        <w:rPr>
          <w:rFonts w:hint="eastAsia" w:ascii="宋体" w:hAnsi="宋体"/>
        </w:rPr>
        <w:t>1</w:t>
      </w:r>
      <w:r>
        <w:rPr>
          <w:rFonts w:ascii="宋体" w:hAnsi="宋体"/>
        </w:rPr>
        <w:t>.</w:t>
      </w:r>
      <w:r>
        <w:rPr>
          <w:rFonts w:hint="eastAsia" w:ascii="宋体" w:hAnsi="宋体"/>
        </w:rPr>
        <w:t>自合同签订日起，须在_</w:t>
      </w:r>
      <w:r>
        <w:rPr>
          <w:rFonts w:hint="eastAsia" w:ascii="宋体" w:hAnsi="宋体"/>
          <w:u w:val="single"/>
          <w:lang w:val="en-US" w:eastAsia="zh-CN"/>
        </w:rPr>
        <w:t>3</w:t>
      </w:r>
      <w:r>
        <w:rPr>
          <w:rFonts w:hint="eastAsia" w:ascii="宋体" w:hAnsi="宋体"/>
        </w:rPr>
        <w:t>_个</w:t>
      </w:r>
      <w:r>
        <w:rPr>
          <w:rFonts w:hint="eastAsia" w:ascii="宋体" w:hAnsi="宋体"/>
          <w:lang w:val="en-US" w:eastAsia="zh-CN"/>
        </w:rPr>
        <w:t>自然</w:t>
      </w:r>
      <w:r>
        <w:rPr>
          <w:rFonts w:hint="eastAsia" w:ascii="宋体" w:hAnsi="宋体"/>
        </w:rPr>
        <w:t>日内对《用户需求说明书》进行补充、确认或提出意见。</w:t>
      </w:r>
    </w:p>
    <w:p>
      <w:pPr>
        <w:spacing w:line="360" w:lineRule="auto"/>
        <w:ind w:firstLine="420" w:firstLineChars="200"/>
        <w:rPr>
          <w:rFonts w:ascii="宋体" w:hAnsi="宋体"/>
        </w:rPr>
      </w:pPr>
      <w:r>
        <w:rPr>
          <w:rFonts w:hint="eastAsia" w:ascii="宋体" w:hAnsi="宋体"/>
        </w:rPr>
        <w:t>2</w:t>
      </w:r>
      <w:r>
        <w:rPr>
          <w:rFonts w:ascii="宋体" w:hAnsi="宋体"/>
        </w:rPr>
        <w:t>.</w:t>
      </w:r>
      <w:r>
        <w:rPr>
          <w:rFonts w:hint="eastAsia" w:ascii="宋体" w:hAnsi="宋体"/>
        </w:rPr>
        <w:t>对《用户需求说明书》提出意见后，院方组织进行用户需求调研，根据调研情况提供业务调研记录、现况分析、功能设计及说明，双方共同整理并在</w:t>
      </w:r>
      <w:r>
        <w:rPr>
          <w:rFonts w:hint="eastAsia" w:ascii="宋体" w:hAnsi="宋体"/>
          <w:u w:val="single"/>
        </w:rPr>
        <w:t xml:space="preserve"> </w:t>
      </w:r>
      <w:r>
        <w:rPr>
          <w:rFonts w:hint="eastAsia" w:ascii="宋体" w:hAnsi="宋体"/>
          <w:u w:val="single"/>
          <w:lang w:val="en-US" w:eastAsia="zh-CN"/>
        </w:rPr>
        <w:t>3</w:t>
      </w:r>
      <w:r>
        <w:rPr>
          <w:rFonts w:hint="eastAsia" w:ascii="宋体" w:hAnsi="宋体"/>
          <w:u w:val="single"/>
        </w:rPr>
        <w:t xml:space="preserve"> </w:t>
      </w:r>
      <w:r>
        <w:rPr>
          <w:rFonts w:hint="eastAsia" w:ascii="宋体" w:hAnsi="宋体"/>
        </w:rPr>
        <w:t>个</w:t>
      </w:r>
      <w:r>
        <w:rPr>
          <w:rFonts w:hint="eastAsia" w:ascii="宋体" w:hAnsi="宋体"/>
          <w:lang w:val="en-US" w:eastAsia="zh-CN"/>
        </w:rPr>
        <w:t>自然</w:t>
      </w:r>
      <w:r>
        <w:rPr>
          <w:rFonts w:hint="eastAsia" w:ascii="宋体" w:hAnsi="宋体"/>
        </w:rPr>
        <w:t>日内确认《需求规格说明书》。</w:t>
      </w:r>
    </w:p>
    <w:p>
      <w:pPr>
        <w:spacing w:line="360" w:lineRule="auto"/>
        <w:ind w:firstLine="420" w:firstLineChars="200"/>
        <w:rPr>
          <w:rFonts w:ascii="宋体" w:hAnsi="宋体"/>
        </w:rPr>
      </w:pPr>
      <w:r>
        <w:rPr>
          <w:rFonts w:hint="eastAsia" w:ascii="宋体" w:hAnsi="宋体"/>
        </w:rPr>
        <w:t>3</w:t>
      </w:r>
      <w:r>
        <w:rPr>
          <w:rFonts w:ascii="宋体" w:hAnsi="宋体"/>
        </w:rPr>
        <w:t>.</w:t>
      </w:r>
      <w:r>
        <w:rPr>
          <w:rFonts w:hint="eastAsia" w:ascii="宋体" w:hAnsi="宋体"/>
        </w:rPr>
        <w:t>须在《需求规格说明书》确认后的_</w:t>
      </w:r>
      <w:r>
        <w:rPr>
          <w:rFonts w:hint="eastAsia" w:ascii="宋体" w:hAnsi="宋体"/>
          <w:u w:val="single"/>
          <w:lang w:val="en-US" w:eastAsia="zh-CN"/>
        </w:rPr>
        <w:t>20</w:t>
      </w:r>
      <w:r>
        <w:rPr>
          <w:rFonts w:hint="eastAsia" w:ascii="宋体" w:hAnsi="宋体"/>
        </w:rPr>
        <w:t>_个</w:t>
      </w:r>
      <w:r>
        <w:rPr>
          <w:rFonts w:hint="eastAsia" w:ascii="宋体" w:hAnsi="宋体"/>
          <w:lang w:val="en-US" w:eastAsia="zh-CN"/>
        </w:rPr>
        <w:t>自然</w:t>
      </w:r>
      <w:r>
        <w:rPr>
          <w:rFonts w:hint="eastAsia" w:ascii="宋体" w:hAnsi="宋体"/>
        </w:rPr>
        <w:t>日内完成实施导入和保证系统正常工作。</w:t>
      </w:r>
    </w:p>
    <w:p>
      <w:pPr>
        <w:spacing w:line="360" w:lineRule="auto"/>
        <w:ind w:firstLine="420" w:firstLineChars="200"/>
        <w:rPr>
          <w:rFonts w:hint="eastAsia" w:ascii="宋体" w:hAnsi="宋体"/>
        </w:rPr>
      </w:pPr>
      <w:r>
        <w:rPr>
          <w:rFonts w:hint="eastAsia" w:ascii="宋体" w:hAnsi="宋体"/>
        </w:rPr>
        <w:t>4</w:t>
      </w:r>
      <w:r>
        <w:rPr>
          <w:rFonts w:ascii="宋体" w:hAnsi="宋体"/>
        </w:rPr>
        <w:t>.</w:t>
      </w:r>
      <w:r>
        <w:rPr>
          <w:rFonts w:hint="eastAsia" w:ascii="宋体" w:hAnsi="宋体"/>
        </w:rPr>
        <w:t>完成软件实施，并根据院方提出的新需求完成修改后，系统运行_</w:t>
      </w:r>
      <w:r>
        <w:rPr>
          <w:rFonts w:ascii="宋体" w:hAnsi="宋体"/>
          <w:u w:val="single"/>
        </w:rPr>
        <w:t>1</w:t>
      </w:r>
      <w:r>
        <w:rPr>
          <w:rFonts w:hint="eastAsia" w:ascii="宋体" w:hAnsi="宋体"/>
        </w:rPr>
        <w:t>_个月以上无软件故障出现，则向院方申请验收。</w:t>
      </w:r>
    </w:p>
    <w:p>
      <w:pPr>
        <w:pStyle w:val="2"/>
      </w:pPr>
    </w:p>
    <w:p>
      <w:pPr>
        <w:pStyle w:val="3"/>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spacing w:line="360" w:lineRule="auto"/>
        <w:ind w:firstLine="420" w:firstLineChars="200"/>
        <w:rPr>
          <w:rFonts w:ascii="宋体" w:hAnsi="宋体"/>
        </w:rPr>
      </w:pPr>
      <w:r>
        <w:rPr>
          <w:rFonts w:hint="eastAsia" w:ascii="宋体" w:hAnsi="宋体"/>
        </w:rPr>
        <w:t>项目实施</w:t>
      </w:r>
      <w:r>
        <w:rPr>
          <w:rFonts w:ascii="宋体" w:hAnsi="宋体"/>
        </w:rPr>
        <w:t>期</w:t>
      </w:r>
      <w:r>
        <w:rPr>
          <w:rFonts w:hint="eastAsia" w:ascii="宋体" w:hAnsi="宋体"/>
        </w:rPr>
        <w:t>内承建商提供专职工程师</w:t>
      </w:r>
      <w:r>
        <w:rPr>
          <w:rFonts w:ascii="宋体" w:hAnsi="宋体"/>
          <w:u w:val="single"/>
        </w:rPr>
        <w:t xml:space="preserve"> 1 </w:t>
      </w:r>
      <w:r>
        <w:rPr>
          <w:rFonts w:hint="eastAsia" w:ascii="宋体" w:hAnsi="宋体"/>
        </w:rPr>
        <w:t>名负责本项目。必要时常驻本院，期间工作时间与院方工作时间一致，并且提供7*24小时响应服务。</w:t>
      </w:r>
    </w:p>
    <w:p>
      <w:pPr>
        <w:spacing w:line="360" w:lineRule="auto"/>
        <w:ind w:firstLine="420" w:firstLineChars="200"/>
        <w:rPr>
          <w:rFonts w:ascii="宋体" w:hAnsi="宋体"/>
        </w:rPr>
      </w:pPr>
      <w:r>
        <w:rPr>
          <w:rFonts w:hint="eastAsia" w:ascii="宋体" w:hAnsi="宋体"/>
        </w:rPr>
        <w:t>在项目实施前，结合院方项目需求，根据《网络安全等级保护制度》自评等保级别。需向医院提交设计方案进行安全评审，保证安全技术措施同步规划，系统建设根据信息系统安全等级保护要求进行建设。</w:t>
      </w:r>
    </w:p>
    <w:p>
      <w:pPr>
        <w:spacing w:line="360" w:lineRule="auto"/>
        <w:ind w:firstLine="420" w:firstLineChars="200"/>
        <w:rPr>
          <w:rFonts w:ascii="宋体" w:hAnsi="宋体"/>
        </w:rPr>
      </w:pPr>
      <w:r>
        <w:rPr>
          <w:rFonts w:hint="eastAsia" w:ascii="宋体" w:hAnsi="宋体"/>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spacing w:line="360" w:lineRule="auto"/>
        <w:ind w:firstLine="420" w:firstLineChars="200"/>
        <w:rPr>
          <w:rFonts w:ascii="宋体" w:hAnsi="宋体"/>
        </w:rPr>
      </w:pPr>
      <w:r>
        <w:rPr>
          <w:rFonts w:hint="eastAsia" w:ascii="宋体" w:hAnsi="宋体"/>
        </w:rPr>
        <w:t>项目承建商需根据院方的详细需求，提交项目系统的安装、调试及培训实施方案，方案得到院方确认后实施，保证系统按时、正常地投入运行。</w:t>
      </w:r>
    </w:p>
    <w:p>
      <w:pPr>
        <w:spacing w:line="360" w:lineRule="auto"/>
        <w:ind w:firstLine="420" w:firstLineChars="200"/>
        <w:rPr>
          <w:rFonts w:ascii="宋体" w:hAnsi="宋体"/>
        </w:rPr>
      </w:pPr>
      <w:r>
        <w:rPr>
          <w:rFonts w:hint="eastAsia" w:ascii="宋体" w:hAnsi="宋体"/>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spacing w:line="360" w:lineRule="auto"/>
        <w:ind w:firstLine="420" w:firstLineChars="200"/>
        <w:rPr>
          <w:rFonts w:hint="eastAsia" w:ascii="宋体" w:hAnsi="宋体"/>
        </w:rPr>
      </w:pPr>
      <w:r>
        <w:rPr>
          <w:rFonts w:hint="eastAsia" w:ascii="宋体" w:hAnsi="宋体"/>
        </w:rPr>
        <w:t>验收由承建商给出具体的验收计划、测试的内容和方法，经院方审核通过后，方可进行验收测试。</w:t>
      </w:r>
    </w:p>
    <w:p>
      <w:pPr>
        <w:pStyle w:val="2"/>
      </w:pPr>
    </w:p>
    <w:p>
      <w:pPr>
        <w:pStyle w:val="3"/>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spacing w:line="360" w:lineRule="auto"/>
        <w:ind w:firstLine="422" w:firstLineChars="200"/>
        <w:rPr>
          <w:rFonts w:ascii="宋体" w:hAnsi="宋体"/>
          <w:b/>
          <w:bCs/>
        </w:rPr>
      </w:pPr>
      <w:r>
        <w:rPr>
          <w:rFonts w:hint="eastAsia" w:ascii="宋体" w:hAnsi="宋体"/>
          <w:b/>
          <w:bCs/>
        </w:rPr>
        <w:t>软件维护期从合同标的验收合格之日算起，期限为</w:t>
      </w:r>
      <w:r>
        <w:rPr>
          <w:rFonts w:hint="eastAsia" w:ascii="宋体" w:hAnsi="宋体"/>
          <w:b/>
          <w:bCs/>
          <w:lang w:val="en-US" w:eastAsia="zh-CN"/>
        </w:rPr>
        <w:t>24</w:t>
      </w:r>
      <w:r>
        <w:rPr>
          <w:rFonts w:hint="eastAsia" w:ascii="宋体" w:hAnsi="宋体"/>
          <w:b/>
          <w:bCs/>
        </w:rPr>
        <w:t>个月；</w:t>
      </w:r>
      <w:r>
        <w:rPr>
          <w:rFonts w:hint="eastAsia" w:ascii="宋体" w:hAnsi="宋体"/>
          <w:b/>
          <w:bCs/>
          <w:lang w:val="en-US" w:eastAsia="zh-CN"/>
        </w:rPr>
        <w:t>云资源租用</w:t>
      </w:r>
      <w:r>
        <w:rPr>
          <w:rFonts w:hint="eastAsia" w:ascii="宋体" w:hAnsi="宋体"/>
          <w:b/>
          <w:bCs/>
        </w:rPr>
        <w:t>期从合同</w:t>
      </w:r>
      <w:r>
        <w:rPr>
          <w:rFonts w:hint="eastAsia" w:ascii="宋体" w:hAnsi="宋体"/>
          <w:b/>
          <w:bCs/>
          <w:lang w:val="en-US" w:eastAsia="zh-CN"/>
        </w:rPr>
        <w:t>签订</w:t>
      </w:r>
      <w:r>
        <w:rPr>
          <w:rFonts w:hint="eastAsia" w:ascii="宋体" w:hAnsi="宋体"/>
          <w:b/>
          <w:bCs/>
        </w:rPr>
        <w:t>之日算起，期限为36个月。</w:t>
      </w:r>
    </w:p>
    <w:p>
      <w:pPr>
        <w:spacing w:line="360" w:lineRule="auto"/>
        <w:ind w:firstLine="420" w:firstLineChars="200"/>
        <w:rPr>
          <w:rFonts w:ascii="宋体" w:hAnsi="宋体"/>
        </w:rPr>
      </w:pPr>
      <w:r>
        <w:rPr>
          <w:rFonts w:hint="eastAsia" w:ascii="宋体" w:hAnsi="宋体"/>
        </w:rPr>
        <w:t>在维护期结束前，须由乙方和甲方进行一次全面检查，任何缺陷必须由乙方负责修复，在修复之后，乙方应将缺陷原因、修复内容、完成修理及恢复正常的时间和日期等报告给甲方，形成项目总结报告加盖公章提交甲方（一式两份）。</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caps/>
        <w:color w:val="000000" w:themeColor="text1"/>
        <w14:textFill>
          <w14:solidFill>
            <w14:schemeClr w14:val="tx1"/>
          </w14:solidFill>
        </w14:textFill>
      </w:rPr>
    </w:pPr>
    <w:r>
      <w:rPr>
        <w:caps/>
        <w:color w:val="000000" w:themeColor="text1"/>
        <w14:textFill>
          <w14:solidFill>
            <w14:schemeClr w14:val="tx1"/>
          </w14:solidFill>
        </w14:textFill>
      </w:rPr>
      <w:fldChar w:fldCharType="begin"/>
    </w:r>
    <w:r>
      <w:rPr>
        <w:caps/>
        <w:color w:val="000000" w:themeColor="text1"/>
        <w14:textFill>
          <w14:solidFill>
            <w14:schemeClr w14:val="tx1"/>
          </w14:solidFill>
        </w14:textFill>
      </w:rPr>
      <w:instrText xml:space="preserve">PAGE   \* MERGEFORMAT</w:instrText>
    </w:r>
    <w:r>
      <w:rPr>
        <w:caps/>
        <w:color w:val="000000" w:themeColor="text1"/>
        <w14:textFill>
          <w14:solidFill>
            <w14:schemeClr w14:val="tx1"/>
          </w14:solidFill>
        </w14:textFill>
      </w:rPr>
      <w:fldChar w:fldCharType="separate"/>
    </w:r>
    <w:r>
      <w:rPr>
        <w:caps/>
        <w:color w:val="000000" w:themeColor="text1"/>
        <w14:textFill>
          <w14:solidFill>
            <w14:schemeClr w14:val="tx1"/>
          </w14:solidFill>
        </w14:textFill>
      </w:rPr>
      <w:t>1</w:t>
    </w:r>
    <w:r>
      <w:rPr>
        <w:caps/>
        <w:color w:val="000000" w:themeColor="text1"/>
        <w14:textFill>
          <w14:solidFill>
            <w14:schemeClr w14:val="tx1"/>
          </w14:solidFill>
        </w14:textFill>
      </w:rP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59"/>
      <w:lvlText w:val="%1. "/>
      <w:lvlJc w:val="left"/>
      <w:pPr>
        <w:ind w:left="420" w:hanging="420"/>
      </w:pPr>
      <w:rPr>
        <w:rFonts w:hint="default" w:ascii="Times New Roman" w:hAnsi="Times New Roman" w:eastAsia="宋体"/>
        <w:b/>
        <w:i w:val="0"/>
      </w:rPr>
    </w:lvl>
    <w:lvl w:ilvl="1" w:tentative="0">
      <w:start w:val="1"/>
      <w:numFmt w:val="decimal"/>
      <w:pStyle w:val="52"/>
      <w:isLgl/>
      <w:suff w:val="space"/>
      <w:lvlText w:val="%1.%2 "/>
      <w:lvlJc w:val="left"/>
      <w:pPr>
        <w:ind w:left="3913" w:hanging="794"/>
      </w:pPr>
      <w:rPr>
        <w:rFonts w:hint="eastAsia"/>
      </w:rPr>
    </w:lvl>
    <w:lvl w:ilvl="2" w:tentative="0">
      <w:start w:val="1"/>
      <w:numFmt w:val="decimal"/>
      <w:pStyle w:val="58"/>
      <w:isLgl/>
      <w:suff w:val="space"/>
      <w:lvlText w:val="%1.%2.%3 "/>
      <w:lvlJc w:val="left"/>
      <w:pPr>
        <w:ind w:left="907" w:hanging="907"/>
      </w:pPr>
      <w:rPr>
        <w:rFonts w:hint="eastAsia"/>
      </w:rPr>
    </w:lvl>
    <w:lvl w:ilvl="3" w:tentative="0">
      <w:start w:val="1"/>
      <w:numFmt w:val="decimal"/>
      <w:pStyle w:val="57"/>
      <w:isLgl/>
      <w:suff w:val="space"/>
      <w:lvlText w:val="%1.%2.%3.%4 "/>
      <w:lvlJc w:val="left"/>
      <w:pPr>
        <w:ind w:left="1021" w:hanging="1021"/>
      </w:pPr>
      <w:rPr>
        <w:rFonts w:hint="eastAsia"/>
      </w:rPr>
    </w:lvl>
    <w:lvl w:ilvl="4" w:tentative="0">
      <w:start w:val="1"/>
      <w:numFmt w:val="decimal"/>
      <w:pStyle w:val="62"/>
      <w:isLgl/>
      <w:suff w:val="space"/>
      <w:lvlText w:val="%1.%2.%3.%4.%5 "/>
      <w:lvlJc w:val="left"/>
      <w:pPr>
        <w:ind w:left="1134" w:hanging="1134"/>
      </w:pPr>
      <w:rPr>
        <w:rFonts w:hint="eastAsia"/>
      </w:rPr>
    </w:lvl>
    <w:lvl w:ilvl="5" w:tentative="0">
      <w:start w:val="1"/>
      <w:numFmt w:val="decimal"/>
      <w:pStyle w:val="56"/>
      <w:isLgl/>
      <w:suff w:val="space"/>
      <w:lvlText w:val="%1.%2.%3.%4.%5.%6 "/>
      <w:lvlJc w:val="left"/>
      <w:pPr>
        <w:ind w:left="1247" w:hanging="1247"/>
      </w:pPr>
      <w:rPr>
        <w:rFonts w:hint="eastAsia"/>
      </w:rPr>
    </w:lvl>
    <w:lvl w:ilvl="6" w:tentative="0">
      <w:start w:val="1"/>
      <w:numFmt w:val="decimal"/>
      <w:lvlRestart w:val="1"/>
      <w:pStyle w:val="51"/>
      <w:isLgl/>
      <w:suff w:val="space"/>
      <w:lvlText w:val="图 %1.%7 "/>
      <w:lvlJc w:val="left"/>
      <w:pPr>
        <w:ind w:left="0" w:firstLine="0"/>
      </w:pPr>
      <w:rPr>
        <w:rFonts w:hint="eastAsia"/>
      </w:rPr>
    </w:lvl>
    <w:lvl w:ilvl="7" w:tentative="0">
      <w:start w:val="1"/>
      <w:numFmt w:val="decimal"/>
      <w:lvlRestart w:val="1"/>
      <w:pStyle w:val="6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jMjMxYmVmYzVlMDlmNDhkNjdjYjUxY2NiYTE5ZTYifQ=="/>
  </w:docVars>
  <w:rsids>
    <w:rsidRoot w:val="00303343"/>
    <w:rsid w:val="000051D2"/>
    <w:rsid w:val="000079DD"/>
    <w:rsid w:val="00012DCC"/>
    <w:rsid w:val="00016B63"/>
    <w:rsid w:val="00032A82"/>
    <w:rsid w:val="00033769"/>
    <w:rsid w:val="00042DAC"/>
    <w:rsid w:val="0004334E"/>
    <w:rsid w:val="00046B39"/>
    <w:rsid w:val="00054706"/>
    <w:rsid w:val="00066DE7"/>
    <w:rsid w:val="00074EDD"/>
    <w:rsid w:val="000757C1"/>
    <w:rsid w:val="00085C34"/>
    <w:rsid w:val="00086AE0"/>
    <w:rsid w:val="0009064D"/>
    <w:rsid w:val="00090A18"/>
    <w:rsid w:val="00090C68"/>
    <w:rsid w:val="000A5344"/>
    <w:rsid w:val="000B41B7"/>
    <w:rsid w:val="000C7F92"/>
    <w:rsid w:val="000D5317"/>
    <w:rsid w:val="000E276C"/>
    <w:rsid w:val="00106D68"/>
    <w:rsid w:val="00107C8C"/>
    <w:rsid w:val="001106CE"/>
    <w:rsid w:val="001107F8"/>
    <w:rsid w:val="001116F6"/>
    <w:rsid w:val="00114F8A"/>
    <w:rsid w:val="001161EB"/>
    <w:rsid w:val="00121E40"/>
    <w:rsid w:val="0012322D"/>
    <w:rsid w:val="00123CDF"/>
    <w:rsid w:val="00123DE2"/>
    <w:rsid w:val="00123FCC"/>
    <w:rsid w:val="00124692"/>
    <w:rsid w:val="00130DDF"/>
    <w:rsid w:val="00134F80"/>
    <w:rsid w:val="00135BF9"/>
    <w:rsid w:val="001365DD"/>
    <w:rsid w:val="00136606"/>
    <w:rsid w:val="00140E0C"/>
    <w:rsid w:val="0014437A"/>
    <w:rsid w:val="001530B6"/>
    <w:rsid w:val="00153870"/>
    <w:rsid w:val="00153AB3"/>
    <w:rsid w:val="001561FE"/>
    <w:rsid w:val="00156B1F"/>
    <w:rsid w:val="001576B1"/>
    <w:rsid w:val="00162D29"/>
    <w:rsid w:val="00164878"/>
    <w:rsid w:val="00165091"/>
    <w:rsid w:val="001650F6"/>
    <w:rsid w:val="00171903"/>
    <w:rsid w:val="00174C50"/>
    <w:rsid w:val="001767D1"/>
    <w:rsid w:val="0018200C"/>
    <w:rsid w:val="001833B6"/>
    <w:rsid w:val="00186090"/>
    <w:rsid w:val="00190CD2"/>
    <w:rsid w:val="00194BFE"/>
    <w:rsid w:val="00194F01"/>
    <w:rsid w:val="001A22A1"/>
    <w:rsid w:val="001A56E1"/>
    <w:rsid w:val="001B4850"/>
    <w:rsid w:val="001B7966"/>
    <w:rsid w:val="001B7D79"/>
    <w:rsid w:val="001C003E"/>
    <w:rsid w:val="001C23B3"/>
    <w:rsid w:val="001C7BC6"/>
    <w:rsid w:val="001D4A68"/>
    <w:rsid w:val="001D57E5"/>
    <w:rsid w:val="001D7749"/>
    <w:rsid w:val="001E3B38"/>
    <w:rsid w:val="001E46E4"/>
    <w:rsid w:val="00200054"/>
    <w:rsid w:val="002000DE"/>
    <w:rsid w:val="00201019"/>
    <w:rsid w:val="0020180D"/>
    <w:rsid w:val="00202EFF"/>
    <w:rsid w:val="0020509F"/>
    <w:rsid w:val="00207A96"/>
    <w:rsid w:val="00214A6F"/>
    <w:rsid w:val="00216A4A"/>
    <w:rsid w:val="002173AB"/>
    <w:rsid w:val="00221F1F"/>
    <w:rsid w:val="00223E47"/>
    <w:rsid w:val="0023177A"/>
    <w:rsid w:val="002336A7"/>
    <w:rsid w:val="00234D65"/>
    <w:rsid w:val="00241D77"/>
    <w:rsid w:val="002469E4"/>
    <w:rsid w:val="00247605"/>
    <w:rsid w:val="002509F5"/>
    <w:rsid w:val="002535AA"/>
    <w:rsid w:val="002575B2"/>
    <w:rsid w:val="00261CBC"/>
    <w:rsid w:val="00265DE7"/>
    <w:rsid w:val="00266FE4"/>
    <w:rsid w:val="00270260"/>
    <w:rsid w:val="002722CA"/>
    <w:rsid w:val="002834D3"/>
    <w:rsid w:val="002853BF"/>
    <w:rsid w:val="00292528"/>
    <w:rsid w:val="00293567"/>
    <w:rsid w:val="00295472"/>
    <w:rsid w:val="00295A06"/>
    <w:rsid w:val="0029669B"/>
    <w:rsid w:val="002A01D6"/>
    <w:rsid w:val="002A4778"/>
    <w:rsid w:val="002B4098"/>
    <w:rsid w:val="002B4A53"/>
    <w:rsid w:val="002B62BD"/>
    <w:rsid w:val="002C0F8B"/>
    <w:rsid w:val="002C44B0"/>
    <w:rsid w:val="002C53D1"/>
    <w:rsid w:val="002C7392"/>
    <w:rsid w:val="002D6BE1"/>
    <w:rsid w:val="002E2550"/>
    <w:rsid w:val="002E36C5"/>
    <w:rsid w:val="002F0931"/>
    <w:rsid w:val="002F18E1"/>
    <w:rsid w:val="002F31F1"/>
    <w:rsid w:val="003020E8"/>
    <w:rsid w:val="003024F8"/>
    <w:rsid w:val="00303343"/>
    <w:rsid w:val="00303CAB"/>
    <w:rsid w:val="003042A2"/>
    <w:rsid w:val="00304636"/>
    <w:rsid w:val="00311322"/>
    <w:rsid w:val="003129A0"/>
    <w:rsid w:val="00314487"/>
    <w:rsid w:val="00314A5A"/>
    <w:rsid w:val="003204E8"/>
    <w:rsid w:val="00320CB5"/>
    <w:rsid w:val="00320F1B"/>
    <w:rsid w:val="00322973"/>
    <w:rsid w:val="00325B18"/>
    <w:rsid w:val="00326F87"/>
    <w:rsid w:val="003321CB"/>
    <w:rsid w:val="003325F0"/>
    <w:rsid w:val="00341038"/>
    <w:rsid w:val="00345D64"/>
    <w:rsid w:val="00352E7C"/>
    <w:rsid w:val="00353276"/>
    <w:rsid w:val="00353418"/>
    <w:rsid w:val="00356A80"/>
    <w:rsid w:val="00360458"/>
    <w:rsid w:val="00366980"/>
    <w:rsid w:val="00370A5D"/>
    <w:rsid w:val="003802E2"/>
    <w:rsid w:val="0038581B"/>
    <w:rsid w:val="00385E95"/>
    <w:rsid w:val="00385FED"/>
    <w:rsid w:val="00397B7E"/>
    <w:rsid w:val="003A7269"/>
    <w:rsid w:val="003C0FB7"/>
    <w:rsid w:val="003C6D81"/>
    <w:rsid w:val="003C7A9F"/>
    <w:rsid w:val="003D0F80"/>
    <w:rsid w:val="003D2595"/>
    <w:rsid w:val="003D2A87"/>
    <w:rsid w:val="003D3248"/>
    <w:rsid w:val="003E1E16"/>
    <w:rsid w:val="003E7083"/>
    <w:rsid w:val="003F3286"/>
    <w:rsid w:val="003F629F"/>
    <w:rsid w:val="003F77D4"/>
    <w:rsid w:val="004003F7"/>
    <w:rsid w:val="00403938"/>
    <w:rsid w:val="004111D6"/>
    <w:rsid w:val="00413DA3"/>
    <w:rsid w:val="00414171"/>
    <w:rsid w:val="00415C7E"/>
    <w:rsid w:val="0041787F"/>
    <w:rsid w:val="00423450"/>
    <w:rsid w:val="0042702D"/>
    <w:rsid w:val="00435C81"/>
    <w:rsid w:val="0044060A"/>
    <w:rsid w:val="00440F72"/>
    <w:rsid w:val="00445703"/>
    <w:rsid w:val="004565AA"/>
    <w:rsid w:val="00456A2C"/>
    <w:rsid w:val="00460F4B"/>
    <w:rsid w:val="004630DC"/>
    <w:rsid w:val="00466A44"/>
    <w:rsid w:val="00470D2A"/>
    <w:rsid w:val="00474AE0"/>
    <w:rsid w:val="0047796F"/>
    <w:rsid w:val="00482931"/>
    <w:rsid w:val="00495574"/>
    <w:rsid w:val="004A44FF"/>
    <w:rsid w:val="004B62D1"/>
    <w:rsid w:val="004B6387"/>
    <w:rsid w:val="004C03DB"/>
    <w:rsid w:val="004C2C5B"/>
    <w:rsid w:val="004C3D43"/>
    <w:rsid w:val="004D27A1"/>
    <w:rsid w:val="004E2D8F"/>
    <w:rsid w:val="004E5E61"/>
    <w:rsid w:val="004F1410"/>
    <w:rsid w:val="00500264"/>
    <w:rsid w:val="00501DD0"/>
    <w:rsid w:val="00501F95"/>
    <w:rsid w:val="0050263B"/>
    <w:rsid w:val="005107CD"/>
    <w:rsid w:val="00510B1E"/>
    <w:rsid w:val="005120A9"/>
    <w:rsid w:val="00517D7C"/>
    <w:rsid w:val="00520646"/>
    <w:rsid w:val="0052176F"/>
    <w:rsid w:val="0052604B"/>
    <w:rsid w:val="0053088D"/>
    <w:rsid w:val="0053335B"/>
    <w:rsid w:val="00534BF6"/>
    <w:rsid w:val="00537CDE"/>
    <w:rsid w:val="005409FC"/>
    <w:rsid w:val="00544CED"/>
    <w:rsid w:val="005454EB"/>
    <w:rsid w:val="005563D3"/>
    <w:rsid w:val="00556507"/>
    <w:rsid w:val="00556B6B"/>
    <w:rsid w:val="0056570D"/>
    <w:rsid w:val="00575F76"/>
    <w:rsid w:val="005766CE"/>
    <w:rsid w:val="00580F0E"/>
    <w:rsid w:val="005839E5"/>
    <w:rsid w:val="00584D43"/>
    <w:rsid w:val="0058530E"/>
    <w:rsid w:val="00587EFD"/>
    <w:rsid w:val="00591388"/>
    <w:rsid w:val="00592ED1"/>
    <w:rsid w:val="0059358B"/>
    <w:rsid w:val="005944F9"/>
    <w:rsid w:val="00596428"/>
    <w:rsid w:val="00596CC5"/>
    <w:rsid w:val="005A04AE"/>
    <w:rsid w:val="005A4D1C"/>
    <w:rsid w:val="005B046D"/>
    <w:rsid w:val="005B33AE"/>
    <w:rsid w:val="005C49D7"/>
    <w:rsid w:val="005C60FB"/>
    <w:rsid w:val="005C66EA"/>
    <w:rsid w:val="005C7E23"/>
    <w:rsid w:val="005C7EF5"/>
    <w:rsid w:val="005D038A"/>
    <w:rsid w:val="005D1C7F"/>
    <w:rsid w:val="005D2402"/>
    <w:rsid w:val="005D2BF6"/>
    <w:rsid w:val="005D3A19"/>
    <w:rsid w:val="005D3A60"/>
    <w:rsid w:val="005E7C53"/>
    <w:rsid w:val="005F0356"/>
    <w:rsid w:val="005F3776"/>
    <w:rsid w:val="005F73BC"/>
    <w:rsid w:val="00600186"/>
    <w:rsid w:val="00600923"/>
    <w:rsid w:val="006053FC"/>
    <w:rsid w:val="006124AF"/>
    <w:rsid w:val="00612F3F"/>
    <w:rsid w:val="00614751"/>
    <w:rsid w:val="00620E68"/>
    <w:rsid w:val="00621839"/>
    <w:rsid w:val="00623637"/>
    <w:rsid w:val="00624343"/>
    <w:rsid w:val="0062754C"/>
    <w:rsid w:val="006279C6"/>
    <w:rsid w:val="00632F39"/>
    <w:rsid w:val="00643540"/>
    <w:rsid w:val="00644F1D"/>
    <w:rsid w:val="0064661D"/>
    <w:rsid w:val="00646B59"/>
    <w:rsid w:val="00651CDB"/>
    <w:rsid w:val="00656361"/>
    <w:rsid w:val="006604C2"/>
    <w:rsid w:val="006610C9"/>
    <w:rsid w:val="00663E5F"/>
    <w:rsid w:val="00670BD4"/>
    <w:rsid w:val="0067295B"/>
    <w:rsid w:val="006735E7"/>
    <w:rsid w:val="006861F5"/>
    <w:rsid w:val="00697FBB"/>
    <w:rsid w:val="006B2085"/>
    <w:rsid w:val="006B21B8"/>
    <w:rsid w:val="006B2320"/>
    <w:rsid w:val="006B5F6F"/>
    <w:rsid w:val="006B7B58"/>
    <w:rsid w:val="006C1FC7"/>
    <w:rsid w:val="006C36EB"/>
    <w:rsid w:val="006D4B15"/>
    <w:rsid w:val="006D59F7"/>
    <w:rsid w:val="006D677C"/>
    <w:rsid w:val="006E15C3"/>
    <w:rsid w:val="006E4640"/>
    <w:rsid w:val="006E4D5A"/>
    <w:rsid w:val="006E5E07"/>
    <w:rsid w:val="006E7C72"/>
    <w:rsid w:val="006F0434"/>
    <w:rsid w:val="00701D12"/>
    <w:rsid w:val="0070239F"/>
    <w:rsid w:val="00713984"/>
    <w:rsid w:val="00714153"/>
    <w:rsid w:val="00714F01"/>
    <w:rsid w:val="0072158A"/>
    <w:rsid w:val="00722A7A"/>
    <w:rsid w:val="0072309C"/>
    <w:rsid w:val="0072695B"/>
    <w:rsid w:val="007305F0"/>
    <w:rsid w:val="00741536"/>
    <w:rsid w:val="0074224C"/>
    <w:rsid w:val="00750A70"/>
    <w:rsid w:val="00752912"/>
    <w:rsid w:val="007556BE"/>
    <w:rsid w:val="007621CC"/>
    <w:rsid w:val="00762464"/>
    <w:rsid w:val="00762798"/>
    <w:rsid w:val="00763945"/>
    <w:rsid w:val="00764B5E"/>
    <w:rsid w:val="0076668A"/>
    <w:rsid w:val="00770AB7"/>
    <w:rsid w:val="00774D69"/>
    <w:rsid w:val="00776523"/>
    <w:rsid w:val="00784C08"/>
    <w:rsid w:val="00785EDF"/>
    <w:rsid w:val="00786A29"/>
    <w:rsid w:val="00795F59"/>
    <w:rsid w:val="007A2302"/>
    <w:rsid w:val="007C0A5B"/>
    <w:rsid w:val="007C0F72"/>
    <w:rsid w:val="007C440C"/>
    <w:rsid w:val="007D22AB"/>
    <w:rsid w:val="007E5FD6"/>
    <w:rsid w:val="007E71E6"/>
    <w:rsid w:val="007F3554"/>
    <w:rsid w:val="007F5726"/>
    <w:rsid w:val="007F60F5"/>
    <w:rsid w:val="00800FB0"/>
    <w:rsid w:val="0081266C"/>
    <w:rsid w:val="00813B2A"/>
    <w:rsid w:val="00814143"/>
    <w:rsid w:val="008168FB"/>
    <w:rsid w:val="00821580"/>
    <w:rsid w:val="00822BA6"/>
    <w:rsid w:val="008250A6"/>
    <w:rsid w:val="008419E9"/>
    <w:rsid w:val="00842D5E"/>
    <w:rsid w:val="008548FB"/>
    <w:rsid w:val="008623FD"/>
    <w:rsid w:val="00863A94"/>
    <w:rsid w:val="00866774"/>
    <w:rsid w:val="00873B97"/>
    <w:rsid w:val="0087670C"/>
    <w:rsid w:val="008804D5"/>
    <w:rsid w:val="00882033"/>
    <w:rsid w:val="00895101"/>
    <w:rsid w:val="008A233B"/>
    <w:rsid w:val="008A62AC"/>
    <w:rsid w:val="008A6DE6"/>
    <w:rsid w:val="008B1FE0"/>
    <w:rsid w:val="008B2206"/>
    <w:rsid w:val="008B2CBD"/>
    <w:rsid w:val="008B6B15"/>
    <w:rsid w:val="008C255D"/>
    <w:rsid w:val="008C48B7"/>
    <w:rsid w:val="008C5F95"/>
    <w:rsid w:val="008D3291"/>
    <w:rsid w:val="008D59AA"/>
    <w:rsid w:val="008E145D"/>
    <w:rsid w:val="008E2595"/>
    <w:rsid w:val="008E2940"/>
    <w:rsid w:val="008E2B56"/>
    <w:rsid w:val="008E69C8"/>
    <w:rsid w:val="008F62D5"/>
    <w:rsid w:val="008F6B26"/>
    <w:rsid w:val="00900232"/>
    <w:rsid w:val="00900BAA"/>
    <w:rsid w:val="00903734"/>
    <w:rsid w:val="00903878"/>
    <w:rsid w:val="00903CF6"/>
    <w:rsid w:val="009052C7"/>
    <w:rsid w:val="00905FFA"/>
    <w:rsid w:val="00912982"/>
    <w:rsid w:val="0092017A"/>
    <w:rsid w:val="00922032"/>
    <w:rsid w:val="00925C23"/>
    <w:rsid w:val="00927539"/>
    <w:rsid w:val="00927E08"/>
    <w:rsid w:val="009303FA"/>
    <w:rsid w:val="00932AE3"/>
    <w:rsid w:val="00941F0C"/>
    <w:rsid w:val="00942570"/>
    <w:rsid w:val="00942E99"/>
    <w:rsid w:val="00943004"/>
    <w:rsid w:val="0096068A"/>
    <w:rsid w:val="0096248F"/>
    <w:rsid w:val="00966A88"/>
    <w:rsid w:val="00973A47"/>
    <w:rsid w:val="0098018F"/>
    <w:rsid w:val="00981ED8"/>
    <w:rsid w:val="009822C7"/>
    <w:rsid w:val="00982AA3"/>
    <w:rsid w:val="00982CCD"/>
    <w:rsid w:val="009863EF"/>
    <w:rsid w:val="00986A41"/>
    <w:rsid w:val="0098719A"/>
    <w:rsid w:val="00991FF2"/>
    <w:rsid w:val="0099315B"/>
    <w:rsid w:val="0099570B"/>
    <w:rsid w:val="00995DD9"/>
    <w:rsid w:val="009B4476"/>
    <w:rsid w:val="009B7589"/>
    <w:rsid w:val="009C1946"/>
    <w:rsid w:val="009C1F02"/>
    <w:rsid w:val="009C3783"/>
    <w:rsid w:val="009C4E7E"/>
    <w:rsid w:val="009D5B0C"/>
    <w:rsid w:val="009D6951"/>
    <w:rsid w:val="009D7DD1"/>
    <w:rsid w:val="009E0351"/>
    <w:rsid w:val="009E214B"/>
    <w:rsid w:val="009E53AF"/>
    <w:rsid w:val="009F0270"/>
    <w:rsid w:val="009F5575"/>
    <w:rsid w:val="009F61FA"/>
    <w:rsid w:val="00A05796"/>
    <w:rsid w:val="00A13CB0"/>
    <w:rsid w:val="00A14FD8"/>
    <w:rsid w:val="00A22CA1"/>
    <w:rsid w:val="00A3010D"/>
    <w:rsid w:val="00A37239"/>
    <w:rsid w:val="00A4595D"/>
    <w:rsid w:val="00A51146"/>
    <w:rsid w:val="00A61D3A"/>
    <w:rsid w:val="00A66833"/>
    <w:rsid w:val="00A66C46"/>
    <w:rsid w:val="00A70DCF"/>
    <w:rsid w:val="00A72437"/>
    <w:rsid w:val="00A73FDF"/>
    <w:rsid w:val="00A74CEB"/>
    <w:rsid w:val="00A824B9"/>
    <w:rsid w:val="00A870DD"/>
    <w:rsid w:val="00A94215"/>
    <w:rsid w:val="00A96157"/>
    <w:rsid w:val="00A969AF"/>
    <w:rsid w:val="00A9729E"/>
    <w:rsid w:val="00AA1F69"/>
    <w:rsid w:val="00AA4CDF"/>
    <w:rsid w:val="00AB2E95"/>
    <w:rsid w:val="00AB348F"/>
    <w:rsid w:val="00AB46DC"/>
    <w:rsid w:val="00AB64FC"/>
    <w:rsid w:val="00AB7D36"/>
    <w:rsid w:val="00AC1390"/>
    <w:rsid w:val="00AC13EE"/>
    <w:rsid w:val="00AC4663"/>
    <w:rsid w:val="00AD3A0A"/>
    <w:rsid w:val="00AE1DD2"/>
    <w:rsid w:val="00AE4106"/>
    <w:rsid w:val="00AF1AFB"/>
    <w:rsid w:val="00B0722C"/>
    <w:rsid w:val="00B12138"/>
    <w:rsid w:val="00B17749"/>
    <w:rsid w:val="00B17AE9"/>
    <w:rsid w:val="00B17C05"/>
    <w:rsid w:val="00B20334"/>
    <w:rsid w:val="00B20819"/>
    <w:rsid w:val="00B225B9"/>
    <w:rsid w:val="00B22F11"/>
    <w:rsid w:val="00B24AB1"/>
    <w:rsid w:val="00B326BC"/>
    <w:rsid w:val="00B36BD9"/>
    <w:rsid w:val="00B41A4C"/>
    <w:rsid w:val="00B43095"/>
    <w:rsid w:val="00B43D01"/>
    <w:rsid w:val="00B446CA"/>
    <w:rsid w:val="00B5093C"/>
    <w:rsid w:val="00B50F30"/>
    <w:rsid w:val="00B54356"/>
    <w:rsid w:val="00B55FE5"/>
    <w:rsid w:val="00B62917"/>
    <w:rsid w:val="00B64CD0"/>
    <w:rsid w:val="00B65FE0"/>
    <w:rsid w:val="00B74609"/>
    <w:rsid w:val="00B752B2"/>
    <w:rsid w:val="00B77A67"/>
    <w:rsid w:val="00B80E39"/>
    <w:rsid w:val="00B824A5"/>
    <w:rsid w:val="00B8588F"/>
    <w:rsid w:val="00B858F1"/>
    <w:rsid w:val="00B85A4B"/>
    <w:rsid w:val="00B8684C"/>
    <w:rsid w:val="00B87F31"/>
    <w:rsid w:val="00B97CD9"/>
    <w:rsid w:val="00BA3BA6"/>
    <w:rsid w:val="00BA5A2D"/>
    <w:rsid w:val="00BA5B8F"/>
    <w:rsid w:val="00BB2B54"/>
    <w:rsid w:val="00BC1F2B"/>
    <w:rsid w:val="00BC3CA1"/>
    <w:rsid w:val="00BC49E5"/>
    <w:rsid w:val="00BC6DB1"/>
    <w:rsid w:val="00BC76D8"/>
    <w:rsid w:val="00BD3194"/>
    <w:rsid w:val="00BD5B5F"/>
    <w:rsid w:val="00BD5C5A"/>
    <w:rsid w:val="00BD5FA8"/>
    <w:rsid w:val="00BE23E5"/>
    <w:rsid w:val="00BE31E6"/>
    <w:rsid w:val="00BF1713"/>
    <w:rsid w:val="00BF2772"/>
    <w:rsid w:val="00BF757E"/>
    <w:rsid w:val="00BF7C0E"/>
    <w:rsid w:val="00BF7F5A"/>
    <w:rsid w:val="00C17719"/>
    <w:rsid w:val="00C20730"/>
    <w:rsid w:val="00C2470A"/>
    <w:rsid w:val="00C335D8"/>
    <w:rsid w:val="00C44FAB"/>
    <w:rsid w:val="00C50E12"/>
    <w:rsid w:val="00C54491"/>
    <w:rsid w:val="00C60111"/>
    <w:rsid w:val="00C7018A"/>
    <w:rsid w:val="00C71B43"/>
    <w:rsid w:val="00C74D8F"/>
    <w:rsid w:val="00C751A9"/>
    <w:rsid w:val="00C766DD"/>
    <w:rsid w:val="00C76BDF"/>
    <w:rsid w:val="00C775CE"/>
    <w:rsid w:val="00C8030E"/>
    <w:rsid w:val="00C85BE3"/>
    <w:rsid w:val="00C91697"/>
    <w:rsid w:val="00C92DD7"/>
    <w:rsid w:val="00C92EAA"/>
    <w:rsid w:val="00C964A7"/>
    <w:rsid w:val="00C97BAD"/>
    <w:rsid w:val="00CA06C0"/>
    <w:rsid w:val="00CA148F"/>
    <w:rsid w:val="00CA29F9"/>
    <w:rsid w:val="00CA63FB"/>
    <w:rsid w:val="00CB09AE"/>
    <w:rsid w:val="00CB6B73"/>
    <w:rsid w:val="00CC218D"/>
    <w:rsid w:val="00CC6334"/>
    <w:rsid w:val="00CC677A"/>
    <w:rsid w:val="00CD008E"/>
    <w:rsid w:val="00CD49B4"/>
    <w:rsid w:val="00CD5B18"/>
    <w:rsid w:val="00CD6EDC"/>
    <w:rsid w:val="00CE0F8C"/>
    <w:rsid w:val="00CE2D1F"/>
    <w:rsid w:val="00CE6EC8"/>
    <w:rsid w:val="00CF1561"/>
    <w:rsid w:val="00CF1A40"/>
    <w:rsid w:val="00CF36EF"/>
    <w:rsid w:val="00CF4AE2"/>
    <w:rsid w:val="00CF5090"/>
    <w:rsid w:val="00CF5EA4"/>
    <w:rsid w:val="00D07DD9"/>
    <w:rsid w:val="00D1110F"/>
    <w:rsid w:val="00D15B10"/>
    <w:rsid w:val="00D163E4"/>
    <w:rsid w:val="00D219F6"/>
    <w:rsid w:val="00D223A8"/>
    <w:rsid w:val="00D23E20"/>
    <w:rsid w:val="00D30FA6"/>
    <w:rsid w:val="00D32842"/>
    <w:rsid w:val="00D34FAA"/>
    <w:rsid w:val="00D407EB"/>
    <w:rsid w:val="00D454AB"/>
    <w:rsid w:val="00D536AB"/>
    <w:rsid w:val="00D54E0C"/>
    <w:rsid w:val="00D5537A"/>
    <w:rsid w:val="00D71136"/>
    <w:rsid w:val="00D77F36"/>
    <w:rsid w:val="00D81EA9"/>
    <w:rsid w:val="00D841FA"/>
    <w:rsid w:val="00D9057D"/>
    <w:rsid w:val="00DA026E"/>
    <w:rsid w:val="00DA576E"/>
    <w:rsid w:val="00DA5CBD"/>
    <w:rsid w:val="00DA68C3"/>
    <w:rsid w:val="00DB0A86"/>
    <w:rsid w:val="00DB57B7"/>
    <w:rsid w:val="00DC33CF"/>
    <w:rsid w:val="00DC3415"/>
    <w:rsid w:val="00DD393A"/>
    <w:rsid w:val="00DD3DE6"/>
    <w:rsid w:val="00DE4534"/>
    <w:rsid w:val="00DF06FF"/>
    <w:rsid w:val="00DF31D4"/>
    <w:rsid w:val="00DF3D3A"/>
    <w:rsid w:val="00DF4228"/>
    <w:rsid w:val="00E002C9"/>
    <w:rsid w:val="00E00E15"/>
    <w:rsid w:val="00E04106"/>
    <w:rsid w:val="00E06670"/>
    <w:rsid w:val="00E1684E"/>
    <w:rsid w:val="00E17266"/>
    <w:rsid w:val="00E25265"/>
    <w:rsid w:val="00E26E0B"/>
    <w:rsid w:val="00E34E6C"/>
    <w:rsid w:val="00E37CC5"/>
    <w:rsid w:val="00E47752"/>
    <w:rsid w:val="00E53030"/>
    <w:rsid w:val="00E56652"/>
    <w:rsid w:val="00E60598"/>
    <w:rsid w:val="00E62C9E"/>
    <w:rsid w:val="00E63369"/>
    <w:rsid w:val="00E63569"/>
    <w:rsid w:val="00E72A7A"/>
    <w:rsid w:val="00E80756"/>
    <w:rsid w:val="00E81F96"/>
    <w:rsid w:val="00E8302B"/>
    <w:rsid w:val="00E83E34"/>
    <w:rsid w:val="00E847A3"/>
    <w:rsid w:val="00E84F8C"/>
    <w:rsid w:val="00E85360"/>
    <w:rsid w:val="00E85641"/>
    <w:rsid w:val="00E85DA4"/>
    <w:rsid w:val="00E862C9"/>
    <w:rsid w:val="00E86B42"/>
    <w:rsid w:val="00E95892"/>
    <w:rsid w:val="00E97354"/>
    <w:rsid w:val="00EA6408"/>
    <w:rsid w:val="00EA72FB"/>
    <w:rsid w:val="00EB1806"/>
    <w:rsid w:val="00EC0483"/>
    <w:rsid w:val="00EC07D9"/>
    <w:rsid w:val="00EC0820"/>
    <w:rsid w:val="00EC33A4"/>
    <w:rsid w:val="00ED0897"/>
    <w:rsid w:val="00ED73FF"/>
    <w:rsid w:val="00ED7F01"/>
    <w:rsid w:val="00ED7FC9"/>
    <w:rsid w:val="00EE4612"/>
    <w:rsid w:val="00EE51DE"/>
    <w:rsid w:val="00EE609F"/>
    <w:rsid w:val="00EF3DE7"/>
    <w:rsid w:val="00EF4DC8"/>
    <w:rsid w:val="00EF5E01"/>
    <w:rsid w:val="00EF6EC0"/>
    <w:rsid w:val="00F02058"/>
    <w:rsid w:val="00F0343C"/>
    <w:rsid w:val="00F04CDC"/>
    <w:rsid w:val="00F04CE5"/>
    <w:rsid w:val="00F050FF"/>
    <w:rsid w:val="00F11C25"/>
    <w:rsid w:val="00F13514"/>
    <w:rsid w:val="00F1360F"/>
    <w:rsid w:val="00F16AA8"/>
    <w:rsid w:val="00F21791"/>
    <w:rsid w:val="00F30587"/>
    <w:rsid w:val="00F3226A"/>
    <w:rsid w:val="00F33DB0"/>
    <w:rsid w:val="00F4012D"/>
    <w:rsid w:val="00F45DB8"/>
    <w:rsid w:val="00F54D29"/>
    <w:rsid w:val="00F62BCD"/>
    <w:rsid w:val="00F723F8"/>
    <w:rsid w:val="00F74B77"/>
    <w:rsid w:val="00F76354"/>
    <w:rsid w:val="00F764FE"/>
    <w:rsid w:val="00F80625"/>
    <w:rsid w:val="00F827B6"/>
    <w:rsid w:val="00F83DCE"/>
    <w:rsid w:val="00F83E64"/>
    <w:rsid w:val="00F92BE5"/>
    <w:rsid w:val="00F97C80"/>
    <w:rsid w:val="00FA0574"/>
    <w:rsid w:val="00FB68D3"/>
    <w:rsid w:val="00FB7F76"/>
    <w:rsid w:val="00FC1E89"/>
    <w:rsid w:val="00FC4B75"/>
    <w:rsid w:val="00FC4BCE"/>
    <w:rsid w:val="00FD0EA2"/>
    <w:rsid w:val="00FE2435"/>
    <w:rsid w:val="00FE7554"/>
    <w:rsid w:val="00FF17FE"/>
    <w:rsid w:val="00FF7E1C"/>
    <w:rsid w:val="024B42F4"/>
    <w:rsid w:val="05754D99"/>
    <w:rsid w:val="05FF1595"/>
    <w:rsid w:val="06794366"/>
    <w:rsid w:val="07390723"/>
    <w:rsid w:val="07F51B57"/>
    <w:rsid w:val="0A3E62CA"/>
    <w:rsid w:val="0B7A7251"/>
    <w:rsid w:val="12DA20DB"/>
    <w:rsid w:val="175566C3"/>
    <w:rsid w:val="18DF2EC1"/>
    <w:rsid w:val="1BB35E3C"/>
    <w:rsid w:val="1C7D0AEC"/>
    <w:rsid w:val="20587439"/>
    <w:rsid w:val="22973E27"/>
    <w:rsid w:val="291718D0"/>
    <w:rsid w:val="292F0982"/>
    <w:rsid w:val="29F97B5A"/>
    <w:rsid w:val="2B3B12E2"/>
    <w:rsid w:val="2F3C789B"/>
    <w:rsid w:val="331464CE"/>
    <w:rsid w:val="37F72B33"/>
    <w:rsid w:val="394702FC"/>
    <w:rsid w:val="3EC84D62"/>
    <w:rsid w:val="42200080"/>
    <w:rsid w:val="422C694B"/>
    <w:rsid w:val="433636B7"/>
    <w:rsid w:val="451C4961"/>
    <w:rsid w:val="467B05E4"/>
    <w:rsid w:val="46B7043C"/>
    <w:rsid w:val="46BD245B"/>
    <w:rsid w:val="488C513A"/>
    <w:rsid w:val="49350B89"/>
    <w:rsid w:val="4CD174D7"/>
    <w:rsid w:val="4E5D3817"/>
    <w:rsid w:val="50A34ABB"/>
    <w:rsid w:val="540A3ECB"/>
    <w:rsid w:val="553B1EE9"/>
    <w:rsid w:val="58090325"/>
    <w:rsid w:val="60E27A91"/>
    <w:rsid w:val="64B27796"/>
    <w:rsid w:val="658B50AB"/>
    <w:rsid w:val="674925B7"/>
    <w:rsid w:val="6A7259FE"/>
    <w:rsid w:val="6E2A4841"/>
    <w:rsid w:val="6E5561F5"/>
    <w:rsid w:val="729A7263"/>
    <w:rsid w:val="72BA6A94"/>
    <w:rsid w:val="74E52883"/>
    <w:rsid w:val="7E0C7AC0"/>
    <w:rsid w:val="7F05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link w:val="28"/>
    <w:qFormat/>
    <w:uiPriority w:val="0"/>
    <w:pPr>
      <w:keepNext/>
      <w:keepLines/>
      <w:spacing w:before="260" w:after="260" w:line="416" w:lineRule="auto"/>
      <w:outlineLvl w:val="2"/>
    </w:pPr>
    <w:rPr>
      <w:b/>
      <w:bCs/>
      <w:sz w:val="30"/>
      <w:szCs w:val="30"/>
      <w:lang w:val="zh-CN"/>
    </w:rPr>
  </w:style>
  <w:style w:type="paragraph" w:styleId="6">
    <w:name w:val="heading 4"/>
    <w:basedOn w:val="1"/>
    <w:next w:val="1"/>
    <w:link w:val="29"/>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7">
    <w:name w:val="heading 5"/>
    <w:basedOn w:val="1"/>
    <w:next w:val="1"/>
    <w:link w:val="30"/>
    <w:qFormat/>
    <w:uiPriority w:val="0"/>
    <w:pPr>
      <w:keepNext/>
      <w:keepLines/>
      <w:numPr>
        <w:ilvl w:val="4"/>
        <w:numId w:val="1"/>
      </w:numPr>
      <w:spacing w:before="280" w:after="290" w:line="376" w:lineRule="auto"/>
      <w:outlineLvl w:val="4"/>
    </w:pPr>
    <w:rPr>
      <w:b/>
      <w:bCs/>
      <w:sz w:val="28"/>
      <w:szCs w:val="28"/>
      <w:lang w:val="zh-CN"/>
    </w:rPr>
  </w:style>
  <w:style w:type="paragraph" w:styleId="8">
    <w:name w:val="heading 6"/>
    <w:basedOn w:val="1"/>
    <w:next w:val="1"/>
    <w:link w:val="31"/>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9">
    <w:name w:val="heading 7"/>
    <w:basedOn w:val="1"/>
    <w:next w:val="1"/>
    <w:link w:val="32"/>
    <w:qFormat/>
    <w:uiPriority w:val="0"/>
    <w:pPr>
      <w:keepNext/>
      <w:keepLines/>
      <w:numPr>
        <w:ilvl w:val="6"/>
        <w:numId w:val="1"/>
      </w:numPr>
      <w:spacing w:before="240" w:after="64" w:line="320" w:lineRule="auto"/>
      <w:outlineLvl w:val="6"/>
    </w:pPr>
    <w:rPr>
      <w:b/>
      <w:bCs/>
      <w:sz w:val="24"/>
      <w:lang w:val="zh-CN"/>
    </w:rPr>
  </w:style>
  <w:style w:type="paragraph" w:styleId="10">
    <w:name w:val="heading 8"/>
    <w:basedOn w:val="1"/>
    <w:next w:val="1"/>
    <w:link w:val="33"/>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1">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12">
    <w:name w:val="Normal Indent"/>
    <w:basedOn w:val="1"/>
    <w:link w:val="35"/>
    <w:qFormat/>
    <w:uiPriority w:val="99"/>
    <w:pPr>
      <w:spacing w:before="120" w:beforeLines="50" w:line="360" w:lineRule="auto"/>
      <w:ind w:firstLine="512" w:firstLineChars="200"/>
    </w:pPr>
    <w:rPr>
      <w:spacing w:val="8"/>
      <w:sz w:val="24"/>
      <w:szCs w:val="20"/>
    </w:rPr>
  </w:style>
  <w:style w:type="paragraph" w:styleId="13">
    <w:name w:val="annotation text"/>
    <w:basedOn w:val="1"/>
    <w:link w:val="36"/>
    <w:unhideWhenUsed/>
    <w:qFormat/>
    <w:uiPriority w:val="0"/>
    <w:pPr>
      <w:jc w:val="left"/>
    </w:pPr>
    <w:rPr>
      <w:kern w:val="0"/>
      <w:sz w:val="20"/>
      <w:lang w:val="zh-CN"/>
    </w:rPr>
  </w:style>
  <w:style w:type="paragraph" w:styleId="14">
    <w:name w:val="Plain Text"/>
    <w:basedOn w:val="1"/>
    <w:link w:val="37"/>
    <w:qFormat/>
    <w:uiPriority w:val="0"/>
    <w:rPr>
      <w:rFonts w:ascii="Calibri" w:hAnsi="Courier New"/>
      <w:szCs w:val="20"/>
      <w:lang w:val="zh-CN"/>
    </w:rPr>
  </w:style>
  <w:style w:type="paragraph" w:styleId="15">
    <w:name w:val="Balloon Text"/>
    <w:basedOn w:val="1"/>
    <w:link w:val="38"/>
    <w:qFormat/>
    <w:uiPriority w:val="0"/>
    <w:rPr>
      <w:sz w:val="18"/>
      <w:szCs w:val="18"/>
      <w:lang w:val="zh-CN"/>
    </w:rPr>
  </w:style>
  <w:style w:type="paragraph" w:styleId="16">
    <w:name w:val="footer"/>
    <w:basedOn w:val="1"/>
    <w:link w:val="39"/>
    <w:qFormat/>
    <w:uiPriority w:val="0"/>
    <w:pPr>
      <w:tabs>
        <w:tab w:val="center" w:pos="4153"/>
        <w:tab w:val="right" w:pos="8306"/>
      </w:tabs>
      <w:snapToGrid w:val="0"/>
      <w:jc w:val="left"/>
    </w:pPr>
    <w:rPr>
      <w:sz w:val="18"/>
      <w:szCs w:val="18"/>
      <w:lang w:val="zh-CN"/>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Subtitle"/>
    <w:basedOn w:val="1"/>
    <w:next w:val="1"/>
    <w:link w:val="65"/>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13"/>
    <w:next w:val="13"/>
    <w:link w:val="66"/>
    <w:qFormat/>
    <w:uiPriority w:val="0"/>
    <w:rPr>
      <w:b/>
      <w:bCs/>
      <w:kern w:val="2"/>
      <w:sz w:val="21"/>
      <w:lang w:val="en-US"/>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qFormat/>
    <w:uiPriority w:val="0"/>
    <w:rPr>
      <w:color w:val="0563C1"/>
      <w:u w:val="single"/>
    </w:rPr>
  </w:style>
  <w:style w:type="character" w:styleId="25">
    <w:name w:val="annotation reference"/>
    <w:unhideWhenUsed/>
    <w:qFormat/>
    <w:uiPriority w:val="99"/>
    <w:rPr>
      <w:sz w:val="21"/>
      <w:szCs w:val="21"/>
    </w:rPr>
  </w:style>
  <w:style w:type="character" w:customStyle="1" w:styleId="26">
    <w:name w:val="标题 1 字符"/>
    <w:link w:val="3"/>
    <w:qFormat/>
    <w:uiPriority w:val="0"/>
    <w:rPr>
      <w:b/>
      <w:bCs/>
      <w:kern w:val="44"/>
      <w:sz w:val="44"/>
      <w:szCs w:val="44"/>
      <w:lang w:val="zh-CN" w:eastAsia="zh-CN"/>
    </w:rPr>
  </w:style>
  <w:style w:type="character" w:customStyle="1" w:styleId="27">
    <w:name w:val="标题 2 字符"/>
    <w:link w:val="4"/>
    <w:qFormat/>
    <w:uiPriority w:val="0"/>
    <w:rPr>
      <w:rFonts w:ascii="等线 Light" w:hAnsi="等线 Light" w:eastAsia="等线 Light" w:cs="Times New Roman"/>
      <w:b/>
      <w:bCs/>
      <w:kern w:val="2"/>
      <w:sz w:val="32"/>
      <w:szCs w:val="32"/>
    </w:rPr>
  </w:style>
  <w:style w:type="character" w:customStyle="1" w:styleId="28">
    <w:name w:val="标题 3 字符"/>
    <w:link w:val="5"/>
    <w:qFormat/>
    <w:uiPriority w:val="0"/>
    <w:rPr>
      <w:b/>
      <w:bCs/>
      <w:kern w:val="2"/>
      <w:sz w:val="30"/>
      <w:szCs w:val="30"/>
    </w:rPr>
  </w:style>
  <w:style w:type="character" w:customStyle="1" w:styleId="29">
    <w:name w:val="标题 4 字符"/>
    <w:link w:val="6"/>
    <w:qFormat/>
    <w:uiPriority w:val="0"/>
    <w:rPr>
      <w:rFonts w:ascii="宋体" w:hAnsi="宋体"/>
      <w:b/>
      <w:bCs/>
      <w:kern w:val="2"/>
      <w:sz w:val="28"/>
      <w:szCs w:val="28"/>
    </w:rPr>
  </w:style>
  <w:style w:type="character" w:customStyle="1" w:styleId="30">
    <w:name w:val="标题 5 字符"/>
    <w:link w:val="7"/>
    <w:qFormat/>
    <w:uiPriority w:val="0"/>
    <w:rPr>
      <w:b/>
      <w:bCs/>
      <w:kern w:val="2"/>
      <w:sz w:val="28"/>
      <w:szCs w:val="28"/>
    </w:rPr>
  </w:style>
  <w:style w:type="character" w:customStyle="1" w:styleId="31">
    <w:name w:val="标题 6 字符"/>
    <w:link w:val="8"/>
    <w:semiHidden/>
    <w:qFormat/>
    <w:uiPriority w:val="0"/>
    <w:rPr>
      <w:rFonts w:ascii="等线 Light" w:hAnsi="等线 Light" w:eastAsia="等线 Light"/>
      <w:b/>
      <w:bCs/>
      <w:kern w:val="2"/>
      <w:sz w:val="24"/>
      <w:szCs w:val="24"/>
    </w:rPr>
  </w:style>
  <w:style w:type="character" w:customStyle="1" w:styleId="32">
    <w:name w:val="标题 7 字符"/>
    <w:link w:val="9"/>
    <w:semiHidden/>
    <w:qFormat/>
    <w:uiPriority w:val="0"/>
    <w:rPr>
      <w:b/>
      <w:bCs/>
      <w:kern w:val="2"/>
      <w:sz w:val="24"/>
      <w:szCs w:val="24"/>
    </w:rPr>
  </w:style>
  <w:style w:type="character" w:customStyle="1" w:styleId="33">
    <w:name w:val="标题 8 字符"/>
    <w:link w:val="10"/>
    <w:semiHidden/>
    <w:qFormat/>
    <w:uiPriority w:val="0"/>
    <w:rPr>
      <w:rFonts w:ascii="等线 Light" w:hAnsi="等线 Light" w:eastAsia="等线 Light"/>
      <w:kern w:val="2"/>
      <w:sz w:val="24"/>
      <w:szCs w:val="24"/>
    </w:rPr>
  </w:style>
  <w:style w:type="character" w:customStyle="1" w:styleId="34">
    <w:name w:val="标题 9 字符"/>
    <w:link w:val="11"/>
    <w:semiHidden/>
    <w:qFormat/>
    <w:uiPriority w:val="0"/>
    <w:rPr>
      <w:rFonts w:ascii="等线 Light" w:hAnsi="等线 Light" w:eastAsia="等线 Light"/>
      <w:kern w:val="2"/>
      <w:sz w:val="21"/>
      <w:szCs w:val="21"/>
    </w:rPr>
  </w:style>
  <w:style w:type="character" w:customStyle="1" w:styleId="35">
    <w:name w:val="正文缩进 字符"/>
    <w:link w:val="12"/>
    <w:qFormat/>
    <w:uiPriority w:val="99"/>
    <w:rPr>
      <w:spacing w:val="8"/>
      <w:kern w:val="2"/>
      <w:sz w:val="24"/>
      <w:lang w:val="en-US" w:eastAsia="zh-CN"/>
    </w:rPr>
  </w:style>
  <w:style w:type="character" w:customStyle="1" w:styleId="36">
    <w:name w:val="批注文字 字符1"/>
    <w:link w:val="13"/>
    <w:qFormat/>
    <w:uiPriority w:val="0"/>
    <w:rPr>
      <w:szCs w:val="24"/>
    </w:rPr>
  </w:style>
  <w:style w:type="character" w:customStyle="1" w:styleId="37">
    <w:name w:val="纯文本 字符"/>
    <w:link w:val="14"/>
    <w:qFormat/>
    <w:uiPriority w:val="0"/>
    <w:rPr>
      <w:rFonts w:ascii="Calibri" w:hAnsi="Courier New"/>
      <w:kern w:val="2"/>
      <w:sz w:val="21"/>
    </w:rPr>
  </w:style>
  <w:style w:type="character" w:customStyle="1" w:styleId="38">
    <w:name w:val="批注框文本 字符"/>
    <w:link w:val="15"/>
    <w:qFormat/>
    <w:uiPriority w:val="0"/>
    <w:rPr>
      <w:kern w:val="2"/>
      <w:sz w:val="18"/>
      <w:szCs w:val="18"/>
    </w:rPr>
  </w:style>
  <w:style w:type="character" w:customStyle="1" w:styleId="39">
    <w:name w:val="页脚 字符1"/>
    <w:link w:val="16"/>
    <w:qFormat/>
    <w:uiPriority w:val="0"/>
    <w:rPr>
      <w:kern w:val="2"/>
      <w:sz w:val="18"/>
      <w:szCs w:val="18"/>
    </w:rPr>
  </w:style>
  <w:style w:type="character" w:customStyle="1" w:styleId="40">
    <w:name w:val="页眉 字符"/>
    <w:link w:val="17"/>
    <w:qFormat/>
    <w:uiPriority w:val="0"/>
    <w:rPr>
      <w:kern w:val="2"/>
      <w:sz w:val="18"/>
      <w:szCs w:val="18"/>
    </w:rPr>
  </w:style>
  <w:style w:type="character" w:customStyle="1" w:styleId="41">
    <w:name w:val="已访问的超链接1"/>
    <w:qFormat/>
    <w:uiPriority w:val="0"/>
    <w:rPr>
      <w:color w:val="800080"/>
      <w:u w:val="single"/>
    </w:rPr>
  </w:style>
  <w:style w:type="character" w:customStyle="1" w:styleId="42">
    <w:name w:val="正文（首行缩进2字符） Char"/>
    <w:link w:val="43"/>
    <w:qFormat/>
    <w:uiPriority w:val="0"/>
    <w:rPr>
      <w:kern w:val="2"/>
      <w:sz w:val="24"/>
      <w:szCs w:val="24"/>
    </w:rPr>
  </w:style>
  <w:style w:type="paragraph" w:customStyle="1" w:styleId="43">
    <w:name w:val="正文（首行缩进2字符）"/>
    <w:basedOn w:val="1"/>
    <w:link w:val="42"/>
    <w:qFormat/>
    <w:uiPriority w:val="0"/>
    <w:pPr>
      <w:spacing w:line="360" w:lineRule="auto"/>
      <w:ind w:firstLine="480" w:firstLineChars="200"/>
    </w:pPr>
    <w:rPr>
      <w:sz w:val="24"/>
      <w:lang w:val="zh-CN"/>
    </w:rPr>
  </w:style>
  <w:style w:type="character" w:customStyle="1" w:styleId="44">
    <w:name w:val="段落 Char1"/>
    <w:link w:val="45"/>
    <w:qFormat/>
    <w:uiPriority w:val="0"/>
    <w:rPr>
      <w:rFonts w:eastAsia="仿宋_GB2312"/>
      <w:sz w:val="24"/>
      <w:szCs w:val="24"/>
      <w:lang w:val="en-US" w:eastAsia="zh-CN" w:bidi="ar-SA"/>
    </w:rPr>
  </w:style>
  <w:style w:type="paragraph" w:customStyle="1" w:styleId="45">
    <w:name w:val="段落"/>
    <w:link w:val="44"/>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qFormat/>
    <w:uiPriority w:val="0"/>
    <w:rPr>
      <w:rFonts w:ascii="Arial" w:hAnsi="Arial"/>
      <w:sz w:val="21"/>
      <w:szCs w:val="21"/>
      <w:lang w:val="en-US" w:eastAsia="zh-CN" w:bidi="ar-SA"/>
    </w:rPr>
  </w:style>
  <w:style w:type="paragraph" w:customStyle="1" w:styleId="47">
    <w:name w:val="正文（安华金和）"/>
    <w:link w:val="46"/>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8">
    <w:name w:val="页脚 字符"/>
    <w:qFormat/>
    <w:uiPriority w:val="99"/>
  </w:style>
  <w:style w:type="character" w:customStyle="1" w:styleId="49">
    <w:name w:val="列表段落 字符"/>
    <w:link w:val="50"/>
    <w:qFormat/>
    <w:uiPriority w:val="34"/>
    <w:rPr>
      <w:rFonts w:ascii="等线" w:hAnsi="等线" w:eastAsia="等线"/>
      <w:kern w:val="2"/>
      <w:sz w:val="21"/>
      <w:szCs w:val="22"/>
    </w:rPr>
  </w:style>
  <w:style w:type="paragraph" w:styleId="50">
    <w:name w:val="List Paragraph"/>
    <w:basedOn w:val="1"/>
    <w:link w:val="49"/>
    <w:qFormat/>
    <w:uiPriority w:val="34"/>
    <w:pPr>
      <w:ind w:firstLine="420" w:firstLineChars="200"/>
    </w:pPr>
    <w:rPr>
      <w:rFonts w:ascii="等线" w:hAnsi="等线" w:eastAsia="等线"/>
      <w:szCs w:val="22"/>
      <w:lang w:val="zh-CN"/>
    </w:rPr>
  </w:style>
  <w:style w:type="paragraph" w:customStyle="1" w:styleId="51">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2">
    <w:name w:val="标题 2（DBSec）"/>
    <w:basedOn w:val="4"/>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qFormat/>
    <w:uiPriority w:val="34"/>
    <w:pPr>
      <w:widowControl/>
      <w:spacing w:line="240" w:lineRule="atLeast"/>
      <w:ind w:firstLine="420" w:firstLineChars="200"/>
    </w:pPr>
    <w:rPr>
      <w:rFonts w:ascii="Arial" w:hAnsi="Arial"/>
      <w:kern w:val="0"/>
      <w:szCs w:val="21"/>
    </w:rPr>
  </w:style>
  <w:style w:type="paragraph" w:customStyle="1" w:styleId="55">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6">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7">
    <w:name w:val="标题 4（DBSec）"/>
    <w:basedOn w:val="6"/>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8">
    <w:name w:val="标题 3（DBSec）"/>
    <w:basedOn w:val="5"/>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9">
    <w:name w:val="标题 1（DBSec）"/>
    <w:basedOn w:val="3"/>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0">
    <w:name w:val="彩色列表 - 着色 11"/>
    <w:basedOn w:val="1"/>
    <w:qFormat/>
    <w:uiPriority w:val="34"/>
    <w:pPr>
      <w:spacing w:line="360" w:lineRule="auto"/>
      <w:ind w:firstLine="420" w:firstLineChars="200"/>
    </w:pPr>
    <w:rPr>
      <w:rFonts w:ascii="Arial" w:hAnsi="Arial"/>
      <w:szCs w:val="21"/>
    </w:rPr>
  </w:style>
  <w:style w:type="paragraph" w:customStyle="1" w:styleId="61">
    <w:name w:val="表格标注（安华金和）"/>
    <w:basedOn w:val="51"/>
    <w:next w:val="1"/>
    <w:qFormat/>
    <w:uiPriority w:val="0"/>
    <w:pPr>
      <w:numPr>
        <w:ilvl w:val="7"/>
      </w:numPr>
    </w:pPr>
  </w:style>
  <w:style w:type="paragraph" w:customStyle="1" w:styleId="62">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3">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4">
    <w:name w:val="批注文字 字符"/>
    <w:qFormat/>
    <w:uiPriority w:val="99"/>
    <w:rPr>
      <w:kern w:val="2"/>
      <w:sz w:val="21"/>
      <w:szCs w:val="24"/>
    </w:rPr>
  </w:style>
  <w:style w:type="character" w:customStyle="1" w:styleId="65">
    <w:name w:val="副标题 字符"/>
    <w:link w:val="18"/>
    <w:qFormat/>
    <w:uiPriority w:val="0"/>
    <w:rPr>
      <w:rFonts w:ascii="Cambria" w:hAnsi="Cambria"/>
      <w:b/>
      <w:bCs/>
      <w:kern w:val="28"/>
      <w:sz w:val="32"/>
      <w:szCs w:val="32"/>
      <w:lang w:eastAsia="en-US"/>
    </w:rPr>
  </w:style>
  <w:style w:type="character" w:customStyle="1" w:styleId="66">
    <w:name w:val="批注主题 字符"/>
    <w:basedOn w:val="36"/>
    <w:link w:val="20"/>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3741</Words>
  <Characters>3856</Characters>
  <Lines>75</Lines>
  <Paragraphs>21</Paragraphs>
  <TotalTime>2</TotalTime>
  <ScaleCrop>false</ScaleCrop>
  <LinksUpToDate>false</LinksUpToDate>
  <CharactersWithSpaces>3861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蓉</cp:lastModifiedBy>
  <dcterms:modified xsi:type="dcterms:W3CDTF">2022-11-11T09:55:54Z</dcterms:modified>
  <dc:title>1</dc:title>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E6BF652D54F944798887341195E59480</vt:lpwstr>
  </property>
</Properties>
</file>