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ascii="微软雅黑" w:hAnsi="微软雅黑" w:eastAsia="微软雅黑" w:cs="Calibri Light"/>
          <w:sz w:val="42"/>
          <w:szCs w:val="42"/>
        </w:rPr>
      </w:pPr>
      <w:r>
        <w:rPr>
          <w:rFonts w:hint="eastAsia" w:ascii="微软雅黑" w:hAnsi="微软雅黑" w:eastAsia="微软雅黑" w:cs="Calibri Light"/>
          <w:sz w:val="42"/>
          <w:szCs w:val="42"/>
        </w:rPr>
        <w:t>类器官科研项目</w:t>
      </w:r>
      <w:r>
        <w:rPr>
          <w:rFonts w:ascii="微软雅黑" w:hAnsi="微软雅黑" w:eastAsia="微软雅黑" w:cs="Calibri Light"/>
          <w:sz w:val="42"/>
          <w:szCs w:val="42"/>
        </w:rPr>
        <w:t>需求</w:t>
      </w:r>
    </w:p>
    <w:p>
      <w:pPr>
        <w:pStyle w:val="2"/>
        <w:numPr>
          <w:ilvl w:val="0"/>
          <w:numId w:val="3"/>
        </w:numPr>
        <w:spacing w:before="0" w:after="0" w:line="360" w:lineRule="auto"/>
        <w:rPr>
          <w:rFonts w:ascii="微软雅黑" w:hAnsi="微软雅黑" w:eastAsia="微软雅黑" w:cs="Calibri Light"/>
          <w:sz w:val="22"/>
        </w:rPr>
      </w:pPr>
      <w:r>
        <w:rPr>
          <w:rFonts w:ascii="微软雅黑" w:hAnsi="微软雅黑" w:eastAsia="微软雅黑" w:cs="Calibri Light"/>
          <w:sz w:val="32"/>
          <w:szCs w:val="32"/>
        </w:rPr>
        <w:t>项目名称</w:t>
      </w:r>
    </w:p>
    <w:p>
      <w:pPr>
        <w:ind w:firstLine="420"/>
        <w:rPr>
          <w:rFonts w:ascii="微软雅黑" w:hAnsi="微软雅黑" w:eastAsia="微软雅黑"/>
          <w:szCs w:val="21"/>
        </w:rPr>
      </w:pPr>
      <w:r>
        <w:rPr>
          <w:rFonts w:hint="eastAsia" w:ascii="微软雅黑" w:hAnsi="微软雅黑" w:eastAsia="微软雅黑"/>
          <w:szCs w:val="21"/>
        </w:rPr>
        <w:t>类器官科研项目</w:t>
      </w:r>
    </w:p>
    <w:p>
      <w:pPr>
        <w:pStyle w:val="2"/>
        <w:numPr>
          <w:ilvl w:val="0"/>
          <w:numId w:val="3"/>
        </w:numPr>
        <w:spacing w:before="0" w:after="0"/>
        <w:rPr>
          <w:rFonts w:ascii="微软雅黑" w:hAnsi="微软雅黑" w:eastAsia="微软雅黑" w:cs="Calibri Light"/>
          <w:sz w:val="32"/>
          <w:szCs w:val="32"/>
        </w:rPr>
      </w:pPr>
      <w:r>
        <w:rPr>
          <w:rFonts w:ascii="微软雅黑" w:hAnsi="微软雅黑" w:eastAsia="微软雅黑" w:cs="Calibri Light"/>
          <w:sz w:val="32"/>
          <w:szCs w:val="32"/>
        </w:rPr>
        <w:t>项目内容</w:t>
      </w:r>
    </w:p>
    <w:p>
      <w:pPr>
        <w:ind w:firstLine="42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随着生物学研究的不断深入，建立并运用新的研究模型系统已迫在眉睫。虽然传统的研究模型已被广泛应用，但难以准确反映组织、器官在机体中的生理现象。类器官是由多细胞组成的体外三维培养物，是由成体细胞或干细胞（包括胚胎干细胞、成体干细胞、转分化干细胞等）驱动构建形成，能够模拟真实器官的结构和功能。类器官科研项目依托广东省人民医院临床样本资源优势建设具有中国人群特征的疾病（肿瘤）类器官模型的生物样本库，初步纳入胃肠、肺、胰腺、肾等器官的正常（癌旁）和疾病（肿瘤）的样本，建立正常组织（癌旁）和疾病组织（肿瘤）的类器官库，为后续科学研究及临床应用提供生物样本基础。</w:t>
      </w:r>
    </w:p>
    <w:p>
      <w:pPr>
        <w:ind w:firstLine="420"/>
        <w:rPr>
          <w:rFonts w:ascii="微软雅黑" w:hAnsi="微软雅黑" w:eastAsia="微软雅黑" w:cs="Calibri Light"/>
        </w:rPr>
      </w:pPr>
      <w:r>
        <w:rPr>
          <w:rFonts w:ascii="微软雅黑" w:hAnsi="微软雅黑" w:eastAsia="微软雅黑" w:cs="Calibri Light"/>
        </w:rPr>
        <w:t>项目</w:t>
      </w:r>
      <w:r>
        <w:rPr>
          <w:rFonts w:hint="eastAsia" w:ascii="微软雅黑" w:hAnsi="微软雅黑" w:eastAsia="微软雅黑" w:cs="Calibri Light"/>
        </w:rPr>
        <w:t>内容</w:t>
      </w:r>
      <w:r>
        <w:rPr>
          <w:rFonts w:ascii="微软雅黑" w:hAnsi="微软雅黑" w:eastAsia="微软雅黑" w:cs="Calibri Light"/>
        </w:rPr>
        <w:t>如下：</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5132"/>
        <w:gridCol w:w="3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rPr>
                <w:rFonts w:ascii="微软雅黑" w:hAnsi="微软雅黑" w:eastAsia="微软雅黑" w:cs="Calibri Light"/>
                <w:szCs w:val="18"/>
              </w:rPr>
            </w:pPr>
            <w:r>
              <w:rPr>
                <w:rFonts w:hint="eastAsia" w:ascii="微软雅黑" w:hAnsi="微软雅黑" w:eastAsia="微软雅黑" w:cs="Calibri Light"/>
                <w:szCs w:val="18"/>
              </w:rPr>
              <w:t>序号</w:t>
            </w:r>
          </w:p>
        </w:tc>
        <w:tc>
          <w:tcPr>
            <w:tcW w:w="5132" w:type="dxa"/>
          </w:tcPr>
          <w:p>
            <w:pPr>
              <w:jc w:val="center"/>
              <w:rPr>
                <w:rFonts w:ascii="微软雅黑" w:hAnsi="微软雅黑" w:eastAsia="微软雅黑" w:cs="Calibri Light"/>
                <w:szCs w:val="18"/>
              </w:rPr>
            </w:pPr>
            <w:r>
              <w:rPr>
                <w:rFonts w:hint="eastAsia" w:ascii="微软雅黑" w:hAnsi="微软雅黑" w:eastAsia="微软雅黑" w:cs="Calibri Light"/>
                <w:szCs w:val="18"/>
              </w:rPr>
              <w:t>项目名称</w:t>
            </w:r>
          </w:p>
        </w:tc>
        <w:tc>
          <w:tcPr>
            <w:tcW w:w="3232" w:type="dxa"/>
          </w:tcPr>
          <w:p>
            <w:pPr>
              <w:jc w:val="center"/>
              <w:rPr>
                <w:rFonts w:ascii="微软雅黑" w:hAnsi="微软雅黑" w:eastAsia="微软雅黑" w:cs="Calibri Light"/>
                <w:szCs w:val="18"/>
              </w:rPr>
            </w:pPr>
            <w:r>
              <w:rPr>
                <w:rFonts w:hint="eastAsia" w:ascii="微软雅黑" w:hAnsi="微软雅黑" w:eastAsia="微软雅黑" w:cs="Calibri Light"/>
                <w:szCs w:val="18"/>
              </w:rPr>
              <w:t>项目内容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rPr>
                <w:rFonts w:ascii="微软雅黑" w:hAnsi="微软雅黑" w:eastAsia="微软雅黑" w:cs="Calibri Light"/>
                <w:bCs/>
                <w:szCs w:val="18"/>
              </w:rPr>
            </w:pPr>
            <w:r>
              <w:rPr>
                <w:rFonts w:ascii="微软雅黑" w:hAnsi="微软雅黑" w:eastAsia="微软雅黑" w:cs="Calibri Light"/>
                <w:bCs/>
                <w:szCs w:val="18"/>
              </w:rPr>
              <w:t>1</w:t>
            </w:r>
          </w:p>
        </w:tc>
        <w:tc>
          <w:tcPr>
            <w:tcW w:w="5132" w:type="dxa"/>
          </w:tcPr>
          <w:p>
            <w:pPr>
              <w:rPr>
                <w:rFonts w:ascii="微软雅黑" w:hAnsi="微软雅黑" w:eastAsia="微软雅黑" w:cs="Calibri Light"/>
                <w:b/>
                <w:bCs/>
                <w:szCs w:val="18"/>
              </w:rPr>
            </w:pPr>
            <w:r>
              <w:rPr>
                <w:rFonts w:hint="eastAsia" w:ascii="微软雅黑" w:hAnsi="微软雅黑" w:eastAsia="微软雅黑" w:cs="Calibri Light"/>
                <w:b/>
                <w:bCs/>
                <w:szCs w:val="18"/>
              </w:rPr>
              <w:t>胃肠类器官培养及相关服务</w:t>
            </w:r>
          </w:p>
        </w:tc>
        <w:tc>
          <w:tcPr>
            <w:tcW w:w="3232" w:type="dxa"/>
          </w:tcPr>
          <w:p>
            <w:pPr>
              <w:rPr>
                <w:rFonts w:ascii="微软雅黑" w:hAnsi="微软雅黑" w:eastAsia="微软雅黑" w:cs="Calibri Light"/>
                <w:b/>
                <w:bCs/>
              </w:rPr>
            </w:pPr>
            <w:r>
              <w:rPr>
                <w:rFonts w:hint="eastAsia" w:ascii="微软雅黑" w:hAnsi="微软雅黑" w:eastAsia="微软雅黑" w:cs="Calibri Light"/>
                <w:bCs/>
                <w:szCs w:val="20"/>
              </w:rPr>
              <w:t>项目内容</w:t>
            </w:r>
            <w:r>
              <w:rPr>
                <w:rFonts w:ascii="微软雅黑" w:hAnsi="微软雅黑" w:eastAsia="微软雅黑" w:cs="Calibri Light"/>
                <w:bCs/>
                <w:szCs w:val="20"/>
              </w:rPr>
              <w:t>详见</w:t>
            </w:r>
            <w:r>
              <w:rPr>
                <w:rFonts w:hint="eastAsia" w:ascii="微软雅黑" w:hAnsi="微软雅黑" w:eastAsia="微软雅黑" w:cs="Calibri Light"/>
                <w:bCs/>
                <w:szCs w:val="20"/>
              </w:rPr>
              <w:t>三.项目内容描述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rPr>
                <w:rFonts w:ascii="微软雅黑" w:hAnsi="微软雅黑" w:eastAsia="微软雅黑" w:cs="Calibri Light"/>
                <w:bCs/>
                <w:szCs w:val="18"/>
              </w:rPr>
            </w:pPr>
            <w:r>
              <w:rPr>
                <w:rFonts w:ascii="微软雅黑" w:hAnsi="微软雅黑" w:eastAsia="微软雅黑" w:cs="Calibri Light"/>
                <w:bCs/>
                <w:szCs w:val="18"/>
              </w:rPr>
              <w:t>2</w:t>
            </w:r>
          </w:p>
        </w:tc>
        <w:tc>
          <w:tcPr>
            <w:tcW w:w="5132" w:type="dxa"/>
          </w:tcPr>
          <w:p>
            <w:pPr>
              <w:rPr>
                <w:rFonts w:ascii="微软雅黑" w:hAnsi="微软雅黑" w:eastAsia="微软雅黑" w:cs="Calibri Light"/>
                <w:i/>
                <w:iCs/>
                <w:szCs w:val="18"/>
              </w:rPr>
            </w:pPr>
            <w:r>
              <w:rPr>
                <w:rFonts w:hint="eastAsia" w:ascii="微软雅黑" w:hAnsi="微软雅黑" w:eastAsia="微软雅黑" w:cs="Calibri Light"/>
                <w:b/>
                <w:bCs/>
                <w:szCs w:val="18"/>
              </w:rPr>
              <w:t>肺类器官培养及相关服务</w:t>
            </w:r>
          </w:p>
        </w:tc>
        <w:tc>
          <w:tcPr>
            <w:tcW w:w="3232" w:type="dxa"/>
          </w:tcPr>
          <w:p>
            <w:pPr>
              <w:rPr>
                <w:rFonts w:ascii="微软雅黑" w:hAnsi="微软雅黑" w:eastAsia="微软雅黑" w:cs="Calibri Light"/>
                <w:bCs/>
                <w:szCs w:val="20"/>
              </w:rPr>
            </w:pPr>
            <w:r>
              <w:rPr>
                <w:rFonts w:hint="eastAsia" w:ascii="微软雅黑" w:hAnsi="微软雅黑" w:eastAsia="微软雅黑" w:cs="Calibri Light"/>
                <w:bCs/>
                <w:szCs w:val="20"/>
              </w:rPr>
              <w:t>项目内容</w:t>
            </w:r>
            <w:r>
              <w:rPr>
                <w:rFonts w:ascii="微软雅黑" w:hAnsi="微软雅黑" w:eastAsia="微软雅黑" w:cs="Calibri Light"/>
                <w:bCs/>
                <w:szCs w:val="20"/>
              </w:rPr>
              <w:t>详见</w:t>
            </w:r>
            <w:r>
              <w:rPr>
                <w:rFonts w:hint="eastAsia" w:ascii="微软雅黑" w:hAnsi="微软雅黑" w:eastAsia="微软雅黑" w:cs="Calibri Light"/>
                <w:bCs/>
                <w:szCs w:val="20"/>
              </w:rPr>
              <w:t>三.项目内容描述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rPr>
                <w:rFonts w:ascii="微软雅黑" w:hAnsi="微软雅黑" w:eastAsia="微软雅黑" w:cs="Calibri Light"/>
                <w:bCs/>
                <w:szCs w:val="18"/>
              </w:rPr>
            </w:pPr>
            <w:r>
              <w:rPr>
                <w:rFonts w:hint="eastAsia" w:ascii="微软雅黑" w:hAnsi="微软雅黑" w:eastAsia="微软雅黑" w:cs="Calibri Light"/>
                <w:bCs/>
                <w:szCs w:val="18"/>
              </w:rPr>
              <w:t>3</w:t>
            </w:r>
          </w:p>
        </w:tc>
        <w:tc>
          <w:tcPr>
            <w:tcW w:w="5132" w:type="dxa"/>
          </w:tcPr>
          <w:p>
            <w:pPr>
              <w:rPr>
                <w:rFonts w:ascii="微软雅黑" w:hAnsi="微软雅黑" w:eastAsia="微软雅黑" w:cs="Calibri Light"/>
                <w:szCs w:val="18"/>
              </w:rPr>
            </w:pPr>
            <w:r>
              <w:rPr>
                <w:rFonts w:hint="eastAsia" w:ascii="微软雅黑" w:hAnsi="微软雅黑" w:eastAsia="微软雅黑" w:cs="Calibri Light"/>
                <w:b/>
                <w:bCs/>
                <w:szCs w:val="18"/>
              </w:rPr>
              <w:t>胰腺类器官培养及相关服务</w:t>
            </w:r>
          </w:p>
        </w:tc>
        <w:tc>
          <w:tcPr>
            <w:tcW w:w="3232" w:type="dxa"/>
          </w:tcPr>
          <w:p>
            <w:pPr>
              <w:rPr>
                <w:rFonts w:ascii="微软雅黑" w:hAnsi="微软雅黑" w:eastAsia="微软雅黑" w:cs="Calibri Light"/>
                <w:b/>
                <w:bCs/>
              </w:rPr>
            </w:pPr>
            <w:r>
              <w:rPr>
                <w:rFonts w:hint="eastAsia" w:ascii="微软雅黑" w:hAnsi="微软雅黑" w:eastAsia="微软雅黑" w:cs="Calibri Light"/>
                <w:bCs/>
                <w:szCs w:val="20"/>
              </w:rPr>
              <w:t>项目内容</w:t>
            </w:r>
            <w:r>
              <w:rPr>
                <w:rFonts w:ascii="微软雅黑" w:hAnsi="微软雅黑" w:eastAsia="微软雅黑" w:cs="Calibri Light"/>
                <w:bCs/>
                <w:szCs w:val="20"/>
              </w:rPr>
              <w:t>详见</w:t>
            </w:r>
            <w:r>
              <w:rPr>
                <w:rFonts w:hint="eastAsia" w:ascii="微软雅黑" w:hAnsi="微软雅黑" w:eastAsia="微软雅黑" w:cs="Calibri Light"/>
                <w:bCs/>
                <w:szCs w:val="20"/>
              </w:rPr>
              <w:t>三.项目内容描述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rPr>
                <w:rFonts w:ascii="微软雅黑" w:hAnsi="微软雅黑" w:eastAsia="微软雅黑" w:cs="Calibri Light"/>
                <w:bCs/>
                <w:szCs w:val="18"/>
              </w:rPr>
            </w:pPr>
            <w:r>
              <w:rPr>
                <w:rFonts w:hint="eastAsia" w:ascii="微软雅黑" w:hAnsi="微软雅黑" w:eastAsia="微软雅黑" w:cs="Calibri Light"/>
                <w:bCs/>
                <w:szCs w:val="18"/>
              </w:rPr>
              <w:t>4</w:t>
            </w:r>
          </w:p>
        </w:tc>
        <w:tc>
          <w:tcPr>
            <w:tcW w:w="5132" w:type="dxa"/>
          </w:tcPr>
          <w:p>
            <w:pPr>
              <w:rPr>
                <w:rFonts w:ascii="微软雅黑" w:hAnsi="微软雅黑" w:eastAsia="微软雅黑" w:cs="Calibri Light"/>
                <w:szCs w:val="18"/>
              </w:rPr>
            </w:pPr>
            <w:r>
              <w:rPr>
                <w:rFonts w:hint="eastAsia" w:ascii="微软雅黑" w:hAnsi="微软雅黑" w:eastAsia="微软雅黑" w:cs="Calibri Light"/>
                <w:b/>
                <w:bCs/>
                <w:szCs w:val="18"/>
              </w:rPr>
              <w:t>肾类器官培养及相关服务</w:t>
            </w:r>
          </w:p>
        </w:tc>
        <w:tc>
          <w:tcPr>
            <w:tcW w:w="3232" w:type="dxa"/>
          </w:tcPr>
          <w:p>
            <w:pPr>
              <w:rPr>
                <w:rFonts w:ascii="微软雅黑" w:hAnsi="微软雅黑" w:eastAsia="微软雅黑" w:cs="Calibri Light"/>
                <w:b/>
                <w:bCs/>
              </w:rPr>
            </w:pPr>
            <w:r>
              <w:rPr>
                <w:rFonts w:hint="eastAsia" w:ascii="微软雅黑" w:hAnsi="微软雅黑" w:eastAsia="微软雅黑" w:cs="Calibri Light"/>
                <w:bCs/>
                <w:szCs w:val="20"/>
              </w:rPr>
              <w:t>项目内容</w:t>
            </w:r>
            <w:r>
              <w:rPr>
                <w:rFonts w:ascii="微软雅黑" w:hAnsi="微软雅黑" w:eastAsia="微软雅黑" w:cs="Calibri Light"/>
                <w:bCs/>
                <w:szCs w:val="20"/>
              </w:rPr>
              <w:t>详见</w:t>
            </w:r>
            <w:r>
              <w:rPr>
                <w:rFonts w:hint="eastAsia" w:ascii="微软雅黑" w:hAnsi="微软雅黑" w:eastAsia="微软雅黑" w:cs="Calibri Light"/>
                <w:bCs/>
                <w:szCs w:val="20"/>
              </w:rPr>
              <w:t>三.项目内容描述</w:t>
            </w:r>
          </w:p>
        </w:tc>
      </w:tr>
    </w:tbl>
    <w:p>
      <w:pPr>
        <w:rPr>
          <w:rFonts w:ascii="微软雅黑" w:hAnsi="微软雅黑" w:eastAsia="微软雅黑"/>
        </w:rPr>
      </w:pPr>
    </w:p>
    <w:p>
      <w:pPr>
        <w:pStyle w:val="2"/>
        <w:numPr>
          <w:ilvl w:val="0"/>
          <w:numId w:val="3"/>
        </w:numPr>
        <w:spacing w:before="0" w:after="0"/>
        <w:rPr>
          <w:rFonts w:ascii="微软雅黑" w:hAnsi="微软雅黑" w:eastAsia="微软雅黑" w:cs="Calibri Light"/>
          <w:sz w:val="32"/>
          <w:szCs w:val="32"/>
        </w:rPr>
      </w:pPr>
      <w:r>
        <w:rPr>
          <w:rFonts w:hint="eastAsia" w:ascii="微软雅黑" w:hAnsi="微软雅黑" w:eastAsia="微软雅黑" w:cs="Calibri Light"/>
          <w:sz w:val="32"/>
          <w:szCs w:val="32"/>
          <w:lang w:val="en-US"/>
        </w:rPr>
        <w:t>项目内容</w:t>
      </w:r>
      <w:r>
        <w:rPr>
          <w:rFonts w:ascii="微软雅黑" w:hAnsi="微软雅黑" w:eastAsia="微软雅黑" w:cs="Calibri Light"/>
          <w:sz w:val="32"/>
          <w:szCs w:val="32"/>
        </w:rPr>
        <w:t>描述</w:t>
      </w:r>
    </w:p>
    <w:p/>
    <w:tbl>
      <w:tblPr>
        <w:tblStyle w:val="16"/>
        <w:tblW w:w="5000" w:type="pct"/>
        <w:tblInd w:w="0" w:type="dxa"/>
        <w:tblLayout w:type="autofit"/>
        <w:tblCellMar>
          <w:top w:w="0" w:type="dxa"/>
          <w:left w:w="108" w:type="dxa"/>
          <w:bottom w:w="0" w:type="dxa"/>
          <w:right w:w="108" w:type="dxa"/>
        </w:tblCellMar>
      </w:tblPr>
      <w:tblGrid>
        <w:gridCol w:w="713"/>
        <w:gridCol w:w="1741"/>
        <w:gridCol w:w="6832"/>
      </w:tblGrid>
      <w:tr>
        <w:tblPrEx>
          <w:tblCellMar>
            <w:top w:w="0" w:type="dxa"/>
            <w:left w:w="108" w:type="dxa"/>
            <w:bottom w:w="0" w:type="dxa"/>
            <w:right w:w="108" w:type="dxa"/>
          </w:tblCellMar>
        </w:tblPrEx>
        <w:trPr>
          <w:trHeight w:val="320" w:hRule="atLeast"/>
        </w:trPr>
        <w:tc>
          <w:tcPr>
            <w:tcW w:w="38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微软雅黑" w:hAnsi="微软雅黑" w:eastAsia="微软雅黑" w:cs="Calibri Light"/>
                <w:bCs/>
                <w:sz w:val="21"/>
                <w:szCs w:val="21"/>
              </w:rPr>
            </w:pPr>
            <w:bookmarkStart w:id="0" w:name="_6.1.1、大数据服务器"/>
            <w:bookmarkEnd w:id="0"/>
            <w:r>
              <w:rPr>
                <w:rFonts w:ascii="微软雅黑" w:hAnsi="微软雅黑" w:eastAsia="微软雅黑" w:cs="Calibri Light"/>
                <w:bCs/>
                <w:sz w:val="21"/>
                <w:szCs w:val="21"/>
              </w:rPr>
              <w:t>序号</w:t>
            </w:r>
          </w:p>
        </w:tc>
        <w:tc>
          <w:tcPr>
            <w:tcW w:w="937" w:type="pct"/>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Calibri Light"/>
                <w:bCs/>
                <w:sz w:val="21"/>
                <w:szCs w:val="21"/>
              </w:rPr>
            </w:pPr>
            <w:r>
              <w:rPr>
                <w:rFonts w:hint="eastAsia" w:ascii="微软雅黑" w:hAnsi="微软雅黑" w:eastAsia="微软雅黑" w:cs="Calibri Light"/>
                <w:bCs/>
                <w:sz w:val="21"/>
                <w:szCs w:val="21"/>
              </w:rPr>
              <w:t>项目名称</w:t>
            </w:r>
          </w:p>
        </w:tc>
        <w:tc>
          <w:tcPr>
            <w:tcW w:w="3677" w:type="pct"/>
            <w:tcBorders>
              <w:top w:val="single" w:color="auto" w:sz="4" w:space="0"/>
              <w:left w:val="nil"/>
              <w:bottom w:val="single" w:color="auto" w:sz="4" w:space="0"/>
              <w:right w:val="single" w:color="auto" w:sz="4" w:space="0"/>
            </w:tcBorders>
            <w:vAlign w:val="center"/>
          </w:tcPr>
          <w:p>
            <w:pPr>
              <w:widowControl/>
              <w:jc w:val="center"/>
              <w:rPr>
                <w:rFonts w:ascii="微软雅黑" w:hAnsi="微软雅黑" w:eastAsia="微软雅黑" w:cs="Calibri Light"/>
                <w:sz w:val="21"/>
                <w:szCs w:val="21"/>
              </w:rPr>
            </w:pPr>
            <w:r>
              <w:rPr>
                <w:rFonts w:hint="eastAsia" w:ascii="微软雅黑" w:hAnsi="微软雅黑" w:eastAsia="微软雅黑" w:cs="Calibri Light"/>
                <w:sz w:val="21"/>
                <w:szCs w:val="21"/>
              </w:rPr>
              <w:t>项目内容</w:t>
            </w:r>
            <w:r>
              <w:rPr>
                <w:rFonts w:ascii="微软雅黑" w:hAnsi="微软雅黑" w:eastAsia="微软雅黑" w:cs="Calibri Light"/>
                <w:sz w:val="21"/>
                <w:szCs w:val="21"/>
              </w:rPr>
              <w:t>描述</w:t>
            </w:r>
          </w:p>
        </w:tc>
      </w:tr>
      <w:tr>
        <w:tblPrEx>
          <w:tblCellMar>
            <w:top w:w="0" w:type="dxa"/>
            <w:left w:w="108" w:type="dxa"/>
            <w:bottom w:w="0" w:type="dxa"/>
            <w:right w:w="108" w:type="dxa"/>
          </w:tblCellMar>
        </w:tblPrEx>
        <w:trPr>
          <w:trHeight w:val="320" w:hRule="atLeast"/>
        </w:trPr>
        <w:tc>
          <w:tcPr>
            <w:tcW w:w="384" w:type="pct"/>
            <w:vMerge w:val="restart"/>
            <w:tcBorders>
              <w:top w:val="single" w:color="auto" w:sz="4" w:space="0"/>
              <w:left w:val="single" w:color="auto" w:sz="4" w:space="0"/>
              <w:right w:val="single" w:color="auto" w:sz="4" w:space="0"/>
            </w:tcBorders>
            <w:vAlign w:val="center"/>
          </w:tcPr>
          <w:p>
            <w:pPr>
              <w:widowControl/>
              <w:jc w:val="center"/>
              <w:rPr>
                <w:rFonts w:ascii="微软雅黑" w:hAnsi="微软雅黑" w:eastAsia="微软雅黑" w:cs="Calibri Light"/>
                <w:bCs/>
                <w:sz w:val="18"/>
                <w:szCs w:val="18"/>
              </w:rPr>
            </w:pPr>
            <w:r>
              <w:rPr>
                <w:rFonts w:hint="eastAsia" w:ascii="微软雅黑" w:hAnsi="微软雅黑" w:eastAsia="微软雅黑" w:cs="Calibri Light"/>
                <w:bCs/>
                <w:sz w:val="18"/>
                <w:szCs w:val="18"/>
              </w:rPr>
              <w:t>1</w:t>
            </w:r>
          </w:p>
        </w:tc>
        <w:tc>
          <w:tcPr>
            <w:tcW w:w="937" w:type="pct"/>
            <w:vMerge w:val="restart"/>
            <w:tcBorders>
              <w:top w:val="single" w:color="auto" w:sz="4" w:space="0"/>
              <w:left w:val="nil"/>
              <w:right w:val="single" w:color="auto" w:sz="4" w:space="0"/>
            </w:tcBorders>
            <w:vAlign w:val="center"/>
          </w:tcPr>
          <w:p>
            <w:pPr>
              <w:widowControl/>
              <w:jc w:val="center"/>
              <w:rPr>
                <w:rFonts w:ascii="微软雅黑" w:hAnsi="微软雅黑" w:eastAsia="微软雅黑" w:cs="Calibri Light"/>
                <w:bCs/>
                <w:sz w:val="18"/>
                <w:szCs w:val="18"/>
              </w:rPr>
            </w:pPr>
            <w:r>
              <w:rPr>
                <w:rFonts w:hint="eastAsia" w:ascii="微软雅黑" w:hAnsi="微软雅黑" w:eastAsia="微软雅黑" w:cs="Calibri Light"/>
                <w:b/>
                <w:bCs/>
                <w:szCs w:val="18"/>
              </w:rPr>
              <w:t>胃肠类器官培养及相关服务</w:t>
            </w:r>
          </w:p>
        </w:tc>
        <w:tc>
          <w:tcPr>
            <w:tcW w:w="3677" w:type="pct"/>
            <w:tcBorders>
              <w:top w:val="single" w:color="auto" w:sz="4" w:space="0"/>
              <w:left w:val="nil"/>
              <w:bottom w:val="single" w:color="auto" w:sz="4" w:space="0"/>
              <w:right w:val="single" w:color="auto" w:sz="4" w:space="0"/>
            </w:tcBorders>
            <w:vAlign w:val="center"/>
          </w:tcPr>
          <w:p>
            <w:pPr>
              <w:pStyle w:val="30"/>
              <w:widowControl/>
              <w:numPr>
                <w:ilvl w:val="0"/>
                <w:numId w:val="4"/>
              </w:numPr>
              <w:snapToGrid w:val="0"/>
              <w:ind w:left="282" w:hanging="282" w:firstLineChars="0"/>
              <w:rPr>
                <w:rFonts w:ascii="微软雅黑" w:hAnsi="微软雅黑" w:eastAsia="微软雅黑" w:cs="微软雅黑"/>
                <w:szCs w:val="21"/>
              </w:rPr>
            </w:pPr>
            <w:r>
              <w:rPr>
                <w:rFonts w:hint="eastAsia" w:ascii="微软雅黑" w:hAnsi="微软雅黑" w:eastAsia="微软雅黑" w:cs="微软雅黑"/>
                <w:szCs w:val="21"/>
              </w:rPr>
              <w:t>（1）构建高质量的胃肠类器官样本库，包括胃肠道肿瘤及正常组织类器官模型的标准化建立、胃肠肿瘤类器官及来源组织的基因组和转录组测序及数据分析、胃肠肿瘤类器官及来源组织的病理学分型及相关标志物的鉴定；（2）开展胃肠肿瘤类器官小鼠PDOX模型的构建及相关指标的检测；（3）建立胃肠肿瘤类器官模型的体外高通量和标准化临床药物筛选体系、建立肿瘤组织来源类器官模型和药物毒性的评价体系。</w:t>
            </w:r>
          </w:p>
        </w:tc>
      </w:tr>
      <w:tr>
        <w:tblPrEx>
          <w:tblCellMar>
            <w:top w:w="0" w:type="dxa"/>
            <w:left w:w="108" w:type="dxa"/>
            <w:bottom w:w="0" w:type="dxa"/>
            <w:right w:w="108" w:type="dxa"/>
          </w:tblCellMar>
        </w:tblPrEx>
        <w:trPr>
          <w:trHeight w:val="320" w:hRule="atLeast"/>
        </w:trPr>
        <w:tc>
          <w:tcPr>
            <w:tcW w:w="384" w:type="pct"/>
            <w:tcBorders>
              <w:left w:val="single" w:color="auto" w:sz="4" w:space="0"/>
              <w:right w:val="single" w:color="auto" w:sz="4" w:space="0"/>
            </w:tcBorders>
            <w:vAlign w:val="center"/>
          </w:tcPr>
          <w:p>
            <w:pPr>
              <w:widowControl/>
              <w:jc w:val="center"/>
              <w:rPr>
                <w:rFonts w:ascii="微软雅黑" w:hAnsi="微软雅黑" w:eastAsia="微软雅黑" w:cs="Calibri Light"/>
                <w:bCs/>
                <w:sz w:val="18"/>
                <w:szCs w:val="18"/>
              </w:rPr>
            </w:pPr>
            <w:r>
              <w:rPr>
                <w:rFonts w:hint="eastAsia" w:ascii="微软雅黑" w:hAnsi="微软雅黑" w:eastAsia="微软雅黑" w:cs="Calibri Light"/>
                <w:bCs/>
                <w:sz w:val="18"/>
                <w:szCs w:val="18"/>
              </w:rPr>
              <w:t>2</w:t>
            </w:r>
          </w:p>
        </w:tc>
        <w:tc>
          <w:tcPr>
            <w:tcW w:w="937" w:type="pct"/>
            <w:tcBorders>
              <w:left w:val="nil"/>
              <w:right w:val="single" w:color="auto" w:sz="4" w:space="0"/>
            </w:tcBorders>
            <w:vAlign w:val="center"/>
          </w:tcPr>
          <w:p>
            <w:pPr>
              <w:widowControl/>
              <w:jc w:val="center"/>
              <w:rPr>
                <w:rFonts w:ascii="微软雅黑" w:hAnsi="微软雅黑" w:eastAsia="微软雅黑" w:cs="Calibri Light"/>
                <w:bCs/>
                <w:sz w:val="18"/>
                <w:szCs w:val="18"/>
              </w:rPr>
            </w:pPr>
            <w:r>
              <w:rPr>
                <w:rFonts w:hint="eastAsia" w:ascii="微软雅黑" w:hAnsi="微软雅黑" w:eastAsia="微软雅黑" w:cs="Calibri Light"/>
                <w:b/>
                <w:bCs/>
                <w:szCs w:val="18"/>
              </w:rPr>
              <w:t>肺类器官培养及相关服务</w:t>
            </w:r>
          </w:p>
        </w:tc>
        <w:tc>
          <w:tcPr>
            <w:tcW w:w="3677" w:type="pct"/>
            <w:tcBorders>
              <w:top w:val="single" w:color="auto" w:sz="4" w:space="0"/>
              <w:left w:val="nil"/>
              <w:bottom w:val="single" w:color="auto" w:sz="4" w:space="0"/>
              <w:right w:val="single" w:color="auto" w:sz="4" w:space="0"/>
            </w:tcBorders>
            <w:vAlign w:val="center"/>
          </w:tcPr>
          <w:p>
            <w:pPr>
              <w:pStyle w:val="30"/>
              <w:widowControl/>
              <w:numPr>
                <w:ilvl w:val="0"/>
                <w:numId w:val="4"/>
              </w:numPr>
              <w:snapToGrid w:val="0"/>
              <w:ind w:left="282" w:hanging="282" w:firstLineChars="0"/>
              <w:rPr>
                <w:rFonts w:ascii="微软雅黑" w:hAnsi="微软雅黑" w:eastAsia="微软雅黑" w:cs="微软雅黑"/>
                <w:szCs w:val="21"/>
              </w:rPr>
            </w:pPr>
            <w:r>
              <w:rPr>
                <w:rFonts w:hint="eastAsia" w:ascii="微软雅黑" w:hAnsi="微软雅黑" w:eastAsia="微软雅黑" w:cs="微软雅黑"/>
                <w:szCs w:val="21"/>
              </w:rPr>
              <w:t>（1）构建高质量的肺类器官样本库，包括肺癌及正常组织类器官模型的标准化建立、肺癌类器官及来源组织的基因组和转录组测序及数据分析、肺癌类器官及来源组织的病理学分型及相关标志物的鉴定；（2）开展肺癌类器官小鼠PDOX模型的构建及相关指标的检测；（3）建立肺癌类器官模型的体外高通量和标准化临床药物筛选体系、建立肿瘤组织来源类器官模型和药物毒性的评价体系。</w:t>
            </w:r>
          </w:p>
        </w:tc>
      </w:tr>
      <w:tr>
        <w:tblPrEx>
          <w:tblCellMar>
            <w:top w:w="0" w:type="dxa"/>
            <w:left w:w="108" w:type="dxa"/>
            <w:bottom w:w="0" w:type="dxa"/>
            <w:right w:w="108" w:type="dxa"/>
          </w:tblCellMar>
        </w:tblPrEx>
        <w:trPr>
          <w:trHeight w:val="320" w:hRule="atLeast"/>
        </w:trPr>
        <w:tc>
          <w:tcPr>
            <w:tcW w:w="384" w:type="pct"/>
            <w:tcBorders>
              <w:left w:val="single" w:color="auto" w:sz="4" w:space="0"/>
              <w:right w:val="single" w:color="auto" w:sz="4" w:space="0"/>
            </w:tcBorders>
            <w:vAlign w:val="center"/>
          </w:tcPr>
          <w:p>
            <w:pPr>
              <w:widowControl/>
              <w:jc w:val="center"/>
              <w:rPr>
                <w:rFonts w:ascii="微软雅黑" w:hAnsi="微软雅黑" w:eastAsia="微软雅黑" w:cs="Calibri Light"/>
                <w:bCs/>
                <w:sz w:val="18"/>
                <w:szCs w:val="18"/>
              </w:rPr>
            </w:pPr>
            <w:r>
              <w:rPr>
                <w:rFonts w:hint="eastAsia" w:ascii="微软雅黑" w:hAnsi="微软雅黑" w:eastAsia="微软雅黑" w:cs="Calibri Light"/>
                <w:bCs/>
                <w:sz w:val="18"/>
                <w:szCs w:val="18"/>
              </w:rPr>
              <w:t>3</w:t>
            </w:r>
          </w:p>
        </w:tc>
        <w:tc>
          <w:tcPr>
            <w:tcW w:w="937" w:type="pct"/>
            <w:tcBorders>
              <w:left w:val="nil"/>
              <w:right w:val="single" w:color="auto" w:sz="4" w:space="0"/>
            </w:tcBorders>
            <w:vAlign w:val="center"/>
          </w:tcPr>
          <w:p>
            <w:pPr>
              <w:widowControl/>
              <w:jc w:val="center"/>
              <w:rPr>
                <w:rFonts w:ascii="微软雅黑" w:hAnsi="微软雅黑" w:eastAsia="微软雅黑" w:cs="Calibri Light"/>
                <w:bCs/>
                <w:sz w:val="18"/>
                <w:szCs w:val="18"/>
              </w:rPr>
            </w:pPr>
            <w:r>
              <w:rPr>
                <w:rFonts w:hint="eastAsia" w:ascii="微软雅黑" w:hAnsi="微软雅黑" w:eastAsia="微软雅黑" w:cs="Calibri Light"/>
                <w:b/>
                <w:bCs/>
                <w:szCs w:val="18"/>
              </w:rPr>
              <w:t>胰腺类器官培养及相关服务</w:t>
            </w:r>
          </w:p>
        </w:tc>
        <w:tc>
          <w:tcPr>
            <w:tcW w:w="3677" w:type="pct"/>
            <w:tcBorders>
              <w:top w:val="single" w:color="auto" w:sz="4" w:space="0"/>
              <w:left w:val="nil"/>
              <w:bottom w:val="single" w:color="auto" w:sz="4" w:space="0"/>
              <w:right w:val="single" w:color="auto" w:sz="4" w:space="0"/>
            </w:tcBorders>
            <w:vAlign w:val="center"/>
          </w:tcPr>
          <w:p>
            <w:pPr>
              <w:pStyle w:val="30"/>
              <w:widowControl/>
              <w:numPr>
                <w:ilvl w:val="0"/>
                <w:numId w:val="4"/>
              </w:numPr>
              <w:snapToGrid w:val="0"/>
              <w:ind w:left="282" w:hanging="282" w:firstLineChars="0"/>
              <w:rPr>
                <w:rFonts w:ascii="微软雅黑" w:hAnsi="微软雅黑" w:eastAsia="微软雅黑" w:cs="微软雅黑"/>
                <w:szCs w:val="21"/>
              </w:rPr>
            </w:pPr>
            <w:r>
              <w:rPr>
                <w:rFonts w:hint="eastAsia" w:ascii="微软雅黑" w:hAnsi="微软雅黑" w:eastAsia="微软雅黑" w:cs="微软雅黑"/>
                <w:szCs w:val="21"/>
              </w:rPr>
              <w:t>（1）构建高质量的胰腺类器官样本库，包括胰腺癌及正常组织类器官模型的标准化建立、胰腺癌类器官及来源组织的基因组和转录组测序及数据分析、胰腺癌类器官及来源组织的病理学分型及相关标志物的鉴定；（2）开展胰腺癌类器官小鼠PDOX模型的构建及相关指标的检测；（3）建立胰腺癌类器官模型的体外高通量和标准化临床药物筛选体系、建立肿瘤组织来源类器官模型和药物毒性的评价体系。</w:t>
            </w:r>
          </w:p>
        </w:tc>
      </w:tr>
      <w:tr>
        <w:tblPrEx>
          <w:tblCellMar>
            <w:top w:w="0" w:type="dxa"/>
            <w:left w:w="108" w:type="dxa"/>
            <w:bottom w:w="0" w:type="dxa"/>
            <w:right w:w="108" w:type="dxa"/>
          </w:tblCellMar>
        </w:tblPrEx>
        <w:trPr>
          <w:trHeight w:val="320" w:hRule="atLeast"/>
        </w:trPr>
        <w:tc>
          <w:tcPr>
            <w:tcW w:w="384" w:type="pct"/>
            <w:tcBorders>
              <w:left w:val="single" w:color="auto" w:sz="4" w:space="0"/>
              <w:bottom w:val="single" w:color="auto" w:sz="4" w:space="0"/>
              <w:right w:val="single" w:color="auto" w:sz="4" w:space="0"/>
            </w:tcBorders>
            <w:vAlign w:val="center"/>
          </w:tcPr>
          <w:p>
            <w:pPr>
              <w:widowControl/>
              <w:jc w:val="center"/>
              <w:rPr>
                <w:rFonts w:ascii="微软雅黑" w:hAnsi="微软雅黑" w:eastAsia="微软雅黑" w:cs="Calibri Light"/>
                <w:bCs/>
                <w:sz w:val="18"/>
                <w:szCs w:val="18"/>
              </w:rPr>
            </w:pPr>
            <w:r>
              <w:rPr>
                <w:rFonts w:hint="eastAsia" w:ascii="微软雅黑" w:hAnsi="微软雅黑" w:eastAsia="微软雅黑" w:cs="Calibri Light"/>
                <w:bCs/>
                <w:sz w:val="18"/>
                <w:szCs w:val="18"/>
              </w:rPr>
              <w:t>4</w:t>
            </w:r>
          </w:p>
        </w:tc>
        <w:tc>
          <w:tcPr>
            <w:tcW w:w="937" w:type="pct"/>
            <w:tcBorders>
              <w:left w:val="nil"/>
              <w:bottom w:val="single" w:color="auto" w:sz="4" w:space="0"/>
              <w:right w:val="single" w:color="auto" w:sz="4" w:space="0"/>
            </w:tcBorders>
            <w:vAlign w:val="center"/>
          </w:tcPr>
          <w:p>
            <w:pPr>
              <w:widowControl/>
              <w:jc w:val="center"/>
              <w:rPr>
                <w:rFonts w:ascii="微软雅黑" w:hAnsi="微软雅黑" w:eastAsia="微软雅黑" w:cs="Calibri Light"/>
                <w:bCs/>
                <w:sz w:val="18"/>
                <w:szCs w:val="18"/>
              </w:rPr>
            </w:pPr>
            <w:r>
              <w:rPr>
                <w:rFonts w:hint="eastAsia" w:ascii="微软雅黑" w:hAnsi="微软雅黑" w:eastAsia="微软雅黑" w:cs="Calibri Light"/>
                <w:b/>
                <w:bCs/>
                <w:szCs w:val="18"/>
              </w:rPr>
              <w:t>肾类器官培养及相关服务</w:t>
            </w:r>
          </w:p>
        </w:tc>
        <w:tc>
          <w:tcPr>
            <w:tcW w:w="3677" w:type="pct"/>
            <w:tcBorders>
              <w:top w:val="single" w:color="auto" w:sz="4" w:space="0"/>
              <w:left w:val="nil"/>
              <w:bottom w:val="single" w:color="auto" w:sz="4" w:space="0"/>
              <w:right w:val="single" w:color="auto" w:sz="4" w:space="0"/>
            </w:tcBorders>
            <w:vAlign w:val="center"/>
          </w:tcPr>
          <w:p>
            <w:pPr>
              <w:pStyle w:val="30"/>
              <w:widowControl/>
              <w:numPr>
                <w:ilvl w:val="0"/>
                <w:numId w:val="4"/>
              </w:numPr>
              <w:snapToGrid w:val="0"/>
              <w:ind w:left="282" w:hanging="282" w:firstLineChars="0"/>
              <w:rPr>
                <w:rFonts w:ascii="微软雅黑" w:hAnsi="微软雅黑" w:eastAsia="微软雅黑" w:cs="微软雅黑"/>
                <w:szCs w:val="21"/>
              </w:rPr>
            </w:pPr>
            <w:r>
              <w:rPr>
                <w:rFonts w:hint="eastAsia" w:ascii="微软雅黑" w:hAnsi="微软雅黑" w:eastAsia="微软雅黑" w:cs="微软雅黑"/>
                <w:szCs w:val="21"/>
              </w:rPr>
              <w:t>（1）构建高质量的肾类器官样本库，包括肾癌及正常组织类器官模型的标准化建立、肾癌类器官及来源组织的基因组和转录组测序及数据分析、肾癌类器官及来源组织的病理学分型及相关标志物的鉴定；（2）开展肾癌类器官小鼠PDOX模型的构建及相关指标的检测；（3）建立肾癌类器官模型的体外高通量和标准化临床药物筛选体系。</w:t>
            </w:r>
          </w:p>
        </w:tc>
      </w:tr>
    </w:tbl>
    <w:p>
      <w:pPr>
        <w:rPr>
          <w:rFonts w:ascii="微软雅黑" w:hAnsi="微软雅黑" w:eastAsia="微软雅黑"/>
          <w:sz w:val="18"/>
          <w:szCs w:val="18"/>
        </w:rPr>
      </w:pPr>
    </w:p>
    <w:p>
      <w:pPr>
        <w:pStyle w:val="35"/>
        <w:numPr>
          <w:ilvl w:val="0"/>
          <w:numId w:val="0"/>
        </w:numPr>
        <w:spacing w:before="0" w:after="0"/>
        <w:ind w:left="200" w:hanging="200"/>
        <w:rPr>
          <w:rFonts w:ascii="微软雅黑" w:hAnsi="微软雅黑" w:eastAsia="微软雅黑" w:cs="Calibri Light"/>
          <w:sz w:val="21"/>
          <w:szCs w:val="21"/>
        </w:rPr>
      </w:pPr>
      <w:r>
        <w:rPr>
          <w:rFonts w:ascii="微软雅黑" w:hAnsi="微软雅黑" w:eastAsia="微软雅黑" w:cs="Calibri Light"/>
          <w:sz w:val="32"/>
          <w:szCs w:val="32"/>
        </w:rPr>
        <w:t>项目工期</w:t>
      </w:r>
    </w:p>
    <w:p>
      <w:pPr>
        <w:spacing w:before="120" w:after="120"/>
        <w:rPr>
          <w:rFonts w:ascii="微软雅黑" w:hAnsi="微软雅黑" w:eastAsia="微软雅黑" w:cs="Calibri Light"/>
        </w:rPr>
      </w:pPr>
      <w:r>
        <w:rPr>
          <w:rFonts w:ascii="微软雅黑" w:hAnsi="微软雅黑" w:eastAsia="微软雅黑" w:cs="Calibri Light"/>
        </w:rPr>
        <w:t>1、中标人须在合同签订后的</w:t>
      </w:r>
      <w:r>
        <w:rPr>
          <w:rFonts w:hint="eastAsia" w:ascii="微软雅黑" w:hAnsi="微软雅黑" w:eastAsia="微软雅黑" w:cs="Calibri Light"/>
          <w:b/>
          <w:bCs/>
          <w:u w:val="single"/>
        </w:rPr>
        <w:t>三年</w:t>
      </w:r>
      <w:r>
        <w:rPr>
          <w:rFonts w:ascii="微软雅黑" w:hAnsi="微软雅黑" w:eastAsia="微软雅黑" w:cs="Calibri Light"/>
        </w:rPr>
        <w:t>内完成整个项目的实施。</w:t>
      </w:r>
    </w:p>
    <w:p>
      <w:pPr>
        <w:rPr>
          <w:rFonts w:ascii="微软雅黑" w:hAnsi="微软雅黑" w:eastAsia="微软雅黑" w:cs="Calibri Light"/>
          <w:lang w:val="zh-CN"/>
        </w:rPr>
      </w:pPr>
    </w:p>
    <w:p>
      <w:pPr>
        <w:pStyle w:val="2"/>
        <w:numPr>
          <w:ilvl w:val="0"/>
          <w:numId w:val="3"/>
        </w:numPr>
        <w:spacing w:before="0" w:after="0"/>
        <w:rPr>
          <w:rFonts w:ascii="微软雅黑" w:hAnsi="微软雅黑" w:eastAsia="微软雅黑" w:cs="Calibri Light"/>
          <w:sz w:val="32"/>
          <w:szCs w:val="32"/>
        </w:rPr>
      </w:pPr>
      <w:r>
        <w:rPr>
          <w:rFonts w:hint="eastAsia" w:ascii="微软雅黑" w:hAnsi="微软雅黑" w:eastAsia="微软雅黑" w:cs="Calibri Light"/>
          <w:sz w:val="32"/>
          <w:szCs w:val="32"/>
          <w:lang w:val="en-US"/>
        </w:rPr>
        <w:t>类器官科研项目技术</w:t>
      </w:r>
      <w:r>
        <w:rPr>
          <w:rFonts w:ascii="微软雅黑" w:hAnsi="微软雅黑" w:eastAsia="微软雅黑" w:cs="Calibri Light"/>
          <w:sz w:val="32"/>
          <w:szCs w:val="32"/>
        </w:rPr>
        <w:t>服务要求</w:t>
      </w:r>
    </w:p>
    <w:p>
      <w:pPr>
        <w:widowControl/>
        <w:spacing w:before="156" w:beforeLines="50" w:after="156" w:afterLines="50" w:line="360" w:lineRule="auto"/>
        <w:ind w:firstLine="420"/>
        <w:contextualSpacing/>
        <w:rPr>
          <w:rFonts w:ascii="微软雅黑" w:hAnsi="微软雅黑" w:eastAsia="微软雅黑" w:cs="Calibri Light"/>
          <w:szCs w:val="20"/>
        </w:rPr>
      </w:pPr>
      <w:r>
        <w:rPr>
          <w:rFonts w:hint="eastAsia" w:ascii="微软雅黑" w:hAnsi="微软雅黑" w:eastAsia="微软雅黑" w:cs="Calibri Light"/>
          <w:szCs w:val="20"/>
        </w:rPr>
        <w:t>要求投标人根据项目需求文档，提供详细项目方案，有效响应用户需求，提供类器官科研项目需求中的各项服务，投标人有责任且必须承诺提供的技术服务达到以上目标。具体要求如下：</w:t>
      </w:r>
    </w:p>
    <w:p>
      <w:pPr>
        <w:pStyle w:val="30"/>
        <w:widowControl/>
        <w:numPr>
          <w:ilvl w:val="0"/>
          <w:numId w:val="5"/>
        </w:numPr>
        <w:spacing w:before="156" w:beforeLines="50" w:after="156" w:afterLines="50" w:line="360" w:lineRule="auto"/>
        <w:ind w:left="425" w:hanging="425" w:firstLineChars="0"/>
        <w:contextualSpacing/>
        <w:rPr>
          <w:rFonts w:ascii="微软雅黑" w:hAnsi="微软雅黑" w:eastAsia="微软雅黑" w:cs="微软雅黑"/>
          <w:szCs w:val="20"/>
        </w:rPr>
      </w:pPr>
      <w:r>
        <w:rPr>
          <w:rFonts w:hint="eastAsia" w:ascii="微软雅黑" w:hAnsi="微软雅黑" w:eastAsia="微软雅黑" w:cs="微软雅黑"/>
        </w:rPr>
        <w:t>胃肠类器官培养及相关服务：（1）</w:t>
      </w:r>
      <w:r>
        <w:rPr>
          <w:rFonts w:hint="eastAsia" w:ascii="微软雅黑" w:hAnsi="微软雅黑" w:eastAsia="微软雅黑" w:cs="微软雅黑"/>
          <w:kern w:val="2"/>
          <w:sz w:val="21"/>
        </w:rPr>
        <w:t>负责执行完成胃肠类器官培养、传代、冻存、建库等实验技术工作</w:t>
      </w:r>
      <w:r>
        <w:rPr>
          <w:rFonts w:hint="eastAsia" w:ascii="微软雅黑" w:hAnsi="微软雅黑" w:eastAsia="微软雅黑" w:cs="微软雅黑"/>
          <w:kern w:val="2"/>
          <w:sz w:val="21"/>
          <w:lang w:eastAsia="zh-CN"/>
        </w:rPr>
        <w:t>，</w:t>
      </w:r>
      <w:r>
        <w:rPr>
          <w:rFonts w:hint="eastAsia" w:ascii="微软雅黑" w:hAnsi="微软雅黑" w:eastAsia="微软雅黑" w:cs="微软雅黑"/>
        </w:rPr>
        <w:t>完成不少于各150例样本的类器官样本库构建，培养成功率&gt;50%；（2）在成功构建类器官样本库的基础上，完成不少于1</w:t>
      </w:r>
      <w:r>
        <w:rPr>
          <w:rFonts w:hint="eastAsia" w:ascii="微软雅黑" w:hAnsi="微软雅黑" w:eastAsia="微软雅黑" w:cs="微软雅黑"/>
          <w:lang w:val="en-US" w:eastAsia="zh-CN"/>
        </w:rPr>
        <w:t>0</w:t>
      </w:r>
      <w:r>
        <w:rPr>
          <w:rFonts w:hint="eastAsia" w:ascii="微软雅黑" w:hAnsi="微软雅黑" w:eastAsia="微软雅黑" w:cs="微软雅黑"/>
        </w:rPr>
        <w:t>0例胃肠类器官及来源组织的基因组和转录组测序及数据分析；（3）在成功构建类器官样本库的基础上，完成不少于</w:t>
      </w:r>
      <w:r>
        <w:rPr>
          <w:rFonts w:ascii="微软雅黑" w:hAnsi="微软雅黑" w:eastAsia="微软雅黑" w:cs="微软雅黑"/>
        </w:rPr>
        <w:t>150</w:t>
      </w:r>
      <w:r>
        <w:rPr>
          <w:rFonts w:hint="eastAsia" w:ascii="微软雅黑" w:hAnsi="微软雅黑" w:eastAsia="微软雅黑" w:cs="微软雅黑"/>
        </w:rPr>
        <w:t>例胃肠类器官及来源组织的病理学分型及相关标志物的鉴定，鉴定标志物不少于3个；（4）构建不少于30例胃肠类器官小鼠PDOX模型;（5）完成不少于150例胃肠道类器官体外高通量药敏筛选，检测药物种类不少于10种。</w:t>
      </w:r>
    </w:p>
    <w:p>
      <w:pPr>
        <w:pStyle w:val="30"/>
        <w:widowControl/>
        <w:numPr>
          <w:ilvl w:val="0"/>
          <w:numId w:val="6"/>
        </w:numPr>
        <w:spacing w:before="156" w:beforeLines="50" w:after="156" w:afterLines="50" w:line="360" w:lineRule="auto"/>
        <w:ind w:left="425" w:hanging="425" w:firstLineChars="0"/>
        <w:contextualSpacing/>
        <w:rPr>
          <w:rFonts w:ascii="微软雅黑" w:hAnsi="微软雅黑" w:eastAsia="微软雅黑" w:cs="微软雅黑"/>
          <w:szCs w:val="20"/>
        </w:rPr>
      </w:pPr>
      <w:r>
        <w:rPr>
          <w:rFonts w:hint="eastAsia" w:ascii="微软雅黑" w:hAnsi="微软雅黑" w:eastAsia="微软雅黑" w:cs="微软雅黑"/>
        </w:rPr>
        <w:t>肺类器官培养及相关服务：（1）</w:t>
      </w:r>
      <w:r>
        <w:rPr>
          <w:rFonts w:hint="eastAsia" w:ascii="微软雅黑" w:hAnsi="微软雅黑" w:eastAsia="微软雅黑" w:cs="微软雅黑"/>
          <w:kern w:val="2"/>
          <w:sz w:val="21"/>
        </w:rPr>
        <w:t>负责执行完成</w:t>
      </w:r>
      <w:r>
        <w:rPr>
          <w:rFonts w:hint="eastAsia" w:ascii="微软雅黑" w:hAnsi="微软雅黑" w:eastAsia="微软雅黑" w:cs="微软雅黑"/>
          <w:kern w:val="2"/>
          <w:sz w:val="21"/>
          <w:lang w:val="en-US" w:eastAsia="zh-CN"/>
        </w:rPr>
        <w:t>肺</w:t>
      </w:r>
      <w:r>
        <w:rPr>
          <w:rFonts w:hint="eastAsia" w:ascii="微软雅黑" w:hAnsi="微软雅黑" w:eastAsia="微软雅黑" w:cs="微软雅黑"/>
          <w:kern w:val="2"/>
          <w:sz w:val="21"/>
        </w:rPr>
        <w:t>类器官培养、传代、冻存、建库等实验技术工作</w:t>
      </w:r>
      <w:r>
        <w:rPr>
          <w:rFonts w:hint="eastAsia" w:ascii="微软雅黑" w:hAnsi="微软雅黑" w:eastAsia="微软雅黑" w:cs="微软雅黑"/>
          <w:kern w:val="2"/>
          <w:sz w:val="21"/>
          <w:lang w:eastAsia="zh-CN"/>
        </w:rPr>
        <w:t>，</w:t>
      </w:r>
      <w:r>
        <w:rPr>
          <w:rFonts w:hint="eastAsia" w:ascii="微软雅黑" w:hAnsi="微软雅黑" w:eastAsia="微软雅黑" w:cs="微软雅黑"/>
        </w:rPr>
        <w:t>完成不少于各150例样本的类器官样本库构建，培养成功率&gt;50%；（2）在成功构建类器官样本库的基础上，完成不少于</w:t>
      </w:r>
      <w:r>
        <w:rPr>
          <w:rFonts w:ascii="微软雅黑" w:hAnsi="微软雅黑" w:eastAsia="微软雅黑" w:cs="微软雅黑"/>
        </w:rPr>
        <w:t>1</w:t>
      </w:r>
      <w:r>
        <w:rPr>
          <w:rFonts w:hint="eastAsia" w:ascii="微软雅黑" w:hAnsi="微软雅黑" w:eastAsia="微软雅黑" w:cs="微软雅黑"/>
          <w:lang w:val="en-US" w:eastAsia="zh-CN"/>
        </w:rPr>
        <w:t>0</w:t>
      </w:r>
      <w:r>
        <w:rPr>
          <w:rFonts w:ascii="微软雅黑" w:hAnsi="微软雅黑" w:eastAsia="微软雅黑" w:cs="微软雅黑"/>
        </w:rPr>
        <w:t>0</w:t>
      </w:r>
      <w:r>
        <w:rPr>
          <w:rFonts w:hint="eastAsia" w:ascii="微软雅黑" w:hAnsi="微软雅黑" w:eastAsia="微软雅黑" w:cs="微软雅黑"/>
        </w:rPr>
        <w:t>例肺类器官及来源组织的基因组和转录组测序及数据分析；（3）在成功构建类器官样本库的基础上，</w:t>
      </w:r>
      <w:bookmarkStart w:id="1" w:name="_GoBack"/>
      <w:bookmarkEnd w:id="1"/>
      <w:r>
        <w:rPr>
          <w:rFonts w:hint="eastAsia" w:ascii="微软雅黑" w:hAnsi="微软雅黑" w:eastAsia="微软雅黑" w:cs="微软雅黑"/>
        </w:rPr>
        <w:t>完成不少于150例肺类器官及来源组织的病理学分型及相关标志物的鉴定，鉴定标志物不少于3个；（4）构建不少于30例肺类器官小鼠PDOX模型;（5）完成不少于150例肺类器官体外高通量药敏筛选，检测药物种类不少于10种。</w:t>
      </w:r>
    </w:p>
    <w:p>
      <w:pPr>
        <w:pStyle w:val="30"/>
        <w:widowControl/>
        <w:numPr>
          <w:ilvl w:val="0"/>
          <w:numId w:val="7"/>
        </w:numPr>
        <w:spacing w:before="156" w:beforeLines="50" w:after="156" w:afterLines="50" w:line="360" w:lineRule="auto"/>
        <w:ind w:left="425" w:hanging="425" w:firstLineChars="0"/>
        <w:contextualSpacing/>
        <w:rPr>
          <w:rFonts w:ascii="微软雅黑" w:hAnsi="微软雅黑" w:eastAsia="微软雅黑" w:cs="微软雅黑"/>
          <w:szCs w:val="20"/>
        </w:rPr>
      </w:pPr>
      <w:r>
        <w:rPr>
          <w:rFonts w:hint="eastAsia" w:ascii="微软雅黑" w:hAnsi="微软雅黑" w:eastAsia="微软雅黑" w:cs="微软雅黑"/>
        </w:rPr>
        <w:t>胰腺类器官培养及相关服务：（1）</w:t>
      </w:r>
      <w:r>
        <w:rPr>
          <w:rFonts w:hint="eastAsia" w:ascii="微软雅黑" w:hAnsi="微软雅黑" w:eastAsia="微软雅黑" w:cs="微软雅黑"/>
          <w:kern w:val="2"/>
          <w:sz w:val="21"/>
        </w:rPr>
        <w:t>负责执行完成</w:t>
      </w:r>
      <w:r>
        <w:rPr>
          <w:rFonts w:hint="eastAsia" w:ascii="微软雅黑" w:hAnsi="微软雅黑" w:eastAsia="微软雅黑" w:cs="微软雅黑"/>
          <w:kern w:val="2"/>
          <w:sz w:val="21"/>
          <w:lang w:val="en-US" w:eastAsia="zh-CN"/>
        </w:rPr>
        <w:t>胰腺</w:t>
      </w:r>
      <w:r>
        <w:rPr>
          <w:rFonts w:hint="eastAsia" w:ascii="微软雅黑" w:hAnsi="微软雅黑" w:eastAsia="微软雅黑" w:cs="微软雅黑"/>
          <w:kern w:val="2"/>
          <w:sz w:val="21"/>
        </w:rPr>
        <w:t>类器官培养、传代、冻存、建库等实验技术工作</w:t>
      </w:r>
      <w:r>
        <w:rPr>
          <w:rFonts w:hint="eastAsia" w:ascii="微软雅黑" w:hAnsi="微软雅黑" w:eastAsia="微软雅黑" w:cs="微软雅黑"/>
          <w:kern w:val="2"/>
          <w:sz w:val="21"/>
          <w:lang w:eastAsia="zh-CN"/>
        </w:rPr>
        <w:t>，</w:t>
      </w:r>
      <w:r>
        <w:rPr>
          <w:rFonts w:hint="eastAsia" w:ascii="微软雅黑" w:hAnsi="微软雅黑" w:eastAsia="微软雅黑" w:cs="微软雅黑"/>
        </w:rPr>
        <w:t>完成不少于各150例样本的类器官样本库构建，培养成功率&gt;50%；（2）在成功构建类器官样本库的基础上，完成不少于</w:t>
      </w:r>
      <w:r>
        <w:rPr>
          <w:rFonts w:ascii="微软雅黑" w:hAnsi="微软雅黑" w:eastAsia="微软雅黑" w:cs="微软雅黑"/>
        </w:rPr>
        <w:t>1</w:t>
      </w:r>
      <w:r>
        <w:rPr>
          <w:rFonts w:hint="eastAsia" w:ascii="微软雅黑" w:hAnsi="微软雅黑" w:eastAsia="微软雅黑" w:cs="微软雅黑"/>
          <w:lang w:val="en-US" w:eastAsia="zh-CN"/>
        </w:rPr>
        <w:t>0</w:t>
      </w:r>
      <w:r>
        <w:rPr>
          <w:rFonts w:ascii="微软雅黑" w:hAnsi="微软雅黑" w:eastAsia="微软雅黑" w:cs="微软雅黑"/>
        </w:rPr>
        <w:t>0</w:t>
      </w:r>
      <w:r>
        <w:rPr>
          <w:rFonts w:hint="eastAsia" w:ascii="微软雅黑" w:hAnsi="微软雅黑" w:eastAsia="微软雅黑" w:cs="微软雅黑"/>
        </w:rPr>
        <w:t>例胰腺类器官及来源组织的基因组和转录组测序及数据分析；（3）在成功构建类器官样本库的基础上，完成不少于</w:t>
      </w:r>
      <w:r>
        <w:rPr>
          <w:rFonts w:ascii="微软雅黑" w:hAnsi="微软雅黑" w:eastAsia="微软雅黑" w:cs="微软雅黑"/>
        </w:rPr>
        <w:t>1</w:t>
      </w:r>
      <w:r>
        <w:rPr>
          <w:rFonts w:hint="eastAsia" w:ascii="微软雅黑" w:hAnsi="微软雅黑" w:eastAsia="微软雅黑" w:cs="微软雅黑"/>
        </w:rPr>
        <w:t>5</w:t>
      </w:r>
      <w:r>
        <w:rPr>
          <w:rFonts w:ascii="微软雅黑" w:hAnsi="微软雅黑" w:eastAsia="微软雅黑" w:cs="微软雅黑"/>
        </w:rPr>
        <w:t>0</w:t>
      </w:r>
      <w:r>
        <w:rPr>
          <w:rFonts w:hint="eastAsia" w:ascii="微软雅黑" w:hAnsi="微软雅黑" w:eastAsia="微软雅黑" w:cs="微软雅黑"/>
        </w:rPr>
        <w:t>例胰腺类器官及来源组织的病理学分型及相关标志物的鉴定，鉴定标志物不少于3个；（4）构建不少于30例胰腺类器官小鼠PDOX模型;（5）完成不少于150例胰腺类器官体外高通量药敏筛选，检测药物种类不少于10种。</w:t>
      </w:r>
    </w:p>
    <w:p>
      <w:pPr>
        <w:pStyle w:val="30"/>
        <w:widowControl/>
        <w:numPr>
          <w:ilvl w:val="0"/>
          <w:numId w:val="7"/>
        </w:numPr>
        <w:spacing w:before="156" w:beforeLines="50" w:after="156" w:afterLines="50" w:line="360" w:lineRule="auto"/>
        <w:ind w:left="425" w:hanging="425" w:firstLineChars="0"/>
        <w:contextualSpacing/>
        <w:rPr>
          <w:rFonts w:ascii="微软雅黑" w:hAnsi="微软雅黑" w:eastAsia="微软雅黑" w:cs="微软雅黑"/>
          <w:szCs w:val="20"/>
        </w:rPr>
      </w:pPr>
      <w:r>
        <w:rPr>
          <w:rFonts w:hint="eastAsia" w:ascii="微软雅黑" w:hAnsi="微软雅黑" w:eastAsia="微软雅黑" w:cs="微软雅黑"/>
        </w:rPr>
        <w:t>肾类器官培养及相关服务：（1）</w:t>
      </w:r>
      <w:r>
        <w:rPr>
          <w:rFonts w:hint="eastAsia" w:ascii="微软雅黑" w:hAnsi="微软雅黑" w:eastAsia="微软雅黑" w:cs="微软雅黑"/>
          <w:kern w:val="2"/>
          <w:sz w:val="21"/>
        </w:rPr>
        <w:t>负责执行完成</w:t>
      </w:r>
      <w:r>
        <w:rPr>
          <w:rFonts w:hint="eastAsia" w:ascii="微软雅黑" w:hAnsi="微软雅黑" w:eastAsia="微软雅黑" w:cs="微软雅黑"/>
          <w:kern w:val="2"/>
          <w:sz w:val="21"/>
          <w:lang w:val="en-US" w:eastAsia="zh-CN"/>
        </w:rPr>
        <w:t>肾</w:t>
      </w:r>
      <w:r>
        <w:rPr>
          <w:rFonts w:hint="eastAsia" w:ascii="微软雅黑" w:hAnsi="微软雅黑" w:eastAsia="微软雅黑" w:cs="微软雅黑"/>
          <w:kern w:val="2"/>
          <w:sz w:val="21"/>
        </w:rPr>
        <w:t>类器官培养、传代、冻存、建库等实验技术工作</w:t>
      </w:r>
      <w:r>
        <w:rPr>
          <w:rFonts w:hint="eastAsia" w:ascii="微软雅黑" w:hAnsi="微软雅黑" w:eastAsia="微软雅黑" w:cs="微软雅黑"/>
          <w:kern w:val="2"/>
          <w:sz w:val="21"/>
          <w:lang w:eastAsia="zh-CN"/>
        </w:rPr>
        <w:t>，</w:t>
      </w:r>
      <w:r>
        <w:rPr>
          <w:rFonts w:hint="eastAsia" w:ascii="微软雅黑" w:hAnsi="微软雅黑" w:eastAsia="微软雅黑" w:cs="微软雅黑"/>
        </w:rPr>
        <w:t>完成不少于各150例样本的类器官样本库构建，培养成功率&gt;50%；（2）在成功构建类器官样本库的基础上，完成不少于</w:t>
      </w:r>
      <w:r>
        <w:rPr>
          <w:rFonts w:ascii="微软雅黑" w:hAnsi="微软雅黑" w:eastAsia="微软雅黑" w:cs="微软雅黑"/>
        </w:rPr>
        <w:t>1</w:t>
      </w:r>
      <w:r>
        <w:rPr>
          <w:rFonts w:hint="eastAsia" w:ascii="微软雅黑" w:hAnsi="微软雅黑" w:eastAsia="微软雅黑" w:cs="微软雅黑"/>
          <w:lang w:val="en-US" w:eastAsia="zh-CN"/>
        </w:rPr>
        <w:t>0</w:t>
      </w:r>
      <w:r>
        <w:rPr>
          <w:rFonts w:ascii="微软雅黑" w:hAnsi="微软雅黑" w:eastAsia="微软雅黑" w:cs="微软雅黑"/>
        </w:rPr>
        <w:t>0</w:t>
      </w:r>
      <w:r>
        <w:rPr>
          <w:rFonts w:hint="eastAsia" w:ascii="微软雅黑" w:hAnsi="微软雅黑" w:eastAsia="微软雅黑" w:cs="微软雅黑"/>
        </w:rPr>
        <w:t>例肾类器官及来源组织的基因组和转录组测序及数据分析；（3）在成功构建类器官样本库的基础上，完成不少于</w:t>
      </w:r>
      <w:r>
        <w:rPr>
          <w:rFonts w:ascii="微软雅黑" w:hAnsi="微软雅黑" w:eastAsia="微软雅黑" w:cs="微软雅黑"/>
        </w:rPr>
        <w:t>150</w:t>
      </w:r>
      <w:r>
        <w:rPr>
          <w:rFonts w:hint="eastAsia" w:ascii="微软雅黑" w:hAnsi="微软雅黑" w:eastAsia="微软雅黑" w:cs="微软雅黑"/>
        </w:rPr>
        <w:t>例肾类器官及来源组织的病理学分型及相关标志物的鉴定，鉴定标志物不少于3个；（4）构建不少于30例肾类器官小鼠PDOX模型;（5）完成不少于150例肾类器官体外高通量药敏筛选，检测药物种类不少于10种。</w:t>
      </w:r>
    </w:p>
    <w:p>
      <w:pPr>
        <w:pStyle w:val="2"/>
        <w:numPr>
          <w:ilvl w:val="0"/>
          <w:numId w:val="3"/>
        </w:numPr>
        <w:spacing w:before="0" w:after="0"/>
        <w:rPr>
          <w:rFonts w:ascii="微软雅黑" w:hAnsi="微软雅黑" w:eastAsia="微软雅黑" w:cs="Calibri Light"/>
          <w:sz w:val="32"/>
          <w:szCs w:val="32"/>
        </w:rPr>
      </w:pPr>
      <w:r>
        <w:rPr>
          <w:rFonts w:ascii="微软雅黑" w:hAnsi="微软雅黑" w:eastAsia="微软雅黑" w:cs="Calibri Light"/>
          <w:sz w:val="32"/>
          <w:szCs w:val="32"/>
        </w:rPr>
        <w:t>合同款支付方式</w:t>
      </w:r>
    </w:p>
    <w:p>
      <w:pPr>
        <w:pStyle w:val="30"/>
        <w:numPr>
          <w:ilvl w:val="0"/>
          <w:numId w:val="8"/>
        </w:numPr>
        <w:spacing w:line="360" w:lineRule="auto"/>
        <w:ind w:firstLineChars="0"/>
        <w:rPr>
          <w:rFonts w:ascii="微软雅黑" w:hAnsi="微软雅黑" w:eastAsia="微软雅黑" w:cs="Calibri Light"/>
          <w:szCs w:val="21"/>
        </w:rPr>
      </w:pPr>
      <w:r>
        <w:rPr>
          <w:rFonts w:ascii="微软雅黑" w:hAnsi="微软雅黑" w:eastAsia="微软雅黑" w:cs="Calibri Light"/>
          <w:szCs w:val="21"/>
        </w:rPr>
        <w:t>合同签订后，在收到</w:t>
      </w:r>
      <w:r>
        <w:rPr>
          <w:rFonts w:hint="eastAsia" w:ascii="微软雅黑" w:hAnsi="微软雅黑" w:eastAsia="微软雅黑" w:cs="Calibri Light"/>
          <w:szCs w:val="21"/>
        </w:rPr>
        <w:t>服务</w:t>
      </w:r>
      <w:r>
        <w:rPr>
          <w:rFonts w:ascii="微软雅黑" w:hAnsi="微软雅黑" w:eastAsia="微软雅黑" w:cs="Calibri Light"/>
          <w:szCs w:val="21"/>
        </w:rPr>
        <w:t>商开具相应金额正式发票后，</w:t>
      </w:r>
      <w:r>
        <w:rPr>
          <w:rFonts w:hint="eastAsia" w:ascii="微软雅黑" w:hAnsi="微软雅黑" w:eastAsia="微软雅黑" w:cs="Calibri Light"/>
          <w:szCs w:val="21"/>
        </w:rPr>
        <w:t>实验</w:t>
      </w:r>
      <w:r>
        <w:rPr>
          <w:rFonts w:ascii="微软雅黑" w:hAnsi="微软雅黑" w:eastAsia="微软雅黑" w:cs="Calibri Light"/>
          <w:szCs w:val="21"/>
        </w:rPr>
        <w:t>费用每</w:t>
      </w:r>
      <w:r>
        <w:rPr>
          <w:rFonts w:hint="eastAsia" w:ascii="微软雅黑" w:hAnsi="微软雅黑" w:eastAsia="微软雅黑" w:cs="Calibri Light"/>
          <w:szCs w:val="21"/>
        </w:rPr>
        <w:t>季度</w:t>
      </w:r>
      <w:r>
        <w:rPr>
          <w:rFonts w:ascii="微软雅黑" w:hAnsi="微软雅黑" w:eastAsia="微软雅黑" w:cs="Calibri Light"/>
          <w:szCs w:val="21"/>
        </w:rPr>
        <w:t>结算一次</w:t>
      </w:r>
      <w:r>
        <w:rPr>
          <w:rFonts w:hint="eastAsia" w:ascii="微软雅黑" w:hAnsi="微软雅黑" w:eastAsia="微软雅黑" w:cs="Calibri Light"/>
          <w:szCs w:val="21"/>
        </w:rPr>
        <w:t>，直至项目终止</w:t>
      </w:r>
      <w:r>
        <w:rPr>
          <w:rFonts w:ascii="微软雅黑" w:hAnsi="微软雅黑" w:eastAsia="微软雅黑" w:cs="Calibri Light"/>
          <w:szCs w:val="21"/>
        </w:rPr>
        <w:t>。</w:t>
      </w:r>
    </w:p>
    <w:p>
      <w:pPr>
        <w:rPr>
          <w:rFonts w:ascii="微软雅黑" w:hAnsi="微软雅黑" w:eastAsia="微软雅黑"/>
        </w:rPr>
      </w:pPr>
    </w:p>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rPr>
      <w:t>3</w:t>
    </w:r>
    <w:r>
      <w:rPr>
        <w:caps/>
        <w:color w:val="5B9BD5"/>
      </w:rPr>
      <w:fldChar w:fldCharType="end"/>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B5F28"/>
    <w:multiLevelType w:val="multilevel"/>
    <w:tmpl w:val="03AB5F28"/>
    <w:lvl w:ilvl="0" w:tentative="0">
      <w:start w:val="1"/>
      <w:numFmt w:val="bullet"/>
      <w:lvlText w:val=""/>
      <w:lvlJc w:val="left"/>
      <w:pPr>
        <w:ind w:left="838" w:hanging="420"/>
      </w:pPr>
      <w:rPr>
        <w:rFonts w:hint="default" w:ascii="Symbol" w:hAnsi="Symbol"/>
      </w:rPr>
    </w:lvl>
    <w:lvl w:ilvl="1" w:tentative="0">
      <w:start w:val="1"/>
      <w:numFmt w:val="bullet"/>
      <w:lvlText w:val=""/>
      <w:lvlJc w:val="left"/>
      <w:pPr>
        <w:ind w:left="1258" w:hanging="420"/>
      </w:pPr>
      <w:rPr>
        <w:rFonts w:hint="default" w:ascii="Wingdings" w:hAnsi="Wingdings"/>
      </w:rPr>
    </w:lvl>
    <w:lvl w:ilvl="2" w:tentative="0">
      <w:start w:val="1"/>
      <w:numFmt w:val="bullet"/>
      <w:lvlText w:val=""/>
      <w:lvlJc w:val="left"/>
      <w:pPr>
        <w:ind w:left="1678" w:hanging="420"/>
      </w:pPr>
      <w:rPr>
        <w:rFonts w:hint="default" w:ascii="Wingdings" w:hAnsi="Wingdings"/>
      </w:rPr>
    </w:lvl>
    <w:lvl w:ilvl="3" w:tentative="0">
      <w:start w:val="1"/>
      <w:numFmt w:val="bullet"/>
      <w:lvlText w:val=""/>
      <w:lvlJc w:val="left"/>
      <w:pPr>
        <w:ind w:left="2098" w:hanging="420"/>
      </w:pPr>
      <w:rPr>
        <w:rFonts w:hint="default" w:ascii="Wingdings" w:hAnsi="Wingdings"/>
      </w:rPr>
    </w:lvl>
    <w:lvl w:ilvl="4" w:tentative="0">
      <w:start w:val="1"/>
      <w:numFmt w:val="bullet"/>
      <w:lvlText w:val=""/>
      <w:lvlJc w:val="left"/>
      <w:pPr>
        <w:ind w:left="2518" w:hanging="420"/>
      </w:pPr>
      <w:rPr>
        <w:rFonts w:hint="default" w:ascii="Wingdings" w:hAnsi="Wingdings"/>
      </w:rPr>
    </w:lvl>
    <w:lvl w:ilvl="5" w:tentative="0">
      <w:start w:val="1"/>
      <w:numFmt w:val="bullet"/>
      <w:lvlText w:val=""/>
      <w:lvlJc w:val="left"/>
      <w:pPr>
        <w:ind w:left="2938" w:hanging="420"/>
      </w:pPr>
      <w:rPr>
        <w:rFonts w:hint="default" w:ascii="Wingdings" w:hAnsi="Wingdings"/>
      </w:rPr>
    </w:lvl>
    <w:lvl w:ilvl="6" w:tentative="0">
      <w:start w:val="1"/>
      <w:numFmt w:val="bullet"/>
      <w:lvlText w:val=""/>
      <w:lvlJc w:val="left"/>
      <w:pPr>
        <w:ind w:left="3358" w:hanging="420"/>
      </w:pPr>
      <w:rPr>
        <w:rFonts w:hint="default" w:ascii="Wingdings" w:hAnsi="Wingdings"/>
      </w:rPr>
    </w:lvl>
    <w:lvl w:ilvl="7" w:tentative="0">
      <w:start w:val="1"/>
      <w:numFmt w:val="bullet"/>
      <w:lvlText w:val=""/>
      <w:lvlJc w:val="left"/>
      <w:pPr>
        <w:ind w:left="3778" w:hanging="420"/>
      </w:pPr>
      <w:rPr>
        <w:rFonts w:hint="default" w:ascii="Wingdings" w:hAnsi="Wingdings"/>
      </w:rPr>
    </w:lvl>
    <w:lvl w:ilvl="8" w:tentative="0">
      <w:start w:val="1"/>
      <w:numFmt w:val="bullet"/>
      <w:lvlText w:val=""/>
      <w:lvlJc w:val="left"/>
      <w:pPr>
        <w:ind w:left="4198" w:hanging="420"/>
      </w:pPr>
      <w:rPr>
        <w:rFonts w:hint="default" w:ascii="Wingdings" w:hAnsi="Wingdings"/>
      </w:rPr>
    </w:lvl>
  </w:abstractNum>
  <w:abstractNum w:abstractNumId="1">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3EBB3C91"/>
    <w:multiLevelType w:val="multilevel"/>
    <w:tmpl w:val="3EBB3C91"/>
    <w:lvl w:ilvl="0" w:tentative="0">
      <w:start w:val="1"/>
      <w:numFmt w:val="decimal"/>
      <w:pStyle w:val="36"/>
      <w:lvlText w:val="%1. "/>
      <w:lvlJc w:val="left"/>
      <w:pPr>
        <w:ind w:left="420" w:hanging="420"/>
      </w:pPr>
      <w:rPr>
        <w:rFonts w:hint="default" w:ascii="Times New Roman" w:hAnsi="Times New Roman" w:eastAsia="宋体"/>
        <w:b/>
        <w:i w:val="0"/>
      </w:rPr>
    </w:lvl>
    <w:lvl w:ilvl="1" w:tentative="0">
      <w:start w:val="1"/>
      <w:numFmt w:val="decimal"/>
      <w:pStyle w:val="32"/>
      <w:isLgl/>
      <w:suff w:val="space"/>
      <w:lvlText w:val="%1.%2 "/>
      <w:lvlJc w:val="left"/>
      <w:pPr>
        <w:ind w:left="3913" w:hanging="794"/>
      </w:pPr>
      <w:rPr>
        <w:rFonts w:hint="eastAsia"/>
      </w:rPr>
    </w:lvl>
    <w:lvl w:ilvl="2" w:tentative="0">
      <w:start w:val="1"/>
      <w:numFmt w:val="decimal"/>
      <w:pStyle w:val="35"/>
      <w:isLgl/>
      <w:suff w:val="space"/>
      <w:lvlText w:val="%1.%2.%3 "/>
      <w:lvlJc w:val="left"/>
      <w:pPr>
        <w:ind w:left="907" w:hanging="907"/>
      </w:pPr>
      <w:rPr>
        <w:rFonts w:hint="eastAsia"/>
      </w:rPr>
    </w:lvl>
    <w:lvl w:ilvl="3" w:tentative="0">
      <w:start w:val="1"/>
      <w:numFmt w:val="decimal"/>
      <w:pStyle w:val="34"/>
      <w:isLgl/>
      <w:suff w:val="space"/>
      <w:lvlText w:val="%1.%2.%3.%4 "/>
      <w:lvlJc w:val="left"/>
      <w:pPr>
        <w:ind w:left="1021" w:hanging="1021"/>
      </w:pPr>
      <w:rPr>
        <w:rFonts w:hint="eastAsia"/>
      </w:rPr>
    </w:lvl>
    <w:lvl w:ilvl="4" w:tentative="0">
      <w:start w:val="1"/>
      <w:numFmt w:val="decimal"/>
      <w:pStyle w:val="38"/>
      <w:isLgl/>
      <w:suff w:val="space"/>
      <w:lvlText w:val="%1.%2.%3.%4.%5 "/>
      <w:lvlJc w:val="left"/>
      <w:pPr>
        <w:ind w:left="1134" w:hanging="1134"/>
      </w:pPr>
      <w:rPr>
        <w:rFonts w:hint="eastAsia"/>
      </w:rPr>
    </w:lvl>
    <w:lvl w:ilvl="5" w:tentative="0">
      <w:start w:val="1"/>
      <w:numFmt w:val="decimal"/>
      <w:pStyle w:val="33"/>
      <w:isLgl/>
      <w:suff w:val="space"/>
      <w:lvlText w:val="%1.%2.%3.%4.%5.%6 "/>
      <w:lvlJc w:val="left"/>
      <w:pPr>
        <w:ind w:left="1247" w:hanging="1247"/>
      </w:pPr>
      <w:rPr>
        <w:rFonts w:hint="eastAsia"/>
      </w:rPr>
    </w:lvl>
    <w:lvl w:ilvl="6" w:tentative="0">
      <w:start w:val="1"/>
      <w:numFmt w:val="decimal"/>
      <w:lvlRestart w:val="1"/>
      <w:pStyle w:val="31"/>
      <w:isLgl/>
      <w:suff w:val="space"/>
      <w:lvlText w:val="图 %1.%7 "/>
      <w:lvlJc w:val="left"/>
      <w:pPr>
        <w:ind w:left="0" w:firstLine="0"/>
      </w:pPr>
      <w:rPr>
        <w:rFonts w:hint="eastAsia"/>
      </w:rPr>
    </w:lvl>
    <w:lvl w:ilvl="7" w:tentative="0">
      <w:start w:val="1"/>
      <w:numFmt w:val="decimal"/>
      <w:lvlRestart w:val="1"/>
      <w:pStyle w:val="37"/>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4">
    <w:nsid w:val="4F099A43"/>
    <w:multiLevelType w:val="singleLevel"/>
    <w:tmpl w:val="4F099A43"/>
    <w:lvl w:ilvl="0" w:tentative="0">
      <w:start w:val="2"/>
      <w:numFmt w:val="decimal"/>
      <w:lvlText w:val="%1."/>
      <w:lvlJc w:val="left"/>
      <w:pPr>
        <w:tabs>
          <w:tab w:val="left" w:pos="420"/>
        </w:tabs>
        <w:ind w:left="425" w:leftChars="0" w:hanging="425" w:firstLineChars="0"/>
      </w:pPr>
      <w:rPr>
        <w:rFonts w:hint="default"/>
      </w:rPr>
    </w:lvl>
  </w:abstractNum>
  <w:abstractNum w:abstractNumId="5">
    <w:nsid w:val="6BCD6FB9"/>
    <w:multiLevelType w:val="multilevel"/>
    <w:tmpl w:val="6BCD6FB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F7D85D5"/>
    <w:multiLevelType w:val="singleLevel"/>
    <w:tmpl w:val="6F7D85D5"/>
    <w:lvl w:ilvl="0" w:tentative="0">
      <w:start w:val="1"/>
      <w:numFmt w:val="decimal"/>
      <w:lvlText w:val="%1."/>
      <w:lvlJc w:val="left"/>
      <w:pPr>
        <w:ind w:left="425" w:hanging="425"/>
      </w:pPr>
      <w:rPr>
        <w:rFonts w:hint="default"/>
      </w:rPr>
    </w:lvl>
  </w:abstractNum>
  <w:abstractNum w:abstractNumId="7">
    <w:nsid w:val="723A31A0"/>
    <w:multiLevelType w:val="singleLevel"/>
    <w:tmpl w:val="723A31A0"/>
    <w:lvl w:ilvl="0" w:tentative="0">
      <w:start w:val="3"/>
      <w:numFmt w:val="decimal"/>
      <w:lvlText w:val="%1."/>
      <w:lvlJc w:val="left"/>
      <w:pPr>
        <w:tabs>
          <w:tab w:val="left" w:pos="420"/>
        </w:tabs>
        <w:ind w:left="425" w:leftChars="0" w:hanging="425" w:firstLineChars="0"/>
      </w:pPr>
      <w:rPr>
        <w:rFonts w:hint="default"/>
      </w:rPr>
    </w:lvl>
  </w:abstractNum>
  <w:num w:numId="1">
    <w:abstractNumId w:val="1"/>
  </w:num>
  <w:num w:numId="2">
    <w:abstractNumId w:val="2"/>
  </w:num>
  <w:num w:numId="3">
    <w:abstractNumId w:val="3"/>
  </w:num>
  <w:num w:numId="4">
    <w:abstractNumId w:val="0"/>
  </w:num>
  <w:num w:numId="5">
    <w:abstractNumId w:val="6"/>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FlM2QyZmFkYWNjODQ3YjUyOWQyYWY4YTUwOTNhYWMifQ=="/>
  </w:docVars>
  <w:rsids>
    <w:rsidRoot w:val="009D6044"/>
    <w:rsid w:val="00021199"/>
    <w:rsid w:val="00085643"/>
    <w:rsid w:val="000B5094"/>
    <w:rsid w:val="001051A8"/>
    <w:rsid w:val="001142B9"/>
    <w:rsid w:val="001244EA"/>
    <w:rsid w:val="0018709A"/>
    <w:rsid w:val="002048C9"/>
    <w:rsid w:val="002C43FA"/>
    <w:rsid w:val="002D0C7E"/>
    <w:rsid w:val="002E19F2"/>
    <w:rsid w:val="00303B6B"/>
    <w:rsid w:val="003055EB"/>
    <w:rsid w:val="0032253D"/>
    <w:rsid w:val="00327DB4"/>
    <w:rsid w:val="003450CC"/>
    <w:rsid w:val="00377BF8"/>
    <w:rsid w:val="00387946"/>
    <w:rsid w:val="003A1C78"/>
    <w:rsid w:val="003E5DEA"/>
    <w:rsid w:val="00403D15"/>
    <w:rsid w:val="00436E97"/>
    <w:rsid w:val="00456E2B"/>
    <w:rsid w:val="004935E7"/>
    <w:rsid w:val="004C173A"/>
    <w:rsid w:val="00521667"/>
    <w:rsid w:val="00575627"/>
    <w:rsid w:val="005D2FE9"/>
    <w:rsid w:val="00655468"/>
    <w:rsid w:val="006D600A"/>
    <w:rsid w:val="00776686"/>
    <w:rsid w:val="0080303D"/>
    <w:rsid w:val="0086394A"/>
    <w:rsid w:val="008D2990"/>
    <w:rsid w:val="008E32CF"/>
    <w:rsid w:val="008F4AAC"/>
    <w:rsid w:val="00940438"/>
    <w:rsid w:val="009B02A7"/>
    <w:rsid w:val="009D6044"/>
    <w:rsid w:val="00A24F4B"/>
    <w:rsid w:val="00A8420A"/>
    <w:rsid w:val="00A91D42"/>
    <w:rsid w:val="00AE1F7F"/>
    <w:rsid w:val="00AF52B0"/>
    <w:rsid w:val="00B25B3E"/>
    <w:rsid w:val="00C077DB"/>
    <w:rsid w:val="00C60A20"/>
    <w:rsid w:val="00CA5F3B"/>
    <w:rsid w:val="00CD3B5A"/>
    <w:rsid w:val="00D24843"/>
    <w:rsid w:val="00D9408D"/>
    <w:rsid w:val="00DB0710"/>
    <w:rsid w:val="00DE15C2"/>
    <w:rsid w:val="00DF1323"/>
    <w:rsid w:val="00E04AA0"/>
    <w:rsid w:val="00E100BA"/>
    <w:rsid w:val="00E3598F"/>
    <w:rsid w:val="00E742F8"/>
    <w:rsid w:val="00E86CBF"/>
    <w:rsid w:val="00EB0CAF"/>
    <w:rsid w:val="00F26C19"/>
    <w:rsid w:val="00F75DB3"/>
    <w:rsid w:val="00F96471"/>
    <w:rsid w:val="00FB2680"/>
    <w:rsid w:val="00FB28BF"/>
    <w:rsid w:val="00FD3FB5"/>
    <w:rsid w:val="00FF10E2"/>
    <w:rsid w:val="03CC3F79"/>
    <w:rsid w:val="0AE41505"/>
    <w:rsid w:val="0B62274F"/>
    <w:rsid w:val="0CB64032"/>
    <w:rsid w:val="0CF5141A"/>
    <w:rsid w:val="0E034A3B"/>
    <w:rsid w:val="11CC3396"/>
    <w:rsid w:val="142D164E"/>
    <w:rsid w:val="166916D0"/>
    <w:rsid w:val="174C1201"/>
    <w:rsid w:val="18040C0D"/>
    <w:rsid w:val="1CB047DA"/>
    <w:rsid w:val="1E1C7453"/>
    <w:rsid w:val="21C11F33"/>
    <w:rsid w:val="26EB23FA"/>
    <w:rsid w:val="2F347AF2"/>
    <w:rsid w:val="2F4B1379"/>
    <w:rsid w:val="34255B96"/>
    <w:rsid w:val="37C130EE"/>
    <w:rsid w:val="3862042D"/>
    <w:rsid w:val="398C3287"/>
    <w:rsid w:val="4391606A"/>
    <w:rsid w:val="444F07DA"/>
    <w:rsid w:val="49672948"/>
    <w:rsid w:val="496D4E83"/>
    <w:rsid w:val="4BA6467C"/>
    <w:rsid w:val="4EE00E3D"/>
    <w:rsid w:val="56565720"/>
    <w:rsid w:val="568518BB"/>
    <w:rsid w:val="611C2A0D"/>
    <w:rsid w:val="613025C6"/>
    <w:rsid w:val="66544FA9"/>
    <w:rsid w:val="6A386990"/>
    <w:rsid w:val="6F667FE0"/>
    <w:rsid w:val="728279A0"/>
    <w:rsid w:val="759929D8"/>
    <w:rsid w:val="7AB07C19"/>
    <w:rsid w:val="7B1228E5"/>
    <w:rsid w:val="7EA35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keepLines/>
      <w:numPr>
        <w:ilvl w:val="0"/>
        <w:numId w:val="1"/>
      </w:numPr>
      <w:spacing w:before="340" w:after="330" w:line="578" w:lineRule="auto"/>
      <w:outlineLvl w:val="0"/>
    </w:pPr>
    <w:rPr>
      <w:b/>
      <w:bCs/>
      <w:kern w:val="44"/>
      <w:sz w:val="44"/>
      <w:szCs w:val="44"/>
      <w:lang w:val="zh-CN"/>
    </w:rPr>
  </w:style>
  <w:style w:type="paragraph" w:styleId="3">
    <w:name w:val="heading 2"/>
    <w:basedOn w:val="1"/>
    <w:next w:val="1"/>
    <w:link w:val="3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0"/>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2"/>
    <w:qFormat/>
    <w:uiPriority w:val="9"/>
    <w:pPr>
      <w:keepNext/>
      <w:keepLines/>
      <w:numPr>
        <w:ilvl w:val="3"/>
        <w:numId w:val="1"/>
      </w:numPr>
      <w:spacing w:before="280" w:after="290" w:line="376" w:lineRule="auto"/>
      <w:outlineLvl w:val="3"/>
    </w:pPr>
    <w:rPr>
      <w:rFonts w:ascii="宋体" w:hAnsi="宋体"/>
      <w:b/>
      <w:bCs/>
      <w:sz w:val="28"/>
      <w:szCs w:val="28"/>
      <w:lang w:val="zh-CN"/>
    </w:rPr>
  </w:style>
  <w:style w:type="paragraph" w:styleId="6">
    <w:name w:val="heading 5"/>
    <w:basedOn w:val="1"/>
    <w:next w:val="1"/>
    <w:link w:val="23"/>
    <w:qFormat/>
    <w:uiPriority w:val="9"/>
    <w:pPr>
      <w:keepNext/>
      <w:keepLines/>
      <w:numPr>
        <w:ilvl w:val="4"/>
        <w:numId w:val="1"/>
      </w:numPr>
      <w:spacing w:before="280" w:after="290" w:line="376" w:lineRule="auto"/>
      <w:outlineLvl w:val="4"/>
    </w:pPr>
    <w:rPr>
      <w:b/>
      <w:bCs/>
      <w:sz w:val="28"/>
      <w:szCs w:val="28"/>
      <w:lang w:val="zh-CN"/>
    </w:rPr>
  </w:style>
  <w:style w:type="paragraph" w:styleId="7">
    <w:name w:val="heading 6"/>
    <w:basedOn w:val="1"/>
    <w:next w:val="1"/>
    <w:link w:val="24"/>
    <w:qFormat/>
    <w:uiPriority w:val="0"/>
    <w:pPr>
      <w:keepNext/>
      <w:keepLines/>
      <w:numPr>
        <w:ilvl w:val="5"/>
        <w:numId w:val="1"/>
      </w:numPr>
      <w:spacing w:before="240" w:after="64" w:line="320" w:lineRule="auto"/>
      <w:outlineLvl w:val="5"/>
    </w:pPr>
    <w:rPr>
      <w:rFonts w:ascii="等线 Light" w:hAnsi="等线 Light" w:eastAsia="等线 Light"/>
      <w:b/>
      <w:bCs/>
      <w:sz w:val="24"/>
      <w:lang w:val="zh-CN"/>
    </w:rPr>
  </w:style>
  <w:style w:type="paragraph" w:styleId="8">
    <w:name w:val="heading 7"/>
    <w:basedOn w:val="1"/>
    <w:next w:val="1"/>
    <w:link w:val="25"/>
    <w:qFormat/>
    <w:uiPriority w:val="0"/>
    <w:pPr>
      <w:keepNext/>
      <w:keepLines/>
      <w:numPr>
        <w:ilvl w:val="6"/>
        <w:numId w:val="1"/>
      </w:numPr>
      <w:spacing w:before="240" w:after="64" w:line="320" w:lineRule="auto"/>
      <w:outlineLvl w:val="6"/>
    </w:pPr>
    <w:rPr>
      <w:b/>
      <w:bCs/>
      <w:sz w:val="24"/>
      <w:lang w:val="zh-CN"/>
    </w:rPr>
  </w:style>
  <w:style w:type="paragraph" w:styleId="9">
    <w:name w:val="heading 8"/>
    <w:basedOn w:val="1"/>
    <w:next w:val="1"/>
    <w:link w:val="26"/>
    <w:qFormat/>
    <w:uiPriority w:val="0"/>
    <w:pPr>
      <w:keepNext/>
      <w:keepLines/>
      <w:numPr>
        <w:ilvl w:val="7"/>
        <w:numId w:val="1"/>
      </w:numPr>
      <w:spacing w:before="240" w:after="64" w:line="320" w:lineRule="auto"/>
      <w:outlineLvl w:val="7"/>
    </w:pPr>
    <w:rPr>
      <w:rFonts w:ascii="等线 Light" w:hAnsi="等线 Light" w:eastAsia="等线 Light"/>
      <w:sz w:val="24"/>
      <w:lang w:val="zh-CN"/>
    </w:rPr>
  </w:style>
  <w:style w:type="paragraph" w:styleId="10">
    <w:name w:val="heading 9"/>
    <w:basedOn w:val="1"/>
    <w:next w:val="1"/>
    <w:link w:val="27"/>
    <w:qFormat/>
    <w:uiPriority w:val="0"/>
    <w:pPr>
      <w:keepNext/>
      <w:keepLines/>
      <w:numPr>
        <w:ilvl w:val="8"/>
        <w:numId w:val="1"/>
      </w:numPr>
      <w:spacing w:before="240" w:after="64" w:line="320" w:lineRule="auto"/>
      <w:outlineLvl w:val="8"/>
    </w:pPr>
    <w:rPr>
      <w:rFonts w:ascii="等线 Light" w:hAnsi="等线 Light" w:eastAsia="等线 Light"/>
      <w:szCs w:val="21"/>
      <w:lang w:val="zh-CN"/>
    </w:rPr>
  </w:style>
  <w:style w:type="character" w:default="1" w:styleId="17">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3"/>
    <w:semiHidden/>
    <w:unhideWhenUsed/>
    <w:qFormat/>
    <w:uiPriority w:val="99"/>
    <w:pPr>
      <w:jc w:val="left"/>
    </w:pPr>
  </w:style>
  <w:style w:type="paragraph" w:styleId="12">
    <w:name w:val="Balloon Text"/>
    <w:basedOn w:val="1"/>
    <w:link w:val="41"/>
    <w:semiHidden/>
    <w:unhideWhenUsed/>
    <w:qFormat/>
    <w:uiPriority w:val="99"/>
    <w:rPr>
      <w:sz w:val="18"/>
      <w:szCs w:val="18"/>
    </w:rPr>
  </w:style>
  <w:style w:type="paragraph" w:styleId="13">
    <w:name w:val="footer"/>
    <w:basedOn w:val="1"/>
    <w:link w:val="20"/>
    <w:unhideWhenUsed/>
    <w:qFormat/>
    <w:uiPriority w:val="0"/>
    <w:pPr>
      <w:tabs>
        <w:tab w:val="center" w:pos="4153"/>
        <w:tab w:val="right" w:pos="8306"/>
      </w:tabs>
      <w:snapToGrid w:val="0"/>
      <w:jc w:val="left"/>
    </w:pPr>
    <w:rPr>
      <w:sz w:val="18"/>
      <w:szCs w:val="18"/>
    </w:rPr>
  </w:style>
  <w:style w:type="paragraph" w:styleId="14">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annotation subject"/>
    <w:basedOn w:val="11"/>
    <w:next w:val="11"/>
    <w:link w:val="44"/>
    <w:semiHidden/>
    <w:unhideWhenUsed/>
    <w:qFormat/>
    <w:uiPriority w:val="99"/>
    <w:rPr>
      <w:b/>
      <w:bCs/>
    </w:rPr>
  </w:style>
  <w:style w:type="character" w:styleId="18">
    <w:name w:val="annotation reference"/>
    <w:basedOn w:val="17"/>
    <w:semiHidden/>
    <w:unhideWhenUsed/>
    <w:qFormat/>
    <w:uiPriority w:val="99"/>
    <w:rPr>
      <w:sz w:val="21"/>
      <w:szCs w:val="21"/>
    </w:rPr>
  </w:style>
  <w:style w:type="character" w:customStyle="1" w:styleId="19">
    <w:name w:val="页眉 字符"/>
    <w:basedOn w:val="17"/>
    <w:link w:val="14"/>
    <w:qFormat/>
    <w:uiPriority w:val="99"/>
    <w:rPr>
      <w:sz w:val="18"/>
      <w:szCs w:val="18"/>
    </w:rPr>
  </w:style>
  <w:style w:type="character" w:customStyle="1" w:styleId="20">
    <w:name w:val="页脚 字符"/>
    <w:basedOn w:val="17"/>
    <w:link w:val="13"/>
    <w:qFormat/>
    <w:uiPriority w:val="99"/>
    <w:rPr>
      <w:sz w:val="18"/>
      <w:szCs w:val="18"/>
    </w:rPr>
  </w:style>
  <w:style w:type="character" w:customStyle="1" w:styleId="21">
    <w:name w:val="标题 1 字符"/>
    <w:basedOn w:val="17"/>
    <w:link w:val="2"/>
    <w:qFormat/>
    <w:uiPriority w:val="9"/>
    <w:rPr>
      <w:rFonts w:ascii="Times New Roman" w:hAnsi="Times New Roman" w:eastAsia="宋体" w:cs="Times New Roman"/>
      <w:b/>
      <w:bCs/>
      <w:kern w:val="44"/>
      <w:sz w:val="44"/>
      <w:szCs w:val="44"/>
      <w:lang w:val="zh-CN" w:eastAsia="zh-CN"/>
    </w:rPr>
  </w:style>
  <w:style w:type="character" w:customStyle="1" w:styleId="22">
    <w:name w:val="标题 4 字符"/>
    <w:basedOn w:val="17"/>
    <w:link w:val="5"/>
    <w:qFormat/>
    <w:uiPriority w:val="9"/>
    <w:rPr>
      <w:rFonts w:ascii="宋体" w:hAnsi="宋体" w:eastAsia="宋体" w:cs="Times New Roman"/>
      <w:b/>
      <w:bCs/>
      <w:sz w:val="28"/>
      <w:szCs w:val="28"/>
      <w:lang w:val="zh-CN" w:eastAsia="zh-CN"/>
    </w:rPr>
  </w:style>
  <w:style w:type="character" w:customStyle="1" w:styleId="23">
    <w:name w:val="标题 5 字符"/>
    <w:basedOn w:val="17"/>
    <w:link w:val="6"/>
    <w:qFormat/>
    <w:uiPriority w:val="9"/>
    <w:rPr>
      <w:rFonts w:ascii="Times New Roman" w:hAnsi="Times New Roman" w:eastAsia="宋体" w:cs="Times New Roman"/>
      <w:b/>
      <w:bCs/>
      <w:sz w:val="28"/>
      <w:szCs w:val="28"/>
      <w:lang w:val="zh-CN" w:eastAsia="zh-CN"/>
    </w:rPr>
  </w:style>
  <w:style w:type="character" w:customStyle="1" w:styleId="24">
    <w:name w:val="标题 6 字符"/>
    <w:basedOn w:val="17"/>
    <w:link w:val="7"/>
    <w:qFormat/>
    <w:uiPriority w:val="0"/>
    <w:rPr>
      <w:rFonts w:ascii="等线 Light" w:hAnsi="等线 Light" w:eastAsia="等线 Light" w:cs="Times New Roman"/>
      <w:b/>
      <w:bCs/>
      <w:sz w:val="24"/>
      <w:szCs w:val="24"/>
      <w:lang w:val="zh-CN" w:eastAsia="zh-CN"/>
    </w:rPr>
  </w:style>
  <w:style w:type="character" w:customStyle="1" w:styleId="25">
    <w:name w:val="标题 7 字符"/>
    <w:basedOn w:val="17"/>
    <w:link w:val="8"/>
    <w:qFormat/>
    <w:uiPriority w:val="0"/>
    <w:rPr>
      <w:rFonts w:ascii="Times New Roman" w:hAnsi="Times New Roman" w:eastAsia="宋体" w:cs="Times New Roman"/>
      <w:b/>
      <w:bCs/>
      <w:sz w:val="24"/>
      <w:szCs w:val="24"/>
      <w:lang w:val="zh-CN" w:eastAsia="zh-CN"/>
    </w:rPr>
  </w:style>
  <w:style w:type="character" w:customStyle="1" w:styleId="26">
    <w:name w:val="标题 8 字符"/>
    <w:basedOn w:val="17"/>
    <w:link w:val="9"/>
    <w:qFormat/>
    <w:uiPriority w:val="0"/>
    <w:rPr>
      <w:rFonts w:ascii="等线 Light" w:hAnsi="等线 Light" w:eastAsia="等线 Light" w:cs="Times New Roman"/>
      <w:sz w:val="24"/>
      <w:szCs w:val="24"/>
      <w:lang w:val="zh-CN" w:eastAsia="zh-CN"/>
    </w:rPr>
  </w:style>
  <w:style w:type="character" w:customStyle="1" w:styleId="27">
    <w:name w:val="标题 9 字符"/>
    <w:basedOn w:val="17"/>
    <w:link w:val="10"/>
    <w:qFormat/>
    <w:uiPriority w:val="0"/>
    <w:rPr>
      <w:rFonts w:ascii="等线 Light" w:hAnsi="等线 Light" w:eastAsia="等线 Light" w:cs="Times New Roman"/>
      <w:szCs w:val="21"/>
      <w:lang w:val="zh-CN" w:eastAsia="zh-CN"/>
    </w:rPr>
  </w:style>
  <w:style w:type="character" w:customStyle="1" w:styleId="28">
    <w:name w:val="页脚 字符1"/>
    <w:qFormat/>
    <w:uiPriority w:val="0"/>
    <w:rPr>
      <w:kern w:val="2"/>
      <w:sz w:val="18"/>
      <w:szCs w:val="18"/>
      <w:lang w:val="zh-CN" w:eastAsia="zh-CN"/>
    </w:rPr>
  </w:style>
  <w:style w:type="character" w:customStyle="1" w:styleId="29">
    <w:name w:val="列表段落 字符"/>
    <w:link w:val="30"/>
    <w:qFormat/>
    <w:uiPriority w:val="34"/>
    <w:rPr>
      <w:rFonts w:ascii="等线" w:hAnsi="等线" w:eastAsia="等线"/>
    </w:rPr>
  </w:style>
  <w:style w:type="paragraph" w:styleId="30">
    <w:name w:val="List Paragraph"/>
    <w:basedOn w:val="1"/>
    <w:link w:val="29"/>
    <w:qFormat/>
    <w:uiPriority w:val="34"/>
    <w:pPr>
      <w:ind w:firstLine="420" w:firstLineChars="200"/>
    </w:pPr>
    <w:rPr>
      <w:rFonts w:ascii="等线" w:hAnsi="等线" w:eastAsia="等线" w:cstheme="minorBidi"/>
      <w:szCs w:val="22"/>
    </w:rPr>
  </w:style>
  <w:style w:type="paragraph" w:customStyle="1" w:styleId="31">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32">
    <w:name w:val="标题 2（DBSec）"/>
    <w:basedOn w:val="3"/>
    <w:next w:val="1"/>
    <w:qFormat/>
    <w:uiPriority w:val="0"/>
    <w:pPr>
      <w:numPr>
        <w:ilvl w:val="1"/>
        <w:numId w:val="2"/>
      </w:numPr>
      <w:spacing w:line="415" w:lineRule="auto"/>
      <w:ind w:left="794" w:leftChars="200"/>
      <w:jc w:val="left"/>
    </w:pPr>
    <w:rPr>
      <w:rFonts w:ascii="Arial" w:hAnsi="Arial" w:eastAsia="黑体" w:cs="Times New Roman"/>
      <w:bCs w:val="0"/>
      <w:lang w:val="zh-CN"/>
    </w:rPr>
  </w:style>
  <w:style w:type="paragraph" w:customStyle="1" w:styleId="33">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34">
    <w:name w:val="标题 4（DBSec）"/>
    <w:basedOn w:val="5"/>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35">
    <w:name w:val="标题 3（DBSec）"/>
    <w:basedOn w:val="4"/>
    <w:next w:val="1"/>
    <w:qFormat/>
    <w:uiPriority w:val="0"/>
    <w:pPr>
      <w:numPr>
        <w:ilvl w:val="2"/>
        <w:numId w:val="2"/>
      </w:numPr>
      <w:tabs>
        <w:tab w:val="left" w:pos="960"/>
      </w:tabs>
      <w:spacing w:line="415" w:lineRule="auto"/>
      <w:jc w:val="left"/>
    </w:pPr>
    <w:rPr>
      <w:rFonts w:ascii="Arial" w:hAnsi="Arial" w:eastAsia="黑体"/>
      <w:bCs w:val="0"/>
      <w:kern w:val="0"/>
      <w:sz w:val="30"/>
      <w:szCs w:val="30"/>
      <w:lang w:val="zh-CN"/>
    </w:rPr>
  </w:style>
  <w:style w:type="paragraph" w:customStyle="1" w:styleId="36">
    <w:name w:val="标题 1（DBSec）"/>
    <w:basedOn w:val="2"/>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rPr>
  </w:style>
  <w:style w:type="paragraph" w:customStyle="1" w:styleId="37">
    <w:name w:val="表格标注（安华金和）"/>
    <w:basedOn w:val="31"/>
    <w:next w:val="1"/>
    <w:qFormat/>
    <w:uiPriority w:val="0"/>
    <w:pPr>
      <w:numPr>
        <w:ilvl w:val="7"/>
      </w:numPr>
    </w:pPr>
  </w:style>
  <w:style w:type="paragraph" w:customStyle="1" w:styleId="38">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character" w:customStyle="1" w:styleId="39">
    <w:name w:val="标题 2 字符"/>
    <w:basedOn w:val="17"/>
    <w:link w:val="3"/>
    <w:semiHidden/>
    <w:qFormat/>
    <w:uiPriority w:val="9"/>
    <w:rPr>
      <w:rFonts w:asciiTheme="majorHAnsi" w:hAnsiTheme="majorHAnsi" w:eastAsiaTheme="majorEastAsia" w:cstheme="majorBidi"/>
      <w:b/>
      <w:bCs/>
      <w:sz w:val="32"/>
      <w:szCs w:val="32"/>
    </w:rPr>
  </w:style>
  <w:style w:type="character" w:customStyle="1" w:styleId="40">
    <w:name w:val="标题 3 字符"/>
    <w:basedOn w:val="17"/>
    <w:link w:val="4"/>
    <w:semiHidden/>
    <w:qFormat/>
    <w:uiPriority w:val="9"/>
    <w:rPr>
      <w:rFonts w:ascii="Times New Roman" w:hAnsi="Times New Roman" w:eastAsia="宋体" w:cs="Times New Roman"/>
      <w:b/>
      <w:bCs/>
      <w:sz w:val="32"/>
      <w:szCs w:val="32"/>
    </w:rPr>
  </w:style>
  <w:style w:type="character" w:customStyle="1" w:styleId="41">
    <w:name w:val="批注框文本 字符"/>
    <w:basedOn w:val="17"/>
    <w:link w:val="12"/>
    <w:semiHidden/>
    <w:qFormat/>
    <w:uiPriority w:val="99"/>
    <w:rPr>
      <w:rFonts w:ascii="Times New Roman" w:hAnsi="Times New Roman" w:eastAsia="宋体" w:cs="Times New Roman"/>
      <w:sz w:val="18"/>
      <w:szCs w:val="18"/>
    </w:rPr>
  </w:style>
  <w:style w:type="paragraph" w:customStyle="1" w:styleId="4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3">
    <w:name w:val="批注文字 字符"/>
    <w:basedOn w:val="17"/>
    <w:link w:val="11"/>
    <w:semiHidden/>
    <w:uiPriority w:val="99"/>
    <w:rPr>
      <w:rFonts w:ascii="Times New Roman" w:hAnsi="Times New Roman" w:eastAsia="宋体" w:cs="Times New Roman"/>
      <w:kern w:val="2"/>
      <w:sz w:val="21"/>
      <w:szCs w:val="24"/>
    </w:rPr>
  </w:style>
  <w:style w:type="character" w:customStyle="1" w:styleId="44">
    <w:name w:val="批注主题 字符"/>
    <w:basedOn w:val="43"/>
    <w:link w:val="15"/>
    <w:semiHidden/>
    <w:qFormat/>
    <w:uiPriority w:val="99"/>
    <w:rPr>
      <w:rFonts w:ascii="Times New Roman" w:hAnsi="Times New Roman" w:eastAsia="宋体" w:cs="Times New Roman"/>
      <w:b/>
      <w:bCs/>
      <w:kern w:val="2"/>
      <w:sz w:val="21"/>
      <w:szCs w:val="24"/>
    </w:rPr>
  </w:style>
  <w:style w:type="paragraph" w:customStyle="1" w:styleId="45">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46">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2312</Words>
  <Characters>2396</Characters>
  <Lines>18</Lines>
  <Paragraphs>5</Paragraphs>
  <TotalTime>6</TotalTime>
  <ScaleCrop>false</ScaleCrop>
  <LinksUpToDate>false</LinksUpToDate>
  <CharactersWithSpaces>2396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2023-02-06T03:26:00Z</dcterms:created>
  <dc:creator>cqniu1995@163.com</dc:creator>
  <cp:lastModifiedBy>热带雨林</cp:lastModifiedBy>
  <dcterms:modified xsi:type="dcterms:W3CDTF">2023-02-07T08:25:54Z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6667F712EFB44891A6CE6999C9D50F8D</vt:lpwstr>
  </property>
</Properties>
</file>