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“互联网+医疗”基层服务端扩展项目需求</w:t>
      </w:r>
    </w:p>
    <w:p>
      <w:pPr>
        <w:pStyle w:val="4"/>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项目名称：“互联网+医疗”基层服务端扩展项目</w:t>
      </w:r>
    </w:p>
    <w:p>
      <w:pPr>
        <w:spacing w:line="360" w:lineRule="auto"/>
        <w:ind w:left="432"/>
        <w:rPr>
          <w:rFonts w:ascii="宋体" w:hAnsi="宋体"/>
          <w:sz w:val="22"/>
        </w:rPr>
      </w:pPr>
    </w:p>
    <w:p>
      <w:pPr>
        <w:pStyle w:val="4"/>
        <w:numPr>
          <w:ilvl w:val="0"/>
          <w:numId w:val="3"/>
        </w:numPr>
        <w:spacing w:before="0" w:after="0"/>
        <w:rPr>
          <w:rFonts w:ascii="宋体" w:hAnsi="宋体"/>
          <w:sz w:val="32"/>
          <w:szCs w:val="32"/>
        </w:rPr>
      </w:pPr>
      <w:r>
        <w:rPr>
          <w:rFonts w:hint="eastAsia" w:ascii="宋体" w:hAnsi="宋体"/>
          <w:sz w:val="32"/>
          <w:szCs w:val="32"/>
          <w:lang w:eastAsia="zh-CN"/>
        </w:rPr>
        <w:t>采购清单</w:t>
      </w:r>
    </w:p>
    <w:tbl>
      <w:tblPr>
        <w:tblStyle w:val="2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851"/>
        <w:gridCol w:w="3402"/>
        <w:gridCol w:w="3969"/>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类型</w:t>
            </w:r>
          </w:p>
        </w:tc>
        <w:tc>
          <w:tcPr>
            <w:tcW w:w="851" w:type="dxa"/>
          </w:tcPr>
          <w:p>
            <w:pPr>
              <w:jc w:val="center"/>
            </w:pPr>
            <w:r>
              <w:rPr>
                <w:rFonts w:hint="eastAsia"/>
              </w:rPr>
              <w:t>序号</w:t>
            </w:r>
          </w:p>
        </w:tc>
        <w:tc>
          <w:tcPr>
            <w:tcW w:w="3402" w:type="dxa"/>
          </w:tcPr>
          <w:p>
            <w:pPr>
              <w:jc w:val="center"/>
            </w:pPr>
            <w:r>
              <w:rPr>
                <w:rFonts w:hint="eastAsia"/>
              </w:rPr>
              <w:t>名称</w:t>
            </w:r>
          </w:p>
        </w:tc>
        <w:tc>
          <w:tcPr>
            <w:tcW w:w="3969" w:type="dxa"/>
          </w:tcPr>
          <w:p>
            <w:pPr>
              <w:jc w:val="center"/>
            </w:pPr>
            <w:r>
              <w:rPr>
                <w:rFonts w:hint="eastAsia"/>
              </w:rPr>
              <w:t>配置描述</w:t>
            </w:r>
          </w:p>
        </w:tc>
        <w:tc>
          <w:tcPr>
            <w:tcW w:w="850" w:type="dxa"/>
          </w:tcPr>
          <w:p>
            <w:pPr>
              <w:jc w:val="center"/>
            </w:pPr>
            <w:r>
              <w:rPr>
                <w:rFonts w:hint="eastAsi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软件</w:t>
            </w:r>
          </w:p>
        </w:tc>
        <w:tc>
          <w:tcPr>
            <w:tcW w:w="851" w:type="dxa"/>
          </w:tcPr>
          <w:p>
            <w:pPr>
              <w:jc w:val="center"/>
            </w:pPr>
            <w:r>
              <w:t>1</w:t>
            </w:r>
          </w:p>
        </w:tc>
        <w:tc>
          <w:tcPr>
            <w:tcW w:w="3402" w:type="dxa"/>
          </w:tcPr>
          <w:p>
            <w:pPr>
              <w:jc w:val="left"/>
            </w:pPr>
            <w:r>
              <w:rPr>
                <w:rFonts w:hint="eastAsia" w:ascii="宋体" w:hAnsi="宋体"/>
                <w:sz w:val="22"/>
              </w:rPr>
              <w:t>“互联网+医疗”基层服务端</w:t>
            </w:r>
          </w:p>
        </w:tc>
        <w:tc>
          <w:tcPr>
            <w:tcW w:w="3969" w:type="dxa"/>
          </w:tcPr>
          <w:p>
            <w:pPr>
              <w:jc w:val="left"/>
            </w:pPr>
            <w:r>
              <w:rPr>
                <w:rFonts w:hint="eastAsia"/>
              </w:rPr>
              <w:t>详见3.1</w:t>
            </w:r>
          </w:p>
        </w:tc>
        <w:tc>
          <w:tcPr>
            <w:tcW w:w="850" w:type="dxa"/>
            <w:vAlign w:val="center"/>
          </w:tcPr>
          <w:p>
            <w:pPr>
              <w:jc w:val="center"/>
            </w:pPr>
            <w:r>
              <w:rPr>
                <w:rFonts w:hint="eastAsia"/>
              </w:rPr>
              <w:t>1套</w:t>
            </w:r>
          </w:p>
        </w:tc>
      </w:tr>
    </w:tbl>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0"/>
          <w:numId w:val="1"/>
        </w:numPr>
        <w:spacing w:line="578" w:lineRule="auto"/>
        <w:ind w:firstLineChars="0"/>
        <w:outlineLvl w:val="0"/>
        <w:rPr>
          <w:rFonts w:ascii="宋体" w:hAnsi="宋体" w:eastAsia="宋体"/>
          <w:b/>
          <w:bCs/>
          <w:vanish/>
          <w:kern w:val="44"/>
          <w:sz w:val="44"/>
          <w:szCs w:val="44"/>
        </w:rPr>
      </w:pPr>
    </w:p>
    <w:p>
      <w:pPr>
        <w:pStyle w:val="50"/>
        <w:keepNext/>
        <w:keepLines/>
        <w:numPr>
          <w:ilvl w:val="1"/>
          <w:numId w:val="1"/>
        </w:numPr>
        <w:spacing w:line="578" w:lineRule="auto"/>
        <w:ind w:firstLineChars="0"/>
        <w:outlineLvl w:val="0"/>
        <w:rPr>
          <w:rFonts w:ascii="宋体" w:hAnsi="宋体" w:eastAsia="宋体"/>
          <w:b/>
          <w:bCs/>
          <w:vanish/>
          <w:kern w:val="44"/>
          <w:sz w:val="44"/>
          <w:szCs w:val="44"/>
        </w:rPr>
      </w:pPr>
    </w:p>
    <w:p>
      <w:pPr>
        <w:pStyle w:val="4"/>
        <w:numPr>
          <w:ilvl w:val="0"/>
          <w:numId w:val="3"/>
        </w:numPr>
        <w:spacing w:before="0" w:after="0"/>
        <w:rPr>
          <w:rFonts w:ascii="宋体" w:hAnsi="宋体"/>
          <w:sz w:val="32"/>
          <w:szCs w:val="32"/>
        </w:rPr>
      </w:pPr>
      <w:r>
        <w:rPr>
          <w:rFonts w:hint="eastAsia" w:ascii="宋体" w:hAnsi="宋体"/>
          <w:sz w:val="32"/>
          <w:szCs w:val="32"/>
        </w:rPr>
        <w:t>详细功能描述</w:t>
      </w:r>
    </w:p>
    <w:p>
      <w:pPr>
        <w:pStyle w:val="5"/>
        <w:spacing w:before="0" w:after="0"/>
        <w:rPr>
          <w:rFonts w:ascii="宋体" w:hAnsi="宋体" w:eastAsia="宋体"/>
          <w:sz w:val="24"/>
          <w:szCs w:val="24"/>
        </w:rPr>
      </w:pPr>
      <w:bookmarkStart w:id="0" w:name="_6.1.1、大数据服务器"/>
      <w:bookmarkEnd w:id="0"/>
      <w:r>
        <w:rPr>
          <w:rFonts w:ascii="宋体" w:hAnsi="宋体" w:eastAsia="宋体"/>
          <w:sz w:val="24"/>
          <w:szCs w:val="24"/>
        </w:rPr>
        <w:t>3.1</w:t>
      </w:r>
      <w:r>
        <w:rPr>
          <w:rFonts w:hint="eastAsia" w:ascii="宋体" w:hAnsi="宋体" w:eastAsia="宋体"/>
          <w:sz w:val="24"/>
          <w:szCs w:val="24"/>
        </w:rPr>
        <w:t>、“互联网+医疗”基层服务端功能</w:t>
      </w:r>
    </w:p>
    <w:tbl>
      <w:tblPr>
        <w:tblStyle w:val="21"/>
        <w:tblW w:w="5000" w:type="pct"/>
        <w:tblInd w:w="0" w:type="dxa"/>
        <w:tblLayout w:type="autofit"/>
        <w:tblCellMar>
          <w:top w:w="0" w:type="dxa"/>
          <w:left w:w="108" w:type="dxa"/>
          <w:bottom w:w="0" w:type="dxa"/>
          <w:right w:w="108" w:type="dxa"/>
        </w:tblCellMar>
      </w:tblPr>
      <w:tblGrid>
        <w:gridCol w:w="1044"/>
        <w:gridCol w:w="2041"/>
        <w:gridCol w:w="6201"/>
      </w:tblGrid>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09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3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p>
        </w:tc>
        <w:tc>
          <w:tcPr>
            <w:tcW w:w="1099" w:type="pct"/>
            <w:tcBorders>
              <w:top w:val="single" w:color="auto" w:sz="4" w:space="0"/>
              <w:left w:val="nil"/>
              <w:bottom w:val="single" w:color="auto" w:sz="4" w:space="0"/>
              <w:right w:val="single" w:color="auto" w:sz="4" w:space="0"/>
            </w:tcBorders>
            <w:vAlign w:val="center"/>
          </w:tcPr>
          <w:p>
            <w:pPr>
              <w:pStyle w:val="66"/>
              <w:spacing w:before="156"/>
            </w:pPr>
            <w:r>
              <w:rPr>
                <w:rFonts w:hint="eastAsia" w:ascii="宋体" w:hAnsi="宋体"/>
              </w:rPr>
              <w:t>自助机适配</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改造5G互联网医院，实现在自助机上刷身份证就可以看病及打印报告。</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2</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报告查询</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提供患者的各类检验检查报告自助查询服务功能。</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ascii="宋体" w:hAnsi="宋体" w:cs="宋体"/>
                <w:color w:val="000000"/>
                <w:szCs w:val="21"/>
              </w:rPr>
              <w:t>3</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报告打印</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对接自助机的打印机功能，实现报告打印。</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4</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复诊续方</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自助机上可申请首诊在院内的复诊续方服务。</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5</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报告解读</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根据查询的报告，向医生发起报告解读咨询申请。</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6</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医生主页</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医生主页展示医生信息。</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7</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预约挂号</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支持按科室挂号/按医生挂号（分时段预约）。</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8</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问诊咨询</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提供在线付费咨询服务。</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9</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健康讲堂</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提供卫生健康知识的健康讲堂。</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体检业务</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提供体检预约、体检指南、体检报告查询、体检报告打印、体检报告解读等功能。</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1</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基层医生问诊</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提供基层医生问诊服务。</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适老化改造</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响应适老化的政策要求，“粤智助-省医互联网医院”重点关注农村不会使用电脑或智能手机的老年人。</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3</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运营跟踪</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互联网医院运营端跟踪。</w:t>
            </w:r>
          </w:p>
        </w:tc>
      </w:tr>
      <w:tr>
        <w:tblPrEx>
          <w:tblCellMar>
            <w:top w:w="0" w:type="dxa"/>
            <w:left w:w="108" w:type="dxa"/>
            <w:bottom w:w="0" w:type="dxa"/>
            <w:right w:w="108" w:type="dxa"/>
          </w:tblCellMar>
        </w:tblPrEx>
        <w:trPr>
          <w:trHeight w:val="320" w:hRule="atLeast"/>
        </w:trPr>
        <w:tc>
          <w:tcPr>
            <w:tcW w:w="56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4</w:t>
            </w:r>
          </w:p>
        </w:tc>
        <w:tc>
          <w:tcPr>
            <w:tcW w:w="1099" w:type="pct"/>
            <w:tcBorders>
              <w:top w:val="single" w:color="auto" w:sz="4" w:space="0"/>
              <w:left w:val="nil"/>
              <w:bottom w:val="single" w:color="auto" w:sz="4" w:space="0"/>
              <w:right w:val="single" w:color="auto" w:sz="4" w:space="0"/>
            </w:tcBorders>
            <w:vAlign w:val="center"/>
          </w:tcPr>
          <w:p>
            <w:pPr>
              <w:pStyle w:val="66"/>
              <w:spacing w:before="156"/>
              <w:rPr>
                <w:rFonts w:ascii="宋体" w:hAnsi="宋体"/>
              </w:rPr>
            </w:pPr>
            <w:r>
              <w:rPr>
                <w:rFonts w:hint="eastAsia" w:ascii="宋体" w:hAnsi="宋体"/>
              </w:rPr>
              <w:t>数据分析</w:t>
            </w:r>
          </w:p>
        </w:tc>
        <w:tc>
          <w:tcPr>
            <w:tcW w:w="3339" w:type="pct"/>
            <w:tcBorders>
              <w:top w:val="single" w:color="auto" w:sz="4" w:space="0"/>
              <w:left w:val="nil"/>
              <w:bottom w:val="single" w:color="auto" w:sz="4" w:space="0"/>
              <w:right w:val="single" w:color="auto" w:sz="4" w:space="0"/>
            </w:tcBorders>
            <w:vAlign w:val="center"/>
          </w:tcPr>
          <w:p>
            <w:pPr>
              <w:widowControl/>
              <w:rPr>
                <w:rFonts w:ascii="宋体" w:hAnsi="宋体" w:cs="宋体"/>
                <w:color w:val="000000"/>
                <w:szCs w:val="21"/>
              </w:rPr>
            </w:pPr>
            <w:r>
              <w:rPr>
                <w:rFonts w:hint="eastAsia" w:ascii="宋体" w:hAnsi="宋体" w:cs="宋体"/>
                <w:color w:val="000000"/>
                <w:szCs w:val="21"/>
              </w:rPr>
              <w:t>定时统计数据。</w:t>
            </w:r>
          </w:p>
        </w:tc>
      </w:tr>
    </w:tbl>
    <w:p>
      <w:pPr>
        <w:rPr>
          <w:sz w:val="32"/>
          <w:szCs w:val="32"/>
        </w:rPr>
      </w:pPr>
      <w:bookmarkStart w:id="1" w:name="_6.1.2、容器服务器"/>
      <w:bookmarkEnd w:id="1"/>
    </w:p>
    <w:p>
      <w:pPr>
        <w:pStyle w:val="4"/>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自合同签订日起，须在___</w:t>
      </w:r>
      <w:r>
        <w:rPr>
          <w:rFonts w:ascii="宋体" w:hAnsi="宋体" w:cs="宋体"/>
          <w:szCs w:val="21"/>
          <w:u w:val="single"/>
        </w:rPr>
        <w:t>10</w:t>
      </w:r>
      <w:r>
        <w:rPr>
          <w:rFonts w:hint="eastAsia" w:ascii="宋体" w:hAnsi="宋体" w:cs="宋体"/>
          <w:szCs w:val="21"/>
        </w:rPr>
        <w:t>__个工作日内对《用户需求说明书》进行补充、确认或提出意见。</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ascii="宋体" w:hAnsi="宋体" w:cs="宋体"/>
          <w:szCs w:val="21"/>
          <w:u w:val="single"/>
        </w:rPr>
        <w:t>10</w:t>
      </w:r>
      <w:r>
        <w:rPr>
          <w:rFonts w:hint="eastAsia" w:ascii="宋体" w:hAnsi="宋体" w:cs="宋体"/>
          <w:szCs w:val="21"/>
          <w:u w:val="single"/>
        </w:rPr>
        <w:t xml:space="preserve">  </w:t>
      </w:r>
      <w:r>
        <w:rPr>
          <w:rFonts w:hint="eastAsia" w:ascii="宋体" w:hAnsi="宋体" w:cs="宋体"/>
          <w:szCs w:val="21"/>
        </w:rPr>
        <w:t>个工作日内确认《需求规格说明书》。</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须在《需求规格说明书》确认后的___</w:t>
      </w:r>
      <w:r>
        <w:rPr>
          <w:rFonts w:ascii="宋体" w:hAnsi="宋体" w:cs="宋体"/>
          <w:szCs w:val="21"/>
          <w:u w:val="single"/>
        </w:rPr>
        <w:t>120</w:t>
      </w:r>
      <w:r>
        <w:rPr>
          <w:rFonts w:hint="eastAsia" w:ascii="宋体" w:hAnsi="宋体" w:cs="宋体"/>
          <w:szCs w:val="21"/>
        </w:rPr>
        <w:t>__个工作日内完成实施导入和保证系统正常工作。</w:t>
      </w:r>
    </w:p>
    <w:p>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完成软件实施，并根据院方提出的新需求完成修改后，系统运行___</w:t>
      </w:r>
      <w:r>
        <w:rPr>
          <w:rFonts w:ascii="宋体" w:hAnsi="宋体" w:cs="宋体"/>
          <w:szCs w:val="21"/>
        </w:rPr>
        <w:t>1</w:t>
      </w:r>
      <w:r>
        <w:rPr>
          <w:rFonts w:hint="eastAsia" w:ascii="宋体" w:hAnsi="宋体" w:cs="宋体"/>
          <w:szCs w:val="21"/>
        </w:rPr>
        <w:t>__个月以上无软件故障出现，则向院方申请验收。</w:t>
      </w:r>
    </w:p>
    <w:p>
      <w:pPr>
        <w:rPr>
          <w:lang w:val="zh-CN"/>
        </w:rPr>
      </w:pPr>
    </w:p>
    <w:p>
      <w:pPr>
        <w:pStyle w:val="4"/>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
      <w:pPr>
        <w:pStyle w:val="4"/>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 xml:space="preserve">   12  </w:t>
      </w:r>
      <w:r>
        <w:rPr>
          <w:rFonts w:hint="eastAsia" w:ascii="宋体" w:hAnsi="宋体" w:cs="宋体"/>
          <w:szCs w:val="21"/>
        </w:rPr>
        <w:t>个月。在维护期内，承建商提供技术支持和指导，以及软件的局部改进完善以及故障情况下的现场问题解决。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维保期内承建商为院方提供维护及服务的部门及固定的专职技术人员。承建商提供7*24小时响应服务。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pPr>
        <w:pStyle w:val="4"/>
        <w:numPr>
          <w:ilvl w:val="0"/>
          <w:numId w:val="3"/>
        </w:numPr>
        <w:spacing w:before="0" w:after="0"/>
        <w:rPr>
          <w:rFonts w:ascii="宋体" w:hAnsi="宋体"/>
          <w:color w:val="FF0000"/>
          <w:sz w:val="32"/>
          <w:szCs w:val="32"/>
          <w:lang w:val="en-US"/>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(二)软件验收通过后，在收到承建商开具相应金额正式发票后，支付合同总金额的65%。</w:t>
      </w:r>
    </w:p>
    <w:p>
      <w:pPr>
        <w:spacing w:line="360" w:lineRule="auto"/>
        <w:ind w:firstLine="630" w:firstLineChars="300"/>
        <w:rPr>
          <w:rFonts w:ascii="宋体" w:hAnsi="宋体" w:cs="宋体"/>
          <w:szCs w:val="21"/>
        </w:rPr>
      </w:pPr>
      <w:r>
        <w:rPr>
          <w:rFonts w:hint="eastAsia" w:ascii="宋体" w:hAnsi="宋体" w:cs="宋体"/>
          <w:szCs w:val="21"/>
        </w:rPr>
        <w:t>(三)</w:t>
      </w:r>
      <w:bookmarkStart w:id="2" w:name="_GoBack"/>
      <w:bookmarkEnd w:id="2"/>
      <w:r>
        <w:rPr>
          <w:rFonts w:hint="eastAsia" w:ascii="宋体" w:hAnsi="宋体" w:cs="宋体"/>
          <w:szCs w:val="21"/>
        </w:rPr>
        <w:t>维护期结束后，由院方对承建商在服务期内应完成任务进行确认并通过后1个月内，支付最后一笔尾款。</w:t>
      </w:r>
    </w:p>
    <w:p>
      <w:pPr>
        <w:tabs>
          <w:tab w:val="left" w:pos="780"/>
        </w:tabs>
        <w:spacing w:before="156" w:beforeLines="50" w:line="360" w:lineRule="auto"/>
        <w:ind w:firstLine="904" w:firstLineChars="300"/>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4"/>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7"/>
      <w:lvlText w:val="5.1.1.%4"/>
      <w:lvlJc w:val="left"/>
      <w:pPr>
        <w:ind w:left="864" w:hanging="864"/>
      </w:pPr>
      <w:rPr>
        <w:rFonts w:hint="eastAsia"/>
      </w:rPr>
    </w:lvl>
    <w:lvl w:ilvl="4" w:tentative="0">
      <w:start w:val="1"/>
      <w:numFmt w:val="decimal"/>
      <w:pStyle w:val="8"/>
      <w:lvlText w:val="5.1.1.1.%5"/>
      <w:lvlJc w:val="left"/>
      <w:pPr>
        <w:ind w:left="2142"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303343"/>
    <w:rsid w:val="000051D2"/>
    <w:rsid w:val="000079DD"/>
    <w:rsid w:val="00012DCC"/>
    <w:rsid w:val="00016B63"/>
    <w:rsid w:val="00031B86"/>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090A"/>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1179"/>
    <w:rsid w:val="006E5E07"/>
    <w:rsid w:val="006F0434"/>
    <w:rsid w:val="00701D12"/>
    <w:rsid w:val="0070239F"/>
    <w:rsid w:val="0072309C"/>
    <w:rsid w:val="0072695B"/>
    <w:rsid w:val="0073291A"/>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32FFB"/>
    <w:rsid w:val="008419E9"/>
    <w:rsid w:val="008548FB"/>
    <w:rsid w:val="008623FD"/>
    <w:rsid w:val="00866774"/>
    <w:rsid w:val="00873B97"/>
    <w:rsid w:val="00875A4E"/>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2295"/>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263DB"/>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4C80"/>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24CF"/>
    <w:rsid w:val="00F33DB0"/>
    <w:rsid w:val="00F45DB8"/>
    <w:rsid w:val="00F54D29"/>
    <w:rsid w:val="00F62BCD"/>
    <w:rsid w:val="00F74B77"/>
    <w:rsid w:val="00F764FE"/>
    <w:rsid w:val="00F80625"/>
    <w:rsid w:val="00F827B6"/>
    <w:rsid w:val="00F92BE5"/>
    <w:rsid w:val="00FA0574"/>
    <w:rsid w:val="00FB0DBE"/>
    <w:rsid w:val="00FB68D3"/>
    <w:rsid w:val="00FC4B75"/>
    <w:rsid w:val="00FE7554"/>
    <w:rsid w:val="00FF17FE"/>
    <w:rsid w:val="11FA4392"/>
    <w:rsid w:val="1AAE17B2"/>
    <w:rsid w:val="293961F5"/>
    <w:rsid w:val="42200080"/>
    <w:rsid w:val="488C513A"/>
    <w:rsid w:val="7668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lang w:val="zh-CN"/>
    </w:rPr>
  </w:style>
  <w:style w:type="paragraph" w:styleId="5">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6">
    <w:name w:val="heading 3"/>
    <w:basedOn w:val="1"/>
    <w:next w:val="1"/>
    <w:link w:val="28"/>
    <w:qFormat/>
    <w:uiPriority w:val="0"/>
    <w:pPr>
      <w:keepNext/>
      <w:keepLines/>
      <w:spacing w:before="260" w:after="260" w:line="416" w:lineRule="auto"/>
      <w:outlineLvl w:val="2"/>
    </w:pPr>
    <w:rPr>
      <w:b/>
      <w:bCs/>
      <w:sz w:val="30"/>
      <w:szCs w:val="30"/>
      <w:lang w:val="zh-CN"/>
    </w:rPr>
  </w:style>
  <w:style w:type="paragraph" w:styleId="7">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8">
    <w:name w:val="heading 5"/>
    <w:basedOn w:val="1"/>
    <w:next w:val="1"/>
    <w:link w:val="30"/>
    <w:qFormat/>
    <w:uiPriority w:val="0"/>
    <w:pPr>
      <w:keepNext/>
      <w:keepLines/>
      <w:numPr>
        <w:ilvl w:val="4"/>
        <w:numId w:val="1"/>
      </w:numPr>
      <w:spacing w:before="280" w:after="290" w:line="376" w:lineRule="auto"/>
      <w:outlineLvl w:val="4"/>
    </w:pPr>
    <w:rPr>
      <w:b/>
      <w:bCs/>
      <w:sz w:val="28"/>
      <w:szCs w:val="28"/>
      <w:lang w:val="zh-CN"/>
    </w:rPr>
  </w:style>
  <w:style w:type="paragraph" w:styleId="9">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10">
    <w:name w:val="heading 7"/>
    <w:basedOn w:val="1"/>
    <w:next w:val="1"/>
    <w:link w:val="32"/>
    <w:qFormat/>
    <w:uiPriority w:val="0"/>
    <w:pPr>
      <w:keepNext/>
      <w:keepLines/>
      <w:numPr>
        <w:ilvl w:val="6"/>
        <w:numId w:val="1"/>
      </w:numPr>
      <w:spacing w:before="240" w:after="64" w:line="320" w:lineRule="auto"/>
      <w:outlineLvl w:val="6"/>
    </w:pPr>
    <w:rPr>
      <w:b/>
      <w:bCs/>
      <w:sz w:val="24"/>
      <w:lang w:val="zh-CN"/>
    </w:rPr>
  </w:style>
  <w:style w:type="paragraph" w:styleId="11">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2">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13">
    <w:name w:val="Normal Indent"/>
    <w:basedOn w:val="1"/>
    <w:link w:val="35"/>
    <w:qFormat/>
    <w:uiPriority w:val="99"/>
    <w:pPr>
      <w:spacing w:before="120" w:beforeLines="50" w:line="360" w:lineRule="auto"/>
      <w:ind w:firstLine="512" w:firstLineChars="200"/>
    </w:pPr>
    <w:rPr>
      <w:spacing w:val="8"/>
      <w:sz w:val="24"/>
      <w:szCs w:val="20"/>
    </w:rPr>
  </w:style>
  <w:style w:type="paragraph" w:styleId="14">
    <w:name w:val="annotation text"/>
    <w:basedOn w:val="1"/>
    <w:link w:val="36"/>
    <w:unhideWhenUsed/>
    <w:qFormat/>
    <w:uiPriority w:val="0"/>
    <w:pPr>
      <w:jc w:val="left"/>
    </w:pPr>
    <w:rPr>
      <w:kern w:val="0"/>
      <w:sz w:val="20"/>
      <w:lang w:val="zh-CN"/>
    </w:rPr>
  </w:style>
  <w:style w:type="paragraph" w:styleId="15">
    <w:name w:val="Plain Text"/>
    <w:basedOn w:val="1"/>
    <w:link w:val="37"/>
    <w:qFormat/>
    <w:uiPriority w:val="0"/>
    <w:rPr>
      <w:rFonts w:ascii="Calibri" w:hAnsi="Courier New"/>
      <w:szCs w:val="20"/>
      <w:lang w:val="zh-CN"/>
    </w:rPr>
  </w:style>
  <w:style w:type="paragraph" w:styleId="16">
    <w:name w:val="Balloon Text"/>
    <w:basedOn w:val="1"/>
    <w:link w:val="38"/>
    <w:qFormat/>
    <w:uiPriority w:val="0"/>
    <w:rPr>
      <w:sz w:val="18"/>
      <w:szCs w:val="18"/>
      <w:lang w:val="zh-CN"/>
    </w:rPr>
  </w:style>
  <w:style w:type="paragraph" w:styleId="17">
    <w:name w:val="footer"/>
    <w:basedOn w:val="1"/>
    <w:link w:val="39"/>
    <w:qFormat/>
    <w:uiPriority w:val="0"/>
    <w:pPr>
      <w:tabs>
        <w:tab w:val="center" w:pos="4153"/>
        <w:tab w:val="right" w:pos="8306"/>
      </w:tabs>
      <w:snapToGrid w:val="0"/>
      <w:jc w:val="left"/>
    </w:pPr>
    <w:rPr>
      <w:sz w:val="18"/>
      <w:szCs w:val="18"/>
      <w:lang w:val="zh-CN"/>
    </w:rPr>
  </w:style>
  <w:style w:type="paragraph" w:styleId="18">
    <w:name w:val="header"/>
    <w:basedOn w:val="1"/>
    <w:link w:val="40"/>
    <w:qFormat/>
    <w:uiPriority w:val="0"/>
    <w:pPr>
      <w:pBdr>
        <w:bottom w:val="single" w:color="auto" w:sz="6" w:space="1"/>
      </w:pBdr>
      <w:tabs>
        <w:tab w:val="center" w:pos="4153"/>
        <w:tab w:val="right" w:pos="8306"/>
      </w:tabs>
      <w:snapToGrid w:val="0"/>
      <w:jc w:val="center"/>
    </w:pPr>
    <w:rPr>
      <w:sz w:val="18"/>
      <w:szCs w:val="18"/>
      <w:lang w:val="zh-CN"/>
    </w:rPr>
  </w:style>
  <w:style w:type="paragraph" w:styleId="19">
    <w:name w:val="Subtitle"/>
    <w:basedOn w:val="1"/>
    <w:next w:val="1"/>
    <w:link w:val="65"/>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qFormat/>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4"/>
    <w:qFormat/>
    <w:uiPriority w:val="0"/>
    <w:rPr>
      <w:b/>
      <w:bCs/>
      <w:kern w:val="44"/>
      <w:sz w:val="44"/>
      <w:szCs w:val="44"/>
      <w:lang w:val="zh-CN" w:eastAsia="zh-CN"/>
    </w:rPr>
  </w:style>
  <w:style w:type="character" w:customStyle="1" w:styleId="27">
    <w:name w:val="标题 2 字符"/>
    <w:link w:val="5"/>
    <w:qFormat/>
    <w:uiPriority w:val="0"/>
    <w:rPr>
      <w:rFonts w:ascii="等线 Light" w:hAnsi="等线 Light" w:eastAsia="等线 Light" w:cs="Times New Roman"/>
      <w:b/>
      <w:bCs/>
      <w:kern w:val="2"/>
      <w:sz w:val="32"/>
      <w:szCs w:val="32"/>
    </w:rPr>
  </w:style>
  <w:style w:type="character" w:customStyle="1" w:styleId="28">
    <w:name w:val="标题 3 字符"/>
    <w:link w:val="6"/>
    <w:qFormat/>
    <w:uiPriority w:val="0"/>
    <w:rPr>
      <w:b/>
      <w:bCs/>
      <w:kern w:val="2"/>
      <w:sz w:val="30"/>
      <w:szCs w:val="30"/>
    </w:rPr>
  </w:style>
  <w:style w:type="character" w:customStyle="1" w:styleId="29">
    <w:name w:val="标题 4 字符"/>
    <w:link w:val="7"/>
    <w:qFormat/>
    <w:uiPriority w:val="0"/>
    <w:rPr>
      <w:rFonts w:ascii="宋体" w:hAnsi="宋体"/>
      <w:b/>
      <w:bCs/>
      <w:kern w:val="2"/>
      <w:sz w:val="28"/>
      <w:szCs w:val="28"/>
    </w:rPr>
  </w:style>
  <w:style w:type="character" w:customStyle="1" w:styleId="30">
    <w:name w:val="标题 5 字符"/>
    <w:link w:val="8"/>
    <w:qFormat/>
    <w:uiPriority w:val="0"/>
    <w:rPr>
      <w:b/>
      <w:bCs/>
      <w:kern w:val="2"/>
      <w:sz w:val="28"/>
      <w:szCs w:val="28"/>
    </w:rPr>
  </w:style>
  <w:style w:type="character" w:customStyle="1" w:styleId="31">
    <w:name w:val="标题 6 字符"/>
    <w:link w:val="9"/>
    <w:semiHidden/>
    <w:qFormat/>
    <w:uiPriority w:val="0"/>
    <w:rPr>
      <w:rFonts w:ascii="等线 Light" w:hAnsi="等线 Light" w:eastAsia="等线 Light"/>
      <w:b/>
      <w:bCs/>
      <w:kern w:val="2"/>
      <w:sz w:val="24"/>
      <w:szCs w:val="24"/>
    </w:rPr>
  </w:style>
  <w:style w:type="character" w:customStyle="1" w:styleId="32">
    <w:name w:val="标题 7 字符"/>
    <w:link w:val="10"/>
    <w:semiHidden/>
    <w:qFormat/>
    <w:uiPriority w:val="0"/>
    <w:rPr>
      <w:b/>
      <w:bCs/>
      <w:kern w:val="2"/>
      <w:sz w:val="24"/>
      <w:szCs w:val="24"/>
    </w:rPr>
  </w:style>
  <w:style w:type="character" w:customStyle="1" w:styleId="33">
    <w:name w:val="标题 8 字符"/>
    <w:link w:val="11"/>
    <w:semiHidden/>
    <w:qFormat/>
    <w:uiPriority w:val="0"/>
    <w:rPr>
      <w:rFonts w:ascii="等线 Light" w:hAnsi="等线 Light" w:eastAsia="等线 Light"/>
      <w:kern w:val="2"/>
      <w:sz w:val="24"/>
      <w:szCs w:val="24"/>
    </w:rPr>
  </w:style>
  <w:style w:type="character" w:customStyle="1" w:styleId="34">
    <w:name w:val="标题 9 字符"/>
    <w:link w:val="12"/>
    <w:semiHidden/>
    <w:qFormat/>
    <w:uiPriority w:val="0"/>
    <w:rPr>
      <w:rFonts w:ascii="等线 Light" w:hAnsi="等线 Light" w:eastAsia="等线 Light"/>
      <w:kern w:val="2"/>
      <w:sz w:val="21"/>
      <w:szCs w:val="21"/>
    </w:rPr>
  </w:style>
  <w:style w:type="character" w:customStyle="1" w:styleId="35">
    <w:name w:val="正文缩进 字符"/>
    <w:link w:val="13"/>
    <w:qFormat/>
    <w:uiPriority w:val="99"/>
    <w:rPr>
      <w:spacing w:val="8"/>
      <w:kern w:val="2"/>
      <w:sz w:val="24"/>
      <w:lang w:val="en-US" w:eastAsia="zh-CN"/>
    </w:rPr>
  </w:style>
  <w:style w:type="character" w:customStyle="1" w:styleId="36">
    <w:name w:val="批注文字 字符1"/>
    <w:link w:val="14"/>
    <w:qFormat/>
    <w:uiPriority w:val="0"/>
    <w:rPr>
      <w:szCs w:val="24"/>
    </w:rPr>
  </w:style>
  <w:style w:type="character" w:customStyle="1" w:styleId="37">
    <w:name w:val="纯文本 字符"/>
    <w:link w:val="15"/>
    <w:qFormat/>
    <w:uiPriority w:val="0"/>
    <w:rPr>
      <w:rFonts w:ascii="Calibri" w:hAnsi="Courier New"/>
      <w:kern w:val="2"/>
      <w:sz w:val="21"/>
    </w:rPr>
  </w:style>
  <w:style w:type="character" w:customStyle="1" w:styleId="38">
    <w:name w:val="批注框文本 字符"/>
    <w:link w:val="16"/>
    <w:qFormat/>
    <w:uiPriority w:val="0"/>
    <w:rPr>
      <w:kern w:val="2"/>
      <w:sz w:val="18"/>
      <w:szCs w:val="18"/>
    </w:rPr>
  </w:style>
  <w:style w:type="character" w:customStyle="1" w:styleId="39">
    <w:name w:val="页脚 字符1"/>
    <w:link w:val="17"/>
    <w:qFormat/>
    <w:uiPriority w:val="0"/>
    <w:rPr>
      <w:kern w:val="2"/>
      <w:sz w:val="18"/>
      <w:szCs w:val="18"/>
    </w:rPr>
  </w:style>
  <w:style w:type="character" w:customStyle="1" w:styleId="40">
    <w:name w:val="页眉 字符"/>
    <w:link w:val="18"/>
    <w:qFormat/>
    <w:uiPriority w:val="0"/>
    <w:rPr>
      <w:kern w:val="2"/>
      <w:sz w:val="18"/>
      <w:szCs w:val="18"/>
    </w:rPr>
  </w:style>
  <w:style w:type="character" w:customStyle="1" w:styleId="41">
    <w:name w:val="已访问的超链接1"/>
    <w:qFormat/>
    <w:uiPriority w:val="0"/>
    <w:rPr>
      <w:color w:val="800080"/>
      <w:u w:val="single"/>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lang w:val="zh-CN"/>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表段落 字符"/>
    <w:link w:val="50"/>
    <w:qFormat/>
    <w:uiPriority w:val="34"/>
    <w:rPr>
      <w:rFonts w:ascii="等线" w:hAnsi="等线" w:eastAsia="等线"/>
      <w:kern w:val="2"/>
      <w:sz w:val="21"/>
      <w:szCs w:val="22"/>
    </w:rPr>
  </w:style>
  <w:style w:type="paragraph" w:styleId="50">
    <w:name w:val="List Paragraph"/>
    <w:basedOn w:val="1"/>
    <w:link w:val="49"/>
    <w:qFormat/>
    <w:uiPriority w:val="34"/>
    <w:pPr>
      <w:ind w:firstLine="420" w:firstLineChars="200"/>
    </w:pPr>
    <w:rPr>
      <w:rFonts w:ascii="等线" w:hAnsi="等线" w:eastAsia="等线"/>
      <w:szCs w:val="22"/>
      <w:lang w:val="zh-CN"/>
    </w:rPr>
  </w:style>
  <w:style w:type="paragraph" w:customStyle="1" w:styleId="5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5"/>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7"/>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8">
    <w:name w:val="标题 3（DBSec）"/>
    <w:basedOn w:val="6"/>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9">
    <w:name w:val="标题 1（DBSec）"/>
    <w:basedOn w:val="4"/>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pPr>
      <w:numPr>
        <w:ilvl w:val="7"/>
      </w:numPr>
    </w:pPr>
  </w:style>
  <w:style w:type="paragraph" w:customStyle="1" w:styleId="62">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9"/>
    <w:qFormat/>
    <w:uiPriority w:val="0"/>
    <w:rPr>
      <w:rFonts w:ascii="Cambria" w:hAnsi="Cambria"/>
      <w:b/>
      <w:bCs/>
      <w:kern w:val="28"/>
      <w:sz w:val="32"/>
      <w:szCs w:val="32"/>
      <w:lang w:eastAsia="en-US"/>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1512</Words>
  <Characters>1551</Characters>
  <Lines>12</Lines>
  <Paragraphs>3</Paragraphs>
  <TotalTime>1</TotalTime>
  <ScaleCrop>false</ScaleCrop>
  <LinksUpToDate>false</LinksUpToDate>
  <CharactersWithSpaces>1560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2023-03-15T03:19:00Z</dcterms:created>
  <dc:creator>陈永辉</dc:creator>
  <cp:lastModifiedBy>刘亮</cp:lastModifiedBy>
  <dcterms:modified xsi:type="dcterms:W3CDTF">2023-03-17T08:05:58Z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E6BF652D54F944798887341195E59480</vt:lpwstr>
  </property>
</Properties>
</file>