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100" w:line="360" w:lineRule="auto"/>
        <w:jc w:val="center"/>
        <w:rPr>
          <w:rFonts w:ascii="微软雅黑" w:hAnsi="微软雅黑" w:eastAsia="微软雅黑" w:cs="微软雅黑"/>
          <w:b/>
          <w:sz w:val="36"/>
          <w:szCs w:val="36"/>
        </w:rPr>
      </w:pPr>
      <w:r>
        <w:rPr>
          <w:rFonts w:hint="eastAsia" w:ascii="微软雅黑" w:hAnsi="微软雅黑" w:eastAsia="微软雅黑" w:cs="微软雅黑"/>
          <w:b/>
          <w:sz w:val="36"/>
          <w:szCs w:val="36"/>
        </w:rPr>
        <w:t>2023年核医学NIS系统升级整合项目需求</w:t>
      </w:r>
    </w:p>
    <w:p>
      <w:pPr>
        <w:pStyle w:val="3"/>
        <w:numPr>
          <w:ilvl w:val="0"/>
          <w:numId w:val="3"/>
        </w:numPr>
        <w:spacing w:before="0" w:after="0"/>
        <w:rPr>
          <w:rFonts w:ascii="微软雅黑" w:hAnsi="微软雅黑" w:eastAsia="微软雅黑" w:cs="微软雅黑"/>
          <w:sz w:val="32"/>
          <w:szCs w:val="32"/>
        </w:rPr>
      </w:pPr>
      <w:r>
        <w:rPr>
          <w:rFonts w:hint="eastAsia" w:ascii="微软雅黑" w:hAnsi="微软雅黑" w:eastAsia="微软雅黑" w:cs="微软雅黑"/>
          <w:sz w:val="32"/>
          <w:szCs w:val="32"/>
        </w:rPr>
        <w:t>项目名称</w:t>
      </w:r>
    </w:p>
    <w:p>
      <w:pPr>
        <w:spacing w:line="360" w:lineRule="auto"/>
        <w:ind w:left="432"/>
        <w:rPr>
          <w:rFonts w:ascii="微软雅黑" w:hAnsi="微软雅黑" w:eastAsia="微软雅黑" w:cs="微软雅黑"/>
          <w:sz w:val="22"/>
        </w:rPr>
      </w:pPr>
      <w:r>
        <w:rPr>
          <w:rFonts w:hint="eastAsia" w:ascii="微软雅黑" w:hAnsi="微软雅黑" w:eastAsia="微软雅黑" w:cs="微软雅黑"/>
          <w:sz w:val="22"/>
        </w:rPr>
        <w:t>项目名称：2023年核医学NIS系统升级整合项目</w:t>
      </w:r>
    </w:p>
    <w:p>
      <w:pPr>
        <w:spacing w:line="360" w:lineRule="auto"/>
        <w:ind w:left="432"/>
        <w:rPr>
          <w:rFonts w:ascii="微软雅黑" w:hAnsi="微软雅黑" w:eastAsia="微软雅黑" w:cs="微软雅黑"/>
          <w:sz w:val="22"/>
        </w:rPr>
      </w:pPr>
    </w:p>
    <w:p>
      <w:pPr>
        <w:pStyle w:val="3"/>
        <w:numPr>
          <w:ilvl w:val="0"/>
          <w:numId w:val="3"/>
        </w:numPr>
        <w:spacing w:before="0" w:after="0"/>
        <w:rPr>
          <w:rFonts w:ascii="微软雅黑" w:hAnsi="微软雅黑" w:eastAsia="微软雅黑" w:cs="微软雅黑"/>
          <w:sz w:val="32"/>
          <w:szCs w:val="32"/>
        </w:rPr>
      </w:pPr>
      <w:r>
        <w:rPr>
          <w:rFonts w:hint="eastAsia" w:ascii="微软雅黑" w:hAnsi="微软雅黑" w:eastAsia="微软雅黑" w:cs="微软雅黑"/>
          <w:sz w:val="32"/>
          <w:szCs w:val="32"/>
        </w:rPr>
        <w:t>采购清</w:t>
      </w:r>
      <w:r>
        <w:rPr>
          <w:rFonts w:hint="eastAsia" w:ascii="微软雅黑" w:hAnsi="微软雅黑" w:eastAsia="微软雅黑" w:cs="微软雅黑"/>
          <w:sz w:val="32"/>
          <w:szCs w:val="32"/>
          <w:lang w:val="en-US"/>
        </w:rPr>
        <w:t>单</w:t>
      </w:r>
    </w:p>
    <w:p>
      <w:pPr>
        <w:rPr>
          <w:rFonts w:ascii="微软雅黑" w:hAnsi="微软雅黑" w:eastAsia="微软雅黑" w:cs="微软雅黑"/>
        </w:rPr>
      </w:pPr>
      <w:r>
        <w:rPr>
          <w:rFonts w:hint="eastAsia" w:ascii="微软雅黑" w:hAnsi="微软雅黑" w:eastAsia="微软雅黑" w:cs="微软雅黑"/>
          <w:sz w:val="22"/>
        </w:rPr>
        <w:t>《2023年核医学NIS系统升级整合项目》</w:t>
      </w:r>
      <w:r>
        <w:rPr>
          <w:rFonts w:hint="eastAsia" w:ascii="微软雅黑" w:hAnsi="微软雅黑" w:eastAsia="微软雅黑" w:cs="微软雅黑"/>
        </w:rPr>
        <w:t>采购清单如下：</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008"/>
        <w:gridCol w:w="4222"/>
        <w:gridCol w:w="1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ascii="微软雅黑" w:hAnsi="微软雅黑" w:eastAsia="微软雅黑" w:cs="微软雅黑"/>
                <w:b/>
              </w:rPr>
            </w:pPr>
            <w:r>
              <w:rPr>
                <w:rFonts w:hint="eastAsia" w:ascii="微软雅黑" w:hAnsi="微软雅黑" w:eastAsia="微软雅黑" w:cs="微软雅黑"/>
                <w:b/>
              </w:rPr>
              <w:t>序号</w:t>
            </w:r>
          </w:p>
        </w:tc>
        <w:tc>
          <w:tcPr>
            <w:tcW w:w="3008" w:type="dxa"/>
          </w:tcPr>
          <w:p>
            <w:pPr>
              <w:jc w:val="center"/>
              <w:rPr>
                <w:rFonts w:ascii="微软雅黑" w:hAnsi="微软雅黑" w:eastAsia="微软雅黑" w:cs="微软雅黑"/>
                <w:b/>
              </w:rPr>
            </w:pPr>
            <w:r>
              <w:rPr>
                <w:rFonts w:hint="eastAsia" w:ascii="微软雅黑" w:hAnsi="微软雅黑" w:eastAsia="微软雅黑" w:cs="微软雅黑"/>
                <w:b/>
              </w:rPr>
              <w:t>名称</w:t>
            </w:r>
          </w:p>
        </w:tc>
        <w:tc>
          <w:tcPr>
            <w:tcW w:w="4222" w:type="dxa"/>
          </w:tcPr>
          <w:p>
            <w:pPr>
              <w:jc w:val="center"/>
              <w:rPr>
                <w:rFonts w:ascii="微软雅黑" w:hAnsi="微软雅黑" w:eastAsia="微软雅黑" w:cs="微软雅黑"/>
                <w:b/>
              </w:rPr>
            </w:pPr>
            <w:r>
              <w:rPr>
                <w:rFonts w:hint="eastAsia" w:ascii="微软雅黑" w:hAnsi="微软雅黑" w:eastAsia="微软雅黑" w:cs="微软雅黑"/>
                <w:b/>
              </w:rPr>
              <w:t>配置描述</w:t>
            </w:r>
          </w:p>
        </w:tc>
        <w:tc>
          <w:tcPr>
            <w:tcW w:w="1381" w:type="dxa"/>
          </w:tcPr>
          <w:p>
            <w:pPr>
              <w:jc w:val="center"/>
              <w:rPr>
                <w:rFonts w:ascii="微软雅黑" w:hAnsi="微软雅黑" w:eastAsia="微软雅黑" w:cs="微软雅黑"/>
                <w:b/>
              </w:rPr>
            </w:pPr>
            <w:r>
              <w:rPr>
                <w:rFonts w:hint="eastAsia" w:ascii="微软雅黑" w:hAnsi="微软雅黑" w:eastAsia="微软雅黑" w:cs="微软雅黑"/>
                <w:b/>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Pr>
          <w:p>
            <w:pPr>
              <w:spacing w:line="0" w:lineRule="atLeast"/>
              <w:jc w:val="center"/>
              <w:rPr>
                <w:rFonts w:ascii="微软雅黑" w:hAnsi="微软雅黑" w:eastAsia="微软雅黑" w:cs="微软雅黑"/>
              </w:rPr>
            </w:pPr>
            <w:r>
              <w:rPr>
                <w:rFonts w:hint="eastAsia" w:ascii="微软雅黑" w:hAnsi="微软雅黑" w:eastAsia="微软雅黑" w:cs="微软雅黑"/>
              </w:rPr>
              <w:t>1</w:t>
            </w:r>
          </w:p>
        </w:tc>
        <w:tc>
          <w:tcPr>
            <w:tcW w:w="3008" w:type="dxa"/>
          </w:tcPr>
          <w:p>
            <w:pPr>
              <w:spacing w:line="0" w:lineRule="atLeast"/>
              <w:jc w:val="center"/>
              <w:rPr>
                <w:rFonts w:ascii="微软雅黑" w:hAnsi="微软雅黑" w:eastAsia="微软雅黑" w:cs="微软雅黑"/>
              </w:rPr>
            </w:pPr>
            <w:r>
              <w:rPr>
                <w:rFonts w:hint="eastAsia" w:ascii="微软雅黑" w:hAnsi="微软雅黑" w:eastAsia="微软雅黑" w:cs="微软雅黑"/>
              </w:rPr>
              <w:t>2023年核医学NIS系统升级整合项目</w:t>
            </w:r>
          </w:p>
        </w:tc>
        <w:tc>
          <w:tcPr>
            <w:tcW w:w="4222" w:type="dxa"/>
          </w:tcPr>
          <w:p>
            <w:pPr>
              <w:spacing w:line="0" w:lineRule="atLeast"/>
              <w:rPr>
                <w:rFonts w:ascii="微软雅黑" w:hAnsi="微软雅黑" w:eastAsia="微软雅黑" w:cs="微软雅黑"/>
              </w:rPr>
            </w:pPr>
            <w:r>
              <w:fldChar w:fldCharType="begin"/>
            </w:r>
            <w:r>
              <w:instrText xml:space="preserve"> HYPERLINK \l "_6.1.1、大数据服务器" </w:instrText>
            </w:r>
            <w:r>
              <w:fldChar w:fldCharType="separate"/>
            </w:r>
            <w:r>
              <w:rPr>
                <w:rStyle w:val="23"/>
                <w:rFonts w:hint="eastAsia" w:ascii="微软雅黑" w:hAnsi="微软雅黑" w:eastAsia="微软雅黑" w:cs="微软雅黑"/>
              </w:rPr>
              <w:t>配置详见</w:t>
            </w:r>
            <w:r>
              <w:rPr>
                <w:rStyle w:val="23"/>
                <w:rFonts w:hint="eastAsia" w:ascii="微软雅黑" w:hAnsi="微软雅黑" w:eastAsia="微软雅黑" w:cs="微软雅黑"/>
              </w:rPr>
              <w:fldChar w:fldCharType="end"/>
            </w:r>
            <w:r>
              <w:rPr>
                <w:rStyle w:val="23"/>
                <w:rFonts w:hint="eastAsia" w:ascii="微软雅黑" w:hAnsi="微软雅黑" w:eastAsia="微软雅黑" w:cs="微软雅黑"/>
              </w:rPr>
              <w:t>：《2023年核医学NIS系统升级整合项目技术要求》</w:t>
            </w:r>
          </w:p>
        </w:tc>
        <w:tc>
          <w:tcPr>
            <w:tcW w:w="1381" w:type="dxa"/>
          </w:tcPr>
          <w:p>
            <w:pPr>
              <w:spacing w:line="0" w:lineRule="atLeast"/>
              <w:jc w:val="center"/>
              <w:rPr>
                <w:rFonts w:ascii="微软雅黑" w:hAnsi="微软雅黑" w:eastAsia="微软雅黑" w:cs="微软雅黑"/>
              </w:rPr>
            </w:pPr>
            <w:r>
              <w:rPr>
                <w:rFonts w:hint="eastAsia" w:ascii="微软雅黑" w:hAnsi="微软雅黑" w:eastAsia="微软雅黑" w:cs="微软雅黑"/>
              </w:rPr>
              <w:t>1</w:t>
            </w:r>
          </w:p>
        </w:tc>
      </w:tr>
    </w:tbl>
    <w:p>
      <w:pPr>
        <w:pStyle w:val="49"/>
        <w:keepNext/>
        <w:keepLines/>
        <w:numPr>
          <w:ilvl w:val="0"/>
          <w:numId w:val="1"/>
        </w:numPr>
        <w:spacing w:line="578" w:lineRule="auto"/>
        <w:ind w:firstLineChars="0"/>
        <w:outlineLvl w:val="0"/>
        <w:rPr>
          <w:rFonts w:ascii="微软雅黑" w:hAnsi="微软雅黑" w:eastAsia="微软雅黑" w:cs="微软雅黑"/>
          <w:b/>
          <w:bCs/>
          <w:vanish/>
          <w:kern w:val="44"/>
          <w:sz w:val="44"/>
          <w:szCs w:val="44"/>
        </w:rPr>
      </w:pPr>
    </w:p>
    <w:p>
      <w:pPr>
        <w:pStyle w:val="49"/>
        <w:keepNext/>
        <w:keepLines/>
        <w:numPr>
          <w:ilvl w:val="0"/>
          <w:numId w:val="1"/>
        </w:numPr>
        <w:spacing w:line="578" w:lineRule="auto"/>
        <w:ind w:firstLineChars="0"/>
        <w:outlineLvl w:val="0"/>
        <w:rPr>
          <w:rFonts w:ascii="微软雅黑" w:hAnsi="微软雅黑" w:eastAsia="微软雅黑" w:cs="微软雅黑"/>
          <w:b/>
          <w:bCs/>
          <w:vanish/>
          <w:kern w:val="44"/>
          <w:sz w:val="44"/>
          <w:szCs w:val="44"/>
        </w:rPr>
      </w:pPr>
    </w:p>
    <w:p>
      <w:pPr>
        <w:pStyle w:val="49"/>
        <w:keepNext/>
        <w:keepLines/>
        <w:numPr>
          <w:ilvl w:val="0"/>
          <w:numId w:val="1"/>
        </w:numPr>
        <w:spacing w:line="578" w:lineRule="auto"/>
        <w:ind w:firstLineChars="0"/>
        <w:outlineLvl w:val="0"/>
        <w:rPr>
          <w:rFonts w:ascii="微软雅黑" w:hAnsi="微软雅黑" w:eastAsia="微软雅黑" w:cs="微软雅黑"/>
          <w:b/>
          <w:bCs/>
          <w:vanish/>
          <w:kern w:val="44"/>
          <w:sz w:val="44"/>
          <w:szCs w:val="44"/>
        </w:rPr>
      </w:pPr>
    </w:p>
    <w:p>
      <w:pPr>
        <w:pStyle w:val="49"/>
        <w:keepNext/>
        <w:keepLines/>
        <w:numPr>
          <w:ilvl w:val="1"/>
          <w:numId w:val="1"/>
        </w:numPr>
        <w:spacing w:line="578" w:lineRule="auto"/>
        <w:ind w:firstLineChars="0"/>
        <w:outlineLvl w:val="0"/>
        <w:rPr>
          <w:rFonts w:ascii="微软雅黑" w:hAnsi="微软雅黑" w:eastAsia="微软雅黑" w:cs="微软雅黑"/>
          <w:b/>
          <w:bCs/>
          <w:vanish/>
          <w:kern w:val="44"/>
          <w:sz w:val="44"/>
          <w:szCs w:val="44"/>
        </w:rPr>
      </w:pPr>
    </w:p>
    <w:p>
      <w:pPr>
        <w:pStyle w:val="52"/>
      </w:pPr>
    </w:p>
    <w:p>
      <w:pPr>
        <w:pStyle w:val="3"/>
        <w:numPr>
          <w:ilvl w:val="0"/>
          <w:numId w:val="3"/>
        </w:numPr>
        <w:spacing w:before="0" w:after="0"/>
        <w:rPr>
          <w:rFonts w:ascii="微软雅黑" w:hAnsi="微软雅黑" w:eastAsia="微软雅黑" w:cs="微软雅黑"/>
          <w:sz w:val="24"/>
          <w:szCs w:val="24"/>
          <w:lang w:val="en-US"/>
        </w:rPr>
      </w:pPr>
      <w:r>
        <w:rPr>
          <w:rFonts w:hint="eastAsia" w:ascii="微软雅黑" w:hAnsi="微软雅黑" w:eastAsia="微软雅黑" w:cs="微软雅黑"/>
          <w:sz w:val="32"/>
          <w:szCs w:val="32"/>
        </w:rPr>
        <w:t>详细配置参数</w:t>
      </w:r>
      <w:bookmarkStart w:id="0" w:name="_6.1.1、大数据服务器"/>
      <w:bookmarkEnd w:id="0"/>
    </w:p>
    <w:tbl>
      <w:tblPr>
        <w:tblStyle w:val="20"/>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601"/>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45" w:type="dxa"/>
            <w:gridSpan w:val="3"/>
            <w:vAlign w:val="center"/>
          </w:tcPr>
          <w:p>
            <w:pPr>
              <w:widowControl/>
              <w:adjustRightInd w:val="0"/>
              <w:spacing w:line="360" w:lineRule="auto"/>
              <w:jc w:val="left"/>
              <w:rPr>
                <w:rFonts w:ascii="微软雅黑" w:hAnsi="微软雅黑" w:eastAsia="微软雅黑" w:cs="微软雅黑"/>
                <w:b/>
                <w:kern w:val="0"/>
                <w:szCs w:val="21"/>
              </w:rPr>
            </w:pPr>
            <w:r>
              <w:rPr>
                <w:rFonts w:hint="eastAsia" w:ascii="微软雅黑" w:hAnsi="微软雅黑" w:eastAsia="微软雅黑" w:cs="微软雅黑"/>
                <w:b/>
                <w:bCs/>
                <w:sz w:val="24"/>
              </w:rPr>
              <w:t>2023年核医学NIS系统升级整合项目技术要求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widowControl/>
              <w:adjustRightInd w:val="0"/>
              <w:spacing w:line="360" w:lineRule="auto"/>
              <w:jc w:val="center"/>
              <w:rPr>
                <w:rFonts w:ascii="微软雅黑" w:hAnsi="微软雅黑" w:eastAsia="微软雅黑" w:cs="微软雅黑"/>
                <w:b/>
                <w:kern w:val="0"/>
                <w:szCs w:val="21"/>
              </w:rPr>
            </w:pPr>
            <w:r>
              <w:rPr>
                <w:rFonts w:hint="eastAsia" w:ascii="微软雅黑" w:hAnsi="微软雅黑" w:eastAsia="微软雅黑" w:cs="微软雅黑"/>
                <w:b/>
                <w:kern w:val="0"/>
                <w:szCs w:val="21"/>
              </w:rPr>
              <w:t>序号</w:t>
            </w:r>
          </w:p>
        </w:tc>
        <w:tc>
          <w:tcPr>
            <w:tcW w:w="1601" w:type="dxa"/>
            <w:shd w:val="clear" w:color="auto" w:fill="auto"/>
            <w:vAlign w:val="center"/>
          </w:tcPr>
          <w:p>
            <w:pPr>
              <w:widowControl/>
              <w:adjustRightInd w:val="0"/>
              <w:spacing w:line="360" w:lineRule="auto"/>
              <w:jc w:val="center"/>
              <w:rPr>
                <w:rFonts w:ascii="微软雅黑" w:hAnsi="微软雅黑" w:eastAsia="微软雅黑" w:cs="微软雅黑"/>
                <w:b/>
                <w:kern w:val="0"/>
                <w:szCs w:val="21"/>
              </w:rPr>
            </w:pPr>
            <w:r>
              <w:rPr>
                <w:rFonts w:hint="eastAsia" w:ascii="微软雅黑" w:hAnsi="微软雅黑" w:eastAsia="微软雅黑" w:cs="微软雅黑"/>
                <w:b/>
                <w:kern w:val="0"/>
                <w:szCs w:val="21"/>
              </w:rPr>
              <w:t>指标项</w:t>
            </w:r>
          </w:p>
        </w:tc>
        <w:tc>
          <w:tcPr>
            <w:tcW w:w="6559" w:type="dxa"/>
            <w:shd w:val="clear" w:color="auto" w:fill="auto"/>
            <w:vAlign w:val="center"/>
          </w:tcPr>
          <w:p>
            <w:pPr>
              <w:widowControl/>
              <w:adjustRightInd w:val="0"/>
              <w:spacing w:line="360" w:lineRule="auto"/>
              <w:jc w:val="center"/>
              <w:rPr>
                <w:rFonts w:ascii="微软雅黑" w:hAnsi="微软雅黑" w:eastAsia="微软雅黑" w:cs="微软雅黑"/>
                <w:b/>
                <w:kern w:val="0"/>
                <w:szCs w:val="21"/>
              </w:rPr>
            </w:pPr>
            <w:r>
              <w:rPr>
                <w:rFonts w:hint="eastAsia" w:ascii="微软雅黑" w:hAnsi="微软雅黑" w:eastAsia="微软雅黑" w:cs="微软雅黑"/>
                <w:b/>
                <w:kern w:val="0"/>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widowControl/>
              <w:numPr>
                <w:ilvl w:val="0"/>
                <w:numId w:val="4"/>
              </w:numPr>
              <w:adjustRightInd w:val="0"/>
              <w:spacing w:line="360" w:lineRule="auto"/>
              <w:jc w:val="center"/>
              <w:rPr>
                <w:rFonts w:ascii="微软雅黑" w:hAnsi="微软雅黑" w:eastAsia="微软雅黑" w:cs="微软雅黑"/>
                <w:b/>
                <w:bCs/>
                <w:kern w:val="0"/>
                <w:szCs w:val="21"/>
              </w:rPr>
            </w:pP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电子病历6级评审核医学NIS修改</w:t>
            </w:r>
          </w:p>
        </w:tc>
        <w:tc>
          <w:tcPr>
            <w:tcW w:w="6559" w:type="dxa"/>
            <w:shd w:val="clear" w:color="auto" w:fill="auto"/>
            <w:vAlign w:val="center"/>
          </w:tcPr>
          <w:p>
            <w:pPr>
              <w:widowControl/>
              <w:adjustRightInd w:val="0"/>
              <w:snapToGrid w:val="0"/>
              <w:rPr>
                <w:rFonts w:ascii="微软雅黑" w:hAnsi="微软雅黑" w:eastAsia="微软雅黑" w:cs="微软雅黑"/>
                <w:bCs/>
                <w:kern w:val="0"/>
                <w:szCs w:val="21"/>
              </w:rPr>
            </w:pPr>
            <w:r>
              <w:rPr>
                <w:rFonts w:hint="eastAsia" w:ascii="微软雅黑" w:hAnsi="微软雅黑" w:eastAsia="微软雅黑" w:cs="微软雅黑"/>
                <w:bCs/>
                <w:kern w:val="0"/>
                <w:szCs w:val="21"/>
              </w:rPr>
              <w:t>按照电子病历评审要求，如期针对核医学系统做适应性和满足性修改；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1.1</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整合性：</w:t>
            </w:r>
          </w:p>
        </w:tc>
        <w:tc>
          <w:tcPr>
            <w:tcW w:w="6559" w:type="dxa"/>
            <w:shd w:val="clear" w:color="auto" w:fill="auto"/>
            <w:vAlign w:val="center"/>
          </w:tcPr>
          <w:p>
            <w:pPr>
              <w:pStyle w:val="49"/>
              <w:widowControl/>
              <w:numPr>
                <w:ilvl w:val="0"/>
                <w:numId w:val="5"/>
              </w:numPr>
              <w:adjustRightInd w:val="0"/>
              <w:spacing w:line="0" w:lineRule="atLeast"/>
              <w:ind w:firstLineChars="0"/>
              <w:rPr>
                <w:rFonts w:ascii="微软雅黑" w:hAnsi="微软雅黑" w:eastAsia="微软雅黑"/>
              </w:rPr>
            </w:pPr>
            <w:r>
              <w:rPr>
                <w:rFonts w:hint="eastAsia" w:ascii="微软雅黑" w:hAnsi="微软雅黑" w:eastAsia="微软雅黑"/>
              </w:rPr>
              <w:t>申请单及报告表和HIS一致的申请单编码记录。修改MQ接收程序,处理申请单时将编码同时写入。</w:t>
            </w:r>
          </w:p>
          <w:p>
            <w:pPr>
              <w:pStyle w:val="49"/>
              <w:widowControl/>
              <w:numPr>
                <w:ilvl w:val="0"/>
                <w:numId w:val="5"/>
              </w:numPr>
              <w:adjustRightInd w:val="0"/>
              <w:spacing w:line="0" w:lineRule="atLeast"/>
              <w:ind w:firstLineChars="0"/>
              <w:rPr>
                <w:rFonts w:ascii="微软雅黑" w:hAnsi="微软雅黑" w:eastAsia="微软雅黑"/>
              </w:rPr>
            </w:pPr>
            <w:r>
              <w:rPr>
                <w:rFonts w:hint="eastAsia" w:ascii="微软雅黑" w:hAnsi="微软雅黑" w:eastAsia="微软雅黑"/>
              </w:rPr>
              <w:t>存在患者ID报告与申请单一致性。</w:t>
            </w:r>
          </w:p>
          <w:p>
            <w:pPr>
              <w:pStyle w:val="49"/>
              <w:widowControl/>
              <w:numPr>
                <w:ilvl w:val="0"/>
                <w:numId w:val="5"/>
              </w:numPr>
              <w:adjustRightInd w:val="0"/>
              <w:spacing w:line="0" w:lineRule="atLeast"/>
              <w:ind w:firstLineChars="0"/>
              <w:rPr>
                <w:rFonts w:ascii="微软雅黑" w:hAnsi="微软雅黑" w:eastAsia="微软雅黑"/>
              </w:rPr>
            </w:pPr>
            <w:r>
              <w:rPr>
                <w:rFonts w:hint="eastAsia" w:ascii="微软雅黑" w:hAnsi="微软雅黑" w:eastAsia="微软雅黑"/>
              </w:rPr>
              <w:t>存在申请科室报告与申请单一致性。</w:t>
            </w:r>
          </w:p>
          <w:p>
            <w:pPr>
              <w:pStyle w:val="49"/>
              <w:widowControl/>
              <w:numPr>
                <w:ilvl w:val="0"/>
                <w:numId w:val="5"/>
              </w:numPr>
              <w:adjustRightInd w:val="0"/>
              <w:spacing w:line="0" w:lineRule="atLeast"/>
              <w:ind w:firstLineChars="0"/>
              <w:rPr>
                <w:rFonts w:ascii="微软雅黑" w:hAnsi="微软雅黑" w:eastAsia="微软雅黑"/>
              </w:rPr>
            </w:pPr>
            <w:r>
              <w:rPr>
                <w:rFonts w:hint="eastAsia" w:ascii="微软雅黑" w:hAnsi="微软雅黑" w:eastAsia="微软雅黑"/>
              </w:rPr>
              <w:t>存在项目名称报告与申请单一致性。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1.2</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一致性：</w:t>
            </w:r>
          </w:p>
        </w:tc>
        <w:tc>
          <w:tcPr>
            <w:tcW w:w="6559" w:type="dxa"/>
            <w:shd w:val="clear" w:color="auto" w:fill="auto"/>
            <w:vAlign w:val="center"/>
          </w:tcPr>
          <w:p>
            <w:pPr>
              <w:pStyle w:val="49"/>
              <w:widowControl/>
              <w:numPr>
                <w:ilvl w:val="0"/>
                <w:numId w:val="6"/>
              </w:numPr>
              <w:adjustRightInd w:val="0"/>
              <w:spacing w:line="0" w:lineRule="atLeast"/>
              <w:ind w:firstLineChars="0"/>
              <w:rPr>
                <w:rFonts w:ascii="微软雅黑" w:hAnsi="微软雅黑" w:eastAsia="微软雅黑"/>
              </w:rPr>
            </w:pPr>
            <w:r>
              <w:rPr>
                <w:rFonts w:hint="eastAsia" w:ascii="微软雅黑" w:hAnsi="微软雅黑" w:eastAsia="微软雅黑"/>
              </w:rPr>
              <w:t>检查报告中的项目名称与字典一致性。根据提供的接口文档来开发获取检查项目字典的服务程序,实现全自动与his系统同步更新。</w:t>
            </w:r>
          </w:p>
          <w:p>
            <w:pPr>
              <w:pStyle w:val="49"/>
              <w:widowControl/>
              <w:numPr>
                <w:ilvl w:val="0"/>
                <w:numId w:val="6"/>
              </w:numPr>
              <w:adjustRightInd w:val="0"/>
              <w:spacing w:line="0" w:lineRule="atLeast"/>
              <w:ind w:firstLineChars="0"/>
              <w:rPr>
                <w:rFonts w:ascii="微软雅黑" w:hAnsi="微软雅黑" w:eastAsia="微软雅黑"/>
                <w:szCs w:val="24"/>
              </w:rPr>
            </w:pPr>
            <w:r>
              <w:rPr>
                <w:rFonts w:hint="eastAsia" w:ascii="微软雅黑" w:hAnsi="微软雅黑" w:eastAsia="微软雅黑"/>
              </w:rPr>
              <w:t>用户ID、用户姓名与字典一致性。根据提供的接口文档来需要开发获取用户字典的服务,实现全自动与his系统同步更新。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1.3</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有效性：</w:t>
            </w:r>
          </w:p>
        </w:tc>
        <w:tc>
          <w:tcPr>
            <w:tcW w:w="6559" w:type="dxa"/>
            <w:shd w:val="clear" w:color="auto" w:fill="auto"/>
            <w:vAlign w:val="center"/>
          </w:tcPr>
          <w:p>
            <w:pPr>
              <w:pStyle w:val="49"/>
              <w:widowControl/>
              <w:numPr>
                <w:ilvl w:val="0"/>
                <w:numId w:val="7"/>
              </w:numPr>
              <w:adjustRightInd w:val="0"/>
              <w:spacing w:line="0" w:lineRule="atLeast"/>
              <w:ind w:firstLineChars="0"/>
              <w:rPr>
                <w:rFonts w:ascii="微软雅黑" w:hAnsi="微软雅黑" w:eastAsia="微软雅黑" w:cs="微软雅黑"/>
                <w:bCs/>
                <w:kern w:val="0"/>
                <w:szCs w:val="21"/>
              </w:rPr>
            </w:pPr>
            <w:r>
              <w:rPr>
                <w:rFonts w:hint="eastAsia" w:ascii="微软雅黑" w:hAnsi="微软雅黑" w:eastAsia="微软雅黑"/>
              </w:rPr>
              <w:t>报告审核医师有效性。并判断及处理特殊情况，骨密度没有审核医生，部分检查因特殊情况可能没做完。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1.4</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完善优化：</w:t>
            </w:r>
          </w:p>
        </w:tc>
        <w:tc>
          <w:tcPr>
            <w:tcW w:w="6559" w:type="dxa"/>
            <w:shd w:val="clear" w:color="auto" w:fill="auto"/>
            <w:vAlign w:val="center"/>
          </w:tcPr>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核医学结果查询列表界面：增加悬浮框显示目前检查申请各阶段时间和状态以及执行人。</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核医学系统按BS004消息回传以下节点执行人执行时间（已预约、已登记、报告提交、审核发布、报告撤回）。</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核医学报告撤回后，核医学报告查询界面不可查看该，只有报告处于审核发布状态，才可查看报告内容。</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核医学系统在检查记录界面增加状态列更新显示检查进展状态（申请、预约、登记、报告提交、审核发布、报告撤回），鼠标定在状态名称以悬浮框的形式显示所有流程节点信息。</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核医学系统按检查报告消息回传结构化报告数据（测量值、参考范围、异常标记）。</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核医学系统按危急值消息回传危急值发出时间和发出人。</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核医学系统危急值查询报表增加发出时间和发出人。</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核医学系统报到登记时产生一个二维码做为核查依据，并病人进检查室时扫码核查。</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核医学系统的报告模板支持结构化元素可下拉选择，提供参考值的下拉框选择、提供关键词汇的下拉框选择。</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核医学系统书写报告录入测量值时，提供常规数值选择录入，也支持自定义录入数值，当录入的数值超过人类合理数值弹框提醒，不允录入。</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核医学系统增加报告书写内容与性别冲突的提醒功能。</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核医学系统对接HIS系统，获取患者的诊断、主诉、现病史数据。</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核医学系统增加“临床信息”功能按钮，书写报告点击可弹出小框展示患者的诊断、主诉、现病史信息，勾选或者选择内容点击“插入”可将内容插入到报告鼠标指定位置。</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CDR通过接口开放检验检查报告数据，各检查系统实现检验检查结果插入报告的功能，可参考书写病历引用检验检查数据。</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核医学系统在检查列表中添加主诉、现病史过内容。</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核医学系统记录保存用户的所有操作行为，并提供操作日志查看功能。</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核医学系统增加电子图像导入功能，并可与患者检查记录关联整合。</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核医学医生梳理测量值的范围，给工程师做极限值提醒，即报告医生输入的测量值超过范围值，保存报告时提醒报告医生。</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核医学现在不能将临床信息引用到报告里面，应该在书写报告的区域增加引用按钮，现在在检查记录右击操作不方便</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核医学增加报告修改上下级医生权限控制功能，支持上级医生可修改下级医生的报告，同级医生不可互相修改报告。</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在报告操作日志增加云融合图片的操作记录，可查看到每张云融合图片是谁在什么时候做的。</w:t>
            </w:r>
          </w:p>
          <w:p>
            <w:pPr>
              <w:pStyle w:val="49"/>
              <w:widowControl/>
              <w:numPr>
                <w:ilvl w:val="0"/>
                <w:numId w:val="8"/>
              </w:numPr>
              <w:adjustRightInd w:val="0"/>
              <w:spacing w:line="0" w:lineRule="atLeast"/>
              <w:ind w:firstLineChars="0"/>
              <w:rPr>
                <w:rFonts w:ascii="微软雅黑" w:hAnsi="微软雅黑" w:eastAsia="微软雅黑"/>
              </w:rPr>
            </w:pPr>
            <w:r>
              <w:rPr>
                <w:rFonts w:hint="eastAsia" w:ascii="微软雅黑" w:hAnsi="微软雅黑" w:eastAsia="微软雅黑"/>
              </w:rPr>
              <w:t>在核医学报告审核后，要将有标记注释的图像（云融合图像）推送给影像中心。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numPr>
                <w:ilvl w:val="0"/>
                <w:numId w:val="4"/>
              </w:numPr>
              <w:adjustRightInd w:val="0"/>
              <w:spacing w:line="360" w:lineRule="auto"/>
              <w:jc w:val="center"/>
              <w:rPr>
                <w:rFonts w:ascii="微软雅黑" w:hAnsi="微软雅黑" w:eastAsia="微软雅黑" w:cs="微软雅黑"/>
                <w:b/>
                <w:bCs/>
                <w:kern w:val="0"/>
                <w:szCs w:val="21"/>
              </w:rPr>
            </w:pP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对接病案系统核医学报告类开发</w:t>
            </w:r>
          </w:p>
        </w:tc>
        <w:tc>
          <w:tcPr>
            <w:tcW w:w="6559" w:type="dxa"/>
            <w:shd w:val="clear" w:color="auto" w:fill="auto"/>
            <w:vAlign w:val="center"/>
          </w:tcPr>
          <w:p>
            <w:pPr>
              <w:widowControl/>
              <w:adjustRightInd w:val="0"/>
              <w:snapToGrid w:val="0"/>
              <w:rPr>
                <w:rFonts w:ascii="微软雅黑" w:hAnsi="微软雅黑" w:eastAsia="微软雅黑" w:cs="微软雅黑"/>
                <w:bCs/>
                <w:kern w:val="0"/>
                <w:szCs w:val="21"/>
              </w:rPr>
            </w:pPr>
            <w:r>
              <w:rPr>
                <w:rFonts w:hint="eastAsia" w:ascii="微软雅黑" w:hAnsi="微软雅黑" w:eastAsia="微软雅黑" w:cs="微软雅黑"/>
                <w:bCs/>
                <w:kern w:val="0"/>
                <w:szCs w:val="21"/>
              </w:rPr>
              <w:t>按照病案对接归档的规范要求，开发核医学系统的对接归档接口，提供自动归档功能；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hint="eastAsia" w:ascii="微软雅黑" w:hAnsi="微软雅黑" w:eastAsia="微软雅黑" w:cs="微软雅黑"/>
                <w:b/>
                <w:bCs/>
                <w:kern w:val="0"/>
                <w:szCs w:val="21"/>
              </w:rPr>
              <w:t>2.1</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病案归档管理业务</w:t>
            </w:r>
          </w:p>
        </w:tc>
        <w:tc>
          <w:tcPr>
            <w:tcW w:w="6559" w:type="dxa"/>
            <w:shd w:val="clear" w:color="auto" w:fill="auto"/>
            <w:vAlign w:val="center"/>
          </w:tcPr>
          <w:p>
            <w:pPr>
              <w:pStyle w:val="49"/>
              <w:widowControl/>
              <w:numPr>
                <w:ilvl w:val="0"/>
                <w:numId w:val="9"/>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在院归档：患者在院期间形成终版病历，即时上传病历给病案系统归档。包括各类检验、检查报告，以及在院病历封存等情况，该类情况以业务系统形成终版病历的结点触发系统归档上传。</w:t>
            </w:r>
          </w:p>
          <w:p>
            <w:pPr>
              <w:pStyle w:val="49"/>
              <w:widowControl/>
              <w:numPr>
                <w:ilvl w:val="0"/>
                <w:numId w:val="9"/>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出院归档：以病区患者批准出院触发归档通知，各业务系统以出院时间为该病历截止时间，筛查在院病历是否为经电子签名的最终版病历，提供未完善病历及归档时限提醒，按各业务需要提供手动或自动归档上传。如病区系统、内镜系统等以手动提交触发归档上传</w:t>
            </w:r>
          </w:p>
          <w:p>
            <w:pPr>
              <w:pStyle w:val="49"/>
              <w:widowControl/>
              <w:numPr>
                <w:ilvl w:val="0"/>
                <w:numId w:val="9"/>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补充归档：提交出院归档时存在未完成病历，提交出院归档后仍可补充归档上传。按各业务需要提供手动或自动归档上传，该类情况适用于在院开单，出院后再做的检验和检查。</w:t>
            </w:r>
          </w:p>
          <w:p>
            <w:pPr>
              <w:pStyle w:val="49"/>
              <w:widowControl/>
              <w:numPr>
                <w:ilvl w:val="0"/>
                <w:numId w:val="9"/>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封存归档：患者在院期间提出封存，由医务科通知各科对病历进行封存，封存必须打印终版病历提交病案科封装管理，封存病历部分在系统上不可修改。</w:t>
            </w:r>
          </w:p>
          <w:p>
            <w:pPr>
              <w:pStyle w:val="49"/>
              <w:widowControl/>
              <w:numPr>
                <w:ilvl w:val="0"/>
                <w:numId w:val="9"/>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病历修改：各业务部门通过系统发起“修改申请”审批流程，通过后方可修改病历。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2.2</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病案归档管理流程</w:t>
            </w:r>
          </w:p>
        </w:tc>
        <w:tc>
          <w:tcPr>
            <w:tcW w:w="6559" w:type="dxa"/>
            <w:shd w:val="clear" w:color="auto" w:fill="auto"/>
            <w:vAlign w:val="center"/>
          </w:tcPr>
          <w:p>
            <w:pPr>
              <w:pStyle w:val="49"/>
              <w:widowControl/>
              <w:numPr>
                <w:ilvl w:val="0"/>
                <w:numId w:val="10"/>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出院通知：病区系统批准出院时推送信息给病案系统，病案系统接收信息后通知各业务系统</w:t>
            </w:r>
          </w:p>
          <w:p>
            <w:pPr>
              <w:pStyle w:val="49"/>
              <w:widowControl/>
              <w:numPr>
                <w:ilvl w:val="0"/>
                <w:numId w:val="10"/>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各业务系统获取通知信息，对于出院归档通知，判断本系统是否存在该住院ID病历，如无则调用关闭接口；如有则记录（出院/封存）日期，当前日期大于归档日期时，调用归档明细接口将该住院ID所有病历文书明细上传病案系统</w:t>
            </w:r>
          </w:p>
          <w:p>
            <w:pPr>
              <w:pStyle w:val="49"/>
              <w:widowControl/>
              <w:numPr>
                <w:ilvl w:val="0"/>
                <w:numId w:val="10"/>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各业务系统定时或病历最后版确认时，对需归档病历进行判断是否已完成电子签名且为最终版病历（报告）方可调用归档文书上传接口上传病历。</w:t>
            </w:r>
          </w:p>
          <w:p>
            <w:pPr>
              <w:pStyle w:val="49"/>
              <w:widowControl/>
              <w:numPr>
                <w:ilvl w:val="0"/>
                <w:numId w:val="10"/>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病案系统对各业务系统归档病历进行验签，如验签不通过则业务系统记录验签失败；如验签通过则置病历状态为”锁定“</w:t>
            </w:r>
          </w:p>
          <w:p>
            <w:pPr>
              <w:pStyle w:val="49"/>
              <w:widowControl/>
              <w:numPr>
                <w:ilvl w:val="0"/>
                <w:numId w:val="10"/>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各业务系统对最终版病历进行修改时，需判断病历状态，如为锁定，则不允许编辑，如状态为未归档或解锁则可编辑。</w:t>
            </w:r>
          </w:p>
          <w:p>
            <w:pPr>
              <w:pStyle w:val="49"/>
              <w:widowControl/>
              <w:numPr>
                <w:ilvl w:val="0"/>
                <w:numId w:val="10"/>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各业务系统通过链接病案系统的”修改申请“，供业务系统操作人员发起修改申请，申请通过后，由病案系统推送归档病历置状态为”解锁“。</w:t>
            </w:r>
          </w:p>
          <w:p>
            <w:pPr>
              <w:pStyle w:val="49"/>
              <w:widowControl/>
              <w:numPr>
                <w:ilvl w:val="0"/>
                <w:numId w:val="10"/>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封存病历：在院封存病历与出院归档类同，由HIS推送病案系统，病案系统通知各业务系统，各业务系统判断是否存在该住院ID文书调用病案系统接口上传明细及文书并置已上传文书为“锁定”状态。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hint="eastAsia" w:ascii="微软雅黑" w:hAnsi="微软雅黑" w:eastAsia="微软雅黑" w:cs="微软雅黑"/>
                <w:b/>
                <w:bCs/>
                <w:kern w:val="0"/>
                <w:szCs w:val="21"/>
              </w:rPr>
              <w:t>2.3</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接口及功能需求</w:t>
            </w:r>
          </w:p>
        </w:tc>
        <w:tc>
          <w:tcPr>
            <w:tcW w:w="6559" w:type="dxa"/>
            <w:shd w:val="clear" w:color="auto" w:fill="auto"/>
            <w:vAlign w:val="center"/>
          </w:tcPr>
          <w:p>
            <w:pPr>
              <w:pStyle w:val="49"/>
              <w:widowControl/>
              <w:numPr>
                <w:ilvl w:val="0"/>
                <w:numId w:val="11"/>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提供上传归档数据到病案系统的服务。提供接收的webservice服务，由病案系统提供住院ID、归档日期业务系统提供接口格式详见《业务系统需要提供的接口》。</w:t>
            </w:r>
          </w:p>
          <w:p>
            <w:pPr>
              <w:pStyle w:val="49"/>
              <w:widowControl/>
              <w:numPr>
                <w:ilvl w:val="0"/>
                <w:numId w:val="11"/>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提供文书的“解锁”接口。提供文书解锁的webservice服务。服务接收到住院ID、文书ID则解锁相应文书。</w:t>
            </w:r>
          </w:p>
          <w:p>
            <w:pPr>
              <w:pStyle w:val="49"/>
              <w:widowControl/>
              <w:numPr>
                <w:ilvl w:val="0"/>
                <w:numId w:val="11"/>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归档问题提醒。业务系统提供待归档问题病历的提醒功能，列出归档通知、超期归档（业务系统自行判断）、验签失败等病案推送信息。</w:t>
            </w:r>
          </w:p>
          <w:p>
            <w:pPr>
              <w:pStyle w:val="49"/>
              <w:widowControl/>
              <w:numPr>
                <w:ilvl w:val="0"/>
                <w:numId w:val="11"/>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归档病历修改。业务系统提供归档病历“申请修改”按钮，点击后调用病案系统病历修改申请链接，传入住院ID、系统标识等参数。“申请修改”获批后，病案系统调用业务系统的webservice解锁服务，业务系统修改完毕，重传归档数据。</w:t>
            </w:r>
          </w:p>
          <w:p>
            <w:pPr>
              <w:pStyle w:val="49"/>
              <w:widowControl/>
              <w:numPr>
                <w:ilvl w:val="0"/>
                <w:numId w:val="11"/>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归档病历修改或删除限制。系统判断病历状态非“锁定”时方可修改，限制对病历状态为”锁定“时的修改，并弹出提示：”病历已归档锁定，禁止修改！如有特殊情况，可发起”修改申请“审批通过后方可修改“。</w:t>
            </w:r>
          </w:p>
          <w:p>
            <w:pPr>
              <w:pStyle w:val="49"/>
              <w:widowControl/>
              <w:numPr>
                <w:ilvl w:val="0"/>
                <w:numId w:val="11"/>
              </w:numPr>
              <w:adjustRightInd w:val="0"/>
              <w:snapToGrid w:val="0"/>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在院封存归档功能。病区系统：提供封存归档功能，点击该功能即对所有医嘱等诊疗文书进行校验是否为最终版且经电子签名，并调用病案webservics发送封存时间，与出院批准处理类同，病案系统接收后调用各业务系统webservics发出封存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2.4</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接口清单</w:t>
            </w:r>
          </w:p>
        </w:tc>
        <w:tc>
          <w:tcPr>
            <w:tcW w:w="6559" w:type="dxa"/>
            <w:shd w:val="clear" w:color="auto" w:fill="auto"/>
            <w:vAlign w:val="center"/>
          </w:tcPr>
          <w:p>
            <w:pPr>
              <w:widowControl/>
              <w:adjustRightInd w:val="0"/>
              <w:snapToGrid w:val="0"/>
              <w:rPr>
                <w:rFonts w:ascii="微软雅黑" w:hAnsi="微软雅黑" w:eastAsia="微软雅黑" w:cs="微软雅黑"/>
                <w:bCs/>
                <w:kern w:val="0"/>
                <w:szCs w:val="21"/>
              </w:rPr>
            </w:pPr>
          </w:p>
          <w:p>
            <w:pPr>
              <w:pStyle w:val="2"/>
              <w:ind w:left="0" w:leftChars="0"/>
              <w:jc w:val="left"/>
              <w:rPr>
                <w:rFonts w:ascii="微软雅黑" w:hAnsi="微软雅黑" w:eastAsia="微软雅黑" w:cs="微软雅黑"/>
                <w:bCs/>
                <w:kern w:val="0"/>
                <w:szCs w:val="21"/>
              </w:rPr>
            </w:pPr>
            <w:bookmarkStart w:id="1" w:name="_MON_1740060081"/>
            <w:bookmarkEnd w:id="1"/>
            <w:r>
              <w:rPr>
                <w:rFonts w:ascii="微软雅黑" w:hAnsi="微软雅黑" w:eastAsia="微软雅黑" w:cs="微软雅黑"/>
                <w:bCs/>
                <w:kern w:val="0"/>
                <w:szCs w:val="21"/>
              </w:rPr>
              <w:object>
                <v:shape id="_x0000_i1025" o:spt="75" type="#_x0000_t75" style="height:294.75pt;width:301.5pt;" o:ole="t" filled="f" o:preferrelative="t" stroked="f" coordsize="21600,21600">
                  <v:path/>
                  <v:fill on="f" focussize="0,0"/>
                  <v:stroke on="f" joinstyle="miter"/>
                  <v:imagedata r:id="rId6" o:title=""/>
                  <o:lock v:ext="edit" aspectratio="t"/>
                  <w10:wrap type="none"/>
                  <w10:anchorlock/>
                </v:shape>
                <o:OLEObject Type="Embed" ProgID="Word.Document.12" ShapeID="_x0000_i1025" DrawAspect="Content" ObjectID="_1468075725" r:id="rId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85" w:type="dxa"/>
            <w:vAlign w:val="center"/>
          </w:tcPr>
          <w:p>
            <w:pPr>
              <w:widowControl/>
              <w:numPr>
                <w:ilvl w:val="0"/>
                <w:numId w:val="4"/>
              </w:numPr>
              <w:adjustRightInd w:val="0"/>
              <w:spacing w:line="360" w:lineRule="auto"/>
              <w:jc w:val="center"/>
              <w:rPr>
                <w:rFonts w:ascii="微软雅黑" w:hAnsi="微软雅黑" w:eastAsia="微软雅黑" w:cs="微软雅黑"/>
                <w:b/>
                <w:bCs/>
                <w:kern w:val="0"/>
                <w:szCs w:val="21"/>
              </w:rPr>
            </w:pP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核医学科自助报告接口开发</w:t>
            </w:r>
          </w:p>
        </w:tc>
        <w:tc>
          <w:tcPr>
            <w:tcW w:w="6559" w:type="dxa"/>
            <w:shd w:val="clear" w:color="auto" w:fill="auto"/>
            <w:vAlign w:val="center"/>
          </w:tcPr>
          <w:p>
            <w:pPr>
              <w:widowControl/>
              <w:adjustRightInd w:val="0"/>
              <w:snapToGrid w:val="0"/>
              <w:rPr>
                <w:rFonts w:ascii="微软雅黑" w:hAnsi="微软雅黑" w:eastAsia="微软雅黑" w:cs="微软雅黑"/>
                <w:bCs/>
                <w:kern w:val="0"/>
                <w:szCs w:val="21"/>
              </w:rPr>
            </w:pPr>
            <w:r>
              <w:rPr>
                <w:rFonts w:hint="eastAsia" w:ascii="微软雅黑" w:hAnsi="微软雅黑" w:eastAsia="微软雅黑" w:cs="微软雅黑"/>
                <w:bCs/>
                <w:kern w:val="0"/>
                <w:szCs w:val="21"/>
              </w:rPr>
              <w:t>开发接口，提供可打印的报告给自助报告打印机；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rPr>
                <w:rFonts w:ascii="微软雅黑" w:hAnsi="微软雅黑" w:eastAsia="微软雅黑" w:cs="微软雅黑"/>
                <w:b/>
                <w:bCs/>
                <w:kern w:val="0"/>
                <w:szCs w:val="21"/>
              </w:rPr>
            </w:pP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p>
        </w:tc>
        <w:tc>
          <w:tcPr>
            <w:tcW w:w="6559" w:type="dxa"/>
            <w:shd w:val="clear" w:color="auto" w:fill="auto"/>
            <w:vAlign w:val="center"/>
          </w:tcPr>
          <w:p>
            <w:pPr>
              <w:widowControl/>
              <w:adjustRightInd w:val="0"/>
              <w:snapToGrid w:val="0"/>
              <w:rPr>
                <w:rFonts w:ascii="微软雅黑" w:hAnsi="微软雅黑" w:eastAsia="微软雅黑" w:cs="微软雅黑"/>
                <w:bCs/>
                <w:kern w:val="0"/>
                <w:szCs w:val="21"/>
              </w:rPr>
            </w:pPr>
            <w:r>
              <w:rPr>
                <w:rFonts w:hint="eastAsia" w:ascii="微软雅黑" w:hAnsi="微软雅黑" w:eastAsia="微软雅黑" w:cs="微软雅黑"/>
                <w:bCs/>
                <w:kern w:val="0"/>
                <w:szCs w:val="21"/>
              </w:rPr>
              <w:t>通过数据视图查询出病人报告文档所在位置。患者登录自助报告打印系统，自助系统依据主索引查找天思数据视图，如状态为“已审核”，可通过FTP方式获取终审报告并交付给患者。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85" w:type="dxa"/>
            <w:vAlign w:val="center"/>
          </w:tcPr>
          <w:p>
            <w:pPr>
              <w:widowControl/>
              <w:numPr>
                <w:ilvl w:val="0"/>
                <w:numId w:val="4"/>
              </w:numPr>
              <w:adjustRightInd w:val="0"/>
              <w:spacing w:line="360" w:lineRule="auto"/>
              <w:jc w:val="center"/>
              <w:rPr>
                <w:rFonts w:ascii="微软雅黑" w:hAnsi="微软雅黑" w:eastAsia="微软雅黑" w:cs="微软雅黑"/>
                <w:b/>
                <w:bCs/>
                <w:kern w:val="0"/>
                <w:szCs w:val="21"/>
              </w:rPr>
            </w:pP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Worklist、数据存储升级与整合。</w:t>
            </w:r>
          </w:p>
        </w:tc>
        <w:tc>
          <w:tcPr>
            <w:tcW w:w="6559" w:type="dxa"/>
            <w:shd w:val="clear" w:color="auto" w:fill="auto"/>
            <w:vAlign w:val="center"/>
          </w:tcPr>
          <w:p>
            <w:pPr>
              <w:widowControl/>
              <w:adjustRightInd w:val="0"/>
              <w:snapToGrid w:val="0"/>
              <w:rPr>
                <w:rFonts w:ascii="微软雅黑" w:hAnsi="微软雅黑" w:eastAsia="微软雅黑" w:cs="微软雅黑"/>
                <w:bCs/>
                <w:kern w:val="0"/>
                <w:szCs w:val="21"/>
              </w:rPr>
            </w:pPr>
            <w:r>
              <w:rPr>
                <w:rFonts w:hint="eastAsia" w:ascii="微软雅黑" w:hAnsi="微软雅黑" w:eastAsia="微软雅黑" w:cs="微软雅黑"/>
                <w:bCs/>
                <w:kern w:val="0"/>
                <w:szCs w:val="21"/>
              </w:rPr>
              <w:t>将Worklist服务统一切换为NIS的Worklist服务器，从而简化数据内部流通的环节，增加对国产设备的支持、增加对新设备的更好支持；将影像数据存储统一切换为NIS的存储服务器，从而简化数据内部流通环节、实现统一管理、增加对新设备海量影像数据的支持与调度效率的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4.1</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Worklist Server</w:t>
            </w:r>
          </w:p>
        </w:tc>
        <w:tc>
          <w:tcPr>
            <w:tcW w:w="6559" w:type="dxa"/>
            <w:shd w:val="clear" w:color="auto" w:fill="auto"/>
            <w:vAlign w:val="center"/>
          </w:tcPr>
          <w:p>
            <w:pPr>
              <w:pStyle w:val="49"/>
              <w:widowControl/>
              <w:numPr>
                <w:ilvl w:val="0"/>
                <w:numId w:val="12"/>
              </w:numPr>
              <w:adjustRightInd w:val="0"/>
              <w:snapToGrid w:val="0"/>
              <w:spacing w:line="240" w:lineRule="atLeast"/>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提供 DICOM Worklist Server。</w:t>
            </w:r>
          </w:p>
          <w:p>
            <w:pPr>
              <w:pStyle w:val="49"/>
              <w:widowControl/>
              <w:numPr>
                <w:ilvl w:val="0"/>
                <w:numId w:val="12"/>
              </w:numPr>
              <w:adjustRightInd w:val="0"/>
              <w:snapToGrid w:val="0"/>
              <w:spacing w:line="240" w:lineRule="atLeast"/>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Worklist连接科室全部DICOM检查设备： SPECT/CT， PET/CT， PET/MR，骨密度。并可在未来添加新DICOM设备。</w:t>
            </w:r>
          </w:p>
          <w:p>
            <w:pPr>
              <w:pStyle w:val="49"/>
              <w:widowControl/>
              <w:numPr>
                <w:ilvl w:val="0"/>
                <w:numId w:val="12"/>
              </w:numPr>
              <w:adjustRightInd w:val="0"/>
              <w:snapToGrid w:val="0"/>
              <w:spacing w:line="240" w:lineRule="atLeast"/>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Worklist支持字符集：支持英文字符集、GB18030字符集、GBK字符集。</w:t>
            </w:r>
          </w:p>
          <w:p>
            <w:pPr>
              <w:pStyle w:val="49"/>
              <w:widowControl/>
              <w:numPr>
                <w:ilvl w:val="0"/>
                <w:numId w:val="12"/>
              </w:numPr>
              <w:adjustRightInd w:val="0"/>
              <w:snapToGrid w:val="0"/>
              <w:spacing w:line="240" w:lineRule="atLeast"/>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关闭原有DICOM Worklist传输通道、切换到新提供DICOM Worklist。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4.2</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DICOM Server</w:t>
            </w:r>
          </w:p>
        </w:tc>
        <w:tc>
          <w:tcPr>
            <w:tcW w:w="6559" w:type="dxa"/>
            <w:shd w:val="clear" w:color="auto" w:fill="auto"/>
            <w:vAlign w:val="center"/>
          </w:tcPr>
          <w:p>
            <w:pPr>
              <w:pStyle w:val="49"/>
              <w:widowControl/>
              <w:numPr>
                <w:ilvl w:val="0"/>
                <w:numId w:val="13"/>
              </w:numPr>
              <w:adjustRightInd w:val="0"/>
              <w:snapToGrid w:val="0"/>
              <w:spacing w:line="240" w:lineRule="atLeast"/>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提供DICOM Server。</w:t>
            </w:r>
          </w:p>
          <w:p>
            <w:pPr>
              <w:pStyle w:val="49"/>
              <w:widowControl/>
              <w:numPr>
                <w:ilvl w:val="0"/>
                <w:numId w:val="13"/>
              </w:numPr>
              <w:adjustRightInd w:val="0"/>
              <w:snapToGrid w:val="0"/>
              <w:spacing w:line="240" w:lineRule="atLeast"/>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从原有存储系统将DICOM数据全部迁入。</w:t>
            </w:r>
          </w:p>
          <w:p>
            <w:pPr>
              <w:pStyle w:val="49"/>
              <w:widowControl/>
              <w:numPr>
                <w:ilvl w:val="0"/>
                <w:numId w:val="13"/>
              </w:numPr>
              <w:adjustRightInd w:val="0"/>
              <w:snapToGrid w:val="0"/>
              <w:spacing w:line="240" w:lineRule="atLeast"/>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DICOM Server连接科室全部DICOM检查设备： SPECT/CT， PET/CT， PET/MR，骨密度。并可在未来添加新DICOM设备。</w:t>
            </w:r>
          </w:p>
          <w:p>
            <w:pPr>
              <w:pStyle w:val="49"/>
              <w:widowControl/>
              <w:numPr>
                <w:ilvl w:val="0"/>
                <w:numId w:val="13"/>
              </w:numPr>
              <w:adjustRightInd w:val="0"/>
              <w:snapToGrid w:val="0"/>
              <w:spacing w:line="240" w:lineRule="atLeast"/>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DICOM Server支持字符集：支持英文字符集、GB18030字符集、GBK字符集。</w:t>
            </w:r>
          </w:p>
          <w:p>
            <w:pPr>
              <w:pStyle w:val="49"/>
              <w:widowControl/>
              <w:numPr>
                <w:ilvl w:val="0"/>
                <w:numId w:val="13"/>
              </w:numPr>
              <w:adjustRightInd w:val="0"/>
              <w:snapToGrid w:val="0"/>
              <w:spacing w:line="240" w:lineRule="atLeast"/>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关闭原有DICOM存储传输通道、切换到新提供DICOM Server。</w:t>
            </w:r>
          </w:p>
          <w:p>
            <w:pPr>
              <w:pStyle w:val="49"/>
              <w:widowControl/>
              <w:numPr>
                <w:ilvl w:val="0"/>
                <w:numId w:val="13"/>
              </w:numPr>
              <w:adjustRightInd w:val="0"/>
              <w:snapToGrid w:val="0"/>
              <w:spacing w:line="240" w:lineRule="atLeast"/>
              <w:ind w:firstLineChars="0"/>
              <w:rPr>
                <w:rFonts w:ascii="微软雅黑" w:hAnsi="微软雅黑" w:eastAsia="微软雅黑" w:cs="微软雅黑"/>
                <w:bCs/>
                <w:kern w:val="0"/>
                <w:szCs w:val="21"/>
              </w:rPr>
            </w:pPr>
            <w:r>
              <w:rPr>
                <w:rFonts w:hint="eastAsia" w:ascii="微软雅黑" w:hAnsi="微软雅黑" w:eastAsia="微软雅黑" w:cs="微软雅黑"/>
                <w:bCs/>
                <w:kern w:val="0"/>
                <w:szCs w:val="21"/>
              </w:rPr>
              <w:t>提供转发DICOM文件到数据中心的功能。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85" w:type="dxa"/>
            <w:vAlign w:val="center"/>
          </w:tcPr>
          <w:p>
            <w:pPr>
              <w:widowControl/>
              <w:numPr>
                <w:ilvl w:val="0"/>
                <w:numId w:val="4"/>
              </w:numPr>
              <w:adjustRightInd w:val="0"/>
              <w:spacing w:line="360" w:lineRule="auto"/>
              <w:jc w:val="center"/>
              <w:rPr>
                <w:rFonts w:ascii="微软雅黑" w:hAnsi="微软雅黑" w:eastAsia="微软雅黑" w:cs="微软雅黑"/>
                <w:b/>
                <w:bCs/>
                <w:kern w:val="0"/>
                <w:szCs w:val="21"/>
              </w:rPr>
            </w:pP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核医学影像后处理升级与整合。</w:t>
            </w:r>
          </w:p>
        </w:tc>
        <w:tc>
          <w:tcPr>
            <w:tcW w:w="6559" w:type="dxa"/>
            <w:shd w:val="clear" w:color="auto" w:fill="auto"/>
            <w:vAlign w:val="center"/>
          </w:tcPr>
          <w:p>
            <w:pPr>
              <w:widowControl/>
              <w:adjustRightInd w:val="0"/>
              <w:snapToGrid w:val="0"/>
              <w:rPr>
                <w:rFonts w:ascii="微软雅黑" w:hAnsi="微软雅黑" w:eastAsia="微软雅黑" w:cs="微软雅黑"/>
                <w:bCs/>
                <w:kern w:val="0"/>
                <w:szCs w:val="21"/>
              </w:rPr>
            </w:pPr>
            <w:r>
              <w:rPr>
                <w:rFonts w:hint="eastAsia" w:ascii="微软雅黑" w:hAnsi="微软雅黑" w:eastAsia="微软雅黑" w:cs="微软雅黑"/>
                <w:bCs/>
                <w:kern w:val="0"/>
                <w:szCs w:val="21"/>
              </w:rPr>
              <w:t>在NIS系统中新增整合ECT后处理模块、PET融合后处理模块，从而在NIS工作站内部，能处理各种原有设备的影像，及不同检查设备影像的对比后处理。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5.1</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ascii="微软雅黑" w:hAnsi="微软雅黑" w:eastAsia="微软雅黑" w:cs="宋体"/>
                <w:kern w:val="0"/>
                <w:szCs w:val="21"/>
              </w:rPr>
              <w:t>SPECT全身骨显像后处理系统</w:t>
            </w:r>
          </w:p>
        </w:tc>
        <w:tc>
          <w:tcPr>
            <w:tcW w:w="6559" w:type="dxa"/>
            <w:shd w:val="clear" w:color="auto" w:fill="auto"/>
            <w:vAlign w:val="center"/>
          </w:tcPr>
          <w:p>
            <w:pPr>
              <w:pStyle w:val="2"/>
              <w:numPr>
                <w:ilvl w:val="0"/>
                <w:numId w:val="14"/>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支持标准：</w:t>
            </w:r>
            <w:r>
              <w:rPr>
                <w:rFonts w:hint="eastAsia" w:ascii="微软雅黑" w:hAnsi="微软雅黑" w:eastAsia="微软雅黑" w:cs="微软雅黑"/>
                <w:bCs/>
                <w:kern w:val="0"/>
                <w:szCs w:val="21"/>
              </w:rPr>
              <w:t>DICOM</w:t>
            </w:r>
            <w:r>
              <w:rPr>
                <w:rFonts w:ascii="微软雅黑" w:hAnsi="微软雅黑" w:eastAsia="微软雅黑" w:cs="微软雅黑"/>
                <w:bCs/>
                <w:kern w:val="0"/>
                <w:szCs w:val="21"/>
              </w:rPr>
              <w:t xml:space="preserve"> 3.0。</w:t>
            </w:r>
          </w:p>
          <w:p>
            <w:pPr>
              <w:pStyle w:val="2"/>
              <w:numPr>
                <w:ilvl w:val="0"/>
                <w:numId w:val="14"/>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兼容厂商：西门子、GE、飞利浦、永新。</w:t>
            </w:r>
          </w:p>
          <w:p>
            <w:pPr>
              <w:pStyle w:val="2"/>
              <w:numPr>
                <w:ilvl w:val="0"/>
                <w:numId w:val="14"/>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常用预设布局、内置超过</w:t>
            </w:r>
            <w:r>
              <w:rPr>
                <w:rFonts w:hint="eastAsia" w:ascii="微软雅黑" w:hAnsi="微软雅黑" w:eastAsia="微软雅黑" w:cs="微软雅黑"/>
                <w:bCs/>
                <w:kern w:val="0"/>
                <w:szCs w:val="21"/>
              </w:rPr>
              <w:t>5</w:t>
            </w:r>
            <w:r>
              <w:rPr>
                <w:rFonts w:ascii="微软雅黑" w:hAnsi="微软雅黑" w:eastAsia="微软雅黑" w:cs="微软雅黑"/>
                <w:bCs/>
                <w:kern w:val="0"/>
                <w:szCs w:val="21"/>
              </w:rPr>
              <w:t>0种预设色谱。</w:t>
            </w:r>
          </w:p>
          <w:p>
            <w:pPr>
              <w:pStyle w:val="2"/>
              <w:numPr>
                <w:ilvl w:val="0"/>
                <w:numId w:val="14"/>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W</w:t>
            </w:r>
            <w:r>
              <w:rPr>
                <w:rFonts w:ascii="微软雅黑" w:hAnsi="微软雅黑" w:eastAsia="微软雅黑" w:cs="微软雅黑"/>
                <w:bCs/>
                <w:kern w:val="0"/>
                <w:szCs w:val="21"/>
              </w:rPr>
              <w:t>W/WL调节，移动、缩放调节。</w:t>
            </w:r>
          </w:p>
          <w:p>
            <w:pPr>
              <w:pStyle w:val="2"/>
              <w:numPr>
                <w:ilvl w:val="0"/>
                <w:numId w:val="14"/>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前位图、后位图、前后位图、对比图。</w:t>
            </w:r>
          </w:p>
          <w:p>
            <w:pPr>
              <w:pStyle w:val="2"/>
              <w:numPr>
                <w:ilvl w:val="0"/>
                <w:numId w:val="14"/>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支持全身骨静息显像。</w:t>
            </w:r>
          </w:p>
          <w:p>
            <w:pPr>
              <w:pStyle w:val="2"/>
              <w:numPr>
                <w:ilvl w:val="0"/>
                <w:numId w:val="14"/>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高浓聚遮蔽。</w:t>
            </w:r>
          </w:p>
          <w:p>
            <w:pPr>
              <w:pStyle w:val="2"/>
              <w:numPr>
                <w:ilvl w:val="0"/>
                <w:numId w:val="14"/>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点测ROI、圆形ROI、矩形ROI、多边形ROI、手绘形ROI。</w:t>
            </w:r>
          </w:p>
          <w:p>
            <w:pPr>
              <w:pStyle w:val="2"/>
              <w:numPr>
                <w:ilvl w:val="0"/>
                <w:numId w:val="14"/>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计算平均值、最大值、方差、面积。</w:t>
            </w:r>
          </w:p>
          <w:p>
            <w:pPr>
              <w:pStyle w:val="2"/>
              <w:numPr>
                <w:ilvl w:val="0"/>
                <w:numId w:val="14"/>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本底测算。全身百分比计算。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5.2</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ascii="微软雅黑" w:hAnsi="微软雅黑" w:eastAsia="微软雅黑" w:cs="宋体"/>
                <w:kern w:val="0"/>
                <w:szCs w:val="21"/>
              </w:rPr>
              <w:t>SPECT甲状腺显像后处理系统</w:t>
            </w:r>
          </w:p>
        </w:tc>
        <w:tc>
          <w:tcPr>
            <w:tcW w:w="6559" w:type="dxa"/>
            <w:shd w:val="clear" w:color="auto" w:fill="auto"/>
            <w:vAlign w:val="center"/>
          </w:tcPr>
          <w:p>
            <w:pPr>
              <w:pStyle w:val="2"/>
              <w:numPr>
                <w:ilvl w:val="0"/>
                <w:numId w:val="15"/>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支持标准：</w:t>
            </w:r>
            <w:r>
              <w:rPr>
                <w:rFonts w:hint="eastAsia" w:ascii="微软雅黑" w:hAnsi="微软雅黑" w:eastAsia="微软雅黑" w:cs="微软雅黑"/>
                <w:bCs/>
                <w:kern w:val="0"/>
                <w:szCs w:val="21"/>
              </w:rPr>
              <w:t>DICOM</w:t>
            </w:r>
            <w:r>
              <w:rPr>
                <w:rFonts w:ascii="微软雅黑" w:hAnsi="微软雅黑" w:eastAsia="微软雅黑" w:cs="微软雅黑"/>
                <w:bCs/>
                <w:kern w:val="0"/>
                <w:szCs w:val="21"/>
              </w:rPr>
              <w:t xml:space="preserve"> 3.0。</w:t>
            </w:r>
          </w:p>
          <w:p>
            <w:pPr>
              <w:pStyle w:val="2"/>
              <w:numPr>
                <w:ilvl w:val="0"/>
                <w:numId w:val="15"/>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兼容厂商：西门子、GE、飞利浦、永新。</w:t>
            </w:r>
          </w:p>
          <w:p>
            <w:pPr>
              <w:pStyle w:val="2"/>
              <w:numPr>
                <w:ilvl w:val="0"/>
                <w:numId w:val="15"/>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常用预设布局、内置超过</w:t>
            </w:r>
            <w:r>
              <w:rPr>
                <w:rFonts w:hint="eastAsia" w:ascii="微软雅黑" w:hAnsi="微软雅黑" w:eastAsia="微软雅黑" w:cs="微软雅黑"/>
                <w:bCs/>
                <w:kern w:val="0"/>
                <w:szCs w:val="21"/>
              </w:rPr>
              <w:t>5</w:t>
            </w:r>
            <w:r>
              <w:rPr>
                <w:rFonts w:ascii="微软雅黑" w:hAnsi="微软雅黑" w:eastAsia="微软雅黑" w:cs="微软雅黑"/>
                <w:bCs/>
                <w:kern w:val="0"/>
                <w:szCs w:val="21"/>
              </w:rPr>
              <w:t>0种预设色谱。</w:t>
            </w:r>
          </w:p>
          <w:p>
            <w:pPr>
              <w:pStyle w:val="2"/>
              <w:numPr>
                <w:ilvl w:val="0"/>
                <w:numId w:val="15"/>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W</w:t>
            </w:r>
            <w:r>
              <w:rPr>
                <w:rFonts w:ascii="微软雅黑" w:hAnsi="微软雅黑" w:eastAsia="微软雅黑" w:cs="微软雅黑"/>
                <w:bCs/>
                <w:kern w:val="0"/>
                <w:szCs w:val="21"/>
              </w:rPr>
              <w:t>W/WL调节，移动、缩放调节。</w:t>
            </w:r>
          </w:p>
          <w:p>
            <w:pPr>
              <w:pStyle w:val="2"/>
              <w:numPr>
                <w:ilvl w:val="0"/>
                <w:numId w:val="15"/>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前位图、后位图、前后位图、多帧图。</w:t>
            </w:r>
          </w:p>
          <w:p>
            <w:pPr>
              <w:pStyle w:val="2"/>
              <w:numPr>
                <w:ilvl w:val="0"/>
                <w:numId w:val="15"/>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点测ROI、圆形ROI、矩形ROI、多边形ROI、手绘形ROI、</w:t>
            </w:r>
          </w:p>
          <w:p>
            <w:pPr>
              <w:pStyle w:val="2"/>
              <w:numPr>
                <w:ilvl w:val="0"/>
                <w:numId w:val="15"/>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球形VOI、长方体VOI、可调节阈值。</w:t>
            </w:r>
          </w:p>
          <w:p>
            <w:pPr>
              <w:pStyle w:val="2"/>
              <w:numPr>
                <w:ilvl w:val="0"/>
                <w:numId w:val="15"/>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计算平均值、最大值、方差、面积。</w:t>
            </w:r>
          </w:p>
          <w:p>
            <w:pPr>
              <w:pStyle w:val="2"/>
              <w:numPr>
                <w:ilvl w:val="0"/>
                <w:numId w:val="15"/>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提供甲重计算工具，甲状腺体积计算工具。</w:t>
            </w:r>
          </w:p>
          <w:p>
            <w:pPr>
              <w:pStyle w:val="2"/>
              <w:numPr>
                <w:ilvl w:val="0"/>
                <w:numId w:val="15"/>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本底测算。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5.3</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ascii="微软雅黑" w:hAnsi="微软雅黑" w:eastAsia="微软雅黑" w:cs="宋体"/>
                <w:kern w:val="0"/>
                <w:szCs w:val="21"/>
              </w:rPr>
              <w:t>SPECT肾动态显像后处理系统</w:t>
            </w:r>
          </w:p>
        </w:tc>
        <w:tc>
          <w:tcPr>
            <w:tcW w:w="6559" w:type="dxa"/>
            <w:shd w:val="clear" w:color="auto" w:fill="auto"/>
            <w:vAlign w:val="center"/>
          </w:tcPr>
          <w:p>
            <w:pPr>
              <w:pStyle w:val="2"/>
              <w:numPr>
                <w:ilvl w:val="0"/>
                <w:numId w:val="16"/>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支持标准：</w:t>
            </w:r>
            <w:r>
              <w:rPr>
                <w:rFonts w:hint="eastAsia" w:ascii="微软雅黑" w:hAnsi="微软雅黑" w:eastAsia="微软雅黑" w:cs="微软雅黑"/>
                <w:bCs/>
                <w:kern w:val="0"/>
                <w:szCs w:val="21"/>
              </w:rPr>
              <w:t>DICOM</w:t>
            </w:r>
            <w:r>
              <w:rPr>
                <w:rFonts w:ascii="微软雅黑" w:hAnsi="微软雅黑" w:eastAsia="微软雅黑" w:cs="微软雅黑"/>
                <w:bCs/>
                <w:kern w:val="0"/>
                <w:szCs w:val="21"/>
              </w:rPr>
              <w:t xml:space="preserve"> 3.0。</w:t>
            </w:r>
          </w:p>
          <w:p>
            <w:pPr>
              <w:pStyle w:val="2"/>
              <w:numPr>
                <w:ilvl w:val="0"/>
                <w:numId w:val="16"/>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兼容厂商：西门子、GE、飞利浦、永新。</w:t>
            </w:r>
          </w:p>
          <w:p>
            <w:pPr>
              <w:pStyle w:val="2"/>
              <w:numPr>
                <w:ilvl w:val="0"/>
                <w:numId w:val="16"/>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常用预设布局、内置超过</w:t>
            </w:r>
            <w:r>
              <w:rPr>
                <w:rFonts w:hint="eastAsia" w:ascii="微软雅黑" w:hAnsi="微软雅黑" w:eastAsia="微软雅黑" w:cs="微软雅黑"/>
                <w:bCs/>
                <w:kern w:val="0"/>
                <w:szCs w:val="21"/>
              </w:rPr>
              <w:t>5</w:t>
            </w:r>
            <w:r>
              <w:rPr>
                <w:rFonts w:ascii="微软雅黑" w:hAnsi="微软雅黑" w:eastAsia="微软雅黑" w:cs="微软雅黑"/>
                <w:bCs/>
                <w:kern w:val="0"/>
                <w:szCs w:val="21"/>
              </w:rPr>
              <w:t>0种预设色谱。</w:t>
            </w:r>
          </w:p>
          <w:p>
            <w:pPr>
              <w:pStyle w:val="2"/>
              <w:numPr>
                <w:ilvl w:val="0"/>
                <w:numId w:val="16"/>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W</w:t>
            </w:r>
            <w:r>
              <w:rPr>
                <w:rFonts w:ascii="微软雅黑" w:hAnsi="微软雅黑" w:eastAsia="微软雅黑" w:cs="微软雅黑"/>
                <w:bCs/>
                <w:kern w:val="0"/>
                <w:szCs w:val="21"/>
              </w:rPr>
              <w:t>W/WL调节，移动、缩放调节。</w:t>
            </w:r>
          </w:p>
          <w:p>
            <w:pPr>
              <w:pStyle w:val="2"/>
              <w:numPr>
                <w:ilvl w:val="0"/>
                <w:numId w:val="16"/>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前位时序图、后位时序图。</w:t>
            </w:r>
          </w:p>
          <w:p>
            <w:pPr>
              <w:pStyle w:val="2"/>
              <w:numPr>
                <w:ilvl w:val="0"/>
                <w:numId w:val="16"/>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左右肾手工勾画、自动勾画，左右本底手工勾画、自动勾画。</w:t>
            </w:r>
          </w:p>
          <w:p>
            <w:pPr>
              <w:pStyle w:val="2"/>
              <w:numPr>
                <w:ilvl w:val="0"/>
                <w:numId w:val="16"/>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血流图、功能图、时序图。</w:t>
            </w:r>
          </w:p>
          <w:p>
            <w:pPr>
              <w:pStyle w:val="2"/>
              <w:numPr>
                <w:ilvl w:val="0"/>
                <w:numId w:val="16"/>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本底测算，肾深计算工具，肾容积计算工具。</w:t>
            </w:r>
          </w:p>
          <w:p>
            <w:pPr>
              <w:pStyle w:val="2"/>
              <w:numPr>
                <w:ilvl w:val="0"/>
                <w:numId w:val="16"/>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左右肾动态曲线分析：峰值计算、半衰期计算、20分钟排泄率计算、摄取率计算。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5" w:type="dxa"/>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5.4</w:t>
            </w: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PET融合后处理模块</w:t>
            </w:r>
          </w:p>
        </w:tc>
        <w:tc>
          <w:tcPr>
            <w:tcW w:w="6559" w:type="dxa"/>
            <w:shd w:val="clear" w:color="auto" w:fill="auto"/>
            <w:vAlign w:val="center"/>
          </w:tcPr>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支持标准：</w:t>
            </w:r>
            <w:r>
              <w:rPr>
                <w:rFonts w:hint="eastAsia" w:ascii="微软雅黑" w:hAnsi="微软雅黑" w:eastAsia="微软雅黑" w:cs="微软雅黑"/>
                <w:bCs/>
                <w:kern w:val="0"/>
                <w:szCs w:val="21"/>
              </w:rPr>
              <w:t>DICOM</w:t>
            </w:r>
            <w:r>
              <w:rPr>
                <w:rFonts w:ascii="微软雅黑" w:hAnsi="微软雅黑" w:eastAsia="微软雅黑" w:cs="微软雅黑"/>
                <w:bCs/>
                <w:kern w:val="0"/>
                <w:szCs w:val="21"/>
              </w:rPr>
              <w:t xml:space="preserve"> 3.0。</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兼容厂商：西门子、GE、联影等。</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兼容设备：PET/CT、PET/MR。</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PET/MR融合模式：2D融合、3D融合。</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ascii="微软雅黑" w:hAnsi="微软雅黑" w:eastAsia="微软雅黑" w:cs="微软雅黑"/>
                <w:bCs/>
                <w:kern w:val="0"/>
                <w:szCs w:val="21"/>
              </w:rPr>
              <w:t>常用预设布局、内置超过60种预设色谱。</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W</w:t>
            </w:r>
            <w:r>
              <w:rPr>
                <w:rFonts w:ascii="微软雅黑" w:hAnsi="微软雅黑" w:eastAsia="微软雅黑" w:cs="微软雅黑"/>
                <w:bCs/>
                <w:kern w:val="0"/>
                <w:szCs w:val="21"/>
              </w:rPr>
              <w:t>W/WL调节，移动、缩放调节。</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PET断层图像自动自动衰减矫正。</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各种格式PET图像的SUV计算，SUV与原厂系统一致。</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不同检查图像的自动床位对齐、偏移纠正。</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影像的平铺模式、堆叠模式、多种布局方案。</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多平面重组：横断面/冠向面/矢向面/MIP图。</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MIP动态投影电影播放，可以调节MIP幅数和播放速度。</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可调节的图像融合度。</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自动关联定位模式。</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全套的ROI测算工具：点测量、线段、矩形、椭圆、圆形、封闭折线、自由手绘。</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同检查多序列同体位的ROI自动同步。</w:t>
            </w:r>
          </w:p>
          <w:p>
            <w:pPr>
              <w:pStyle w:val="2"/>
              <w:numPr>
                <w:ilvl w:val="0"/>
                <w:numId w:val="17"/>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Cs/>
                <w:kern w:val="0"/>
                <w:szCs w:val="21"/>
              </w:rPr>
              <w:t xml:space="preserve">阈值探测VOI，计算SUVmax </w:t>
            </w:r>
            <w:r>
              <w:rPr>
                <w:rFonts w:ascii="微软雅黑" w:hAnsi="微软雅黑" w:eastAsia="微软雅黑" w:cs="微软雅黑"/>
                <w:bCs/>
                <w:kern w:val="0"/>
                <w:szCs w:val="21"/>
              </w:rPr>
              <w:t>/</w:t>
            </w:r>
            <w:r>
              <w:rPr>
                <w:rFonts w:hint="eastAsia" w:ascii="微软雅黑" w:hAnsi="微软雅黑" w:eastAsia="微软雅黑" w:cs="微软雅黑"/>
                <w:bCs/>
                <w:kern w:val="0"/>
                <w:szCs w:val="21"/>
              </w:rPr>
              <w:t>SUV</w:t>
            </w:r>
            <w:r>
              <w:rPr>
                <w:rFonts w:ascii="微软雅黑" w:hAnsi="微软雅黑" w:eastAsia="微软雅黑" w:cs="微软雅黑"/>
                <w:bCs/>
                <w:kern w:val="0"/>
                <w:szCs w:val="21"/>
              </w:rPr>
              <w:t>mean</w:t>
            </w:r>
            <w:r>
              <w:rPr>
                <w:rFonts w:hint="eastAsia" w:ascii="微软雅黑" w:hAnsi="微软雅黑" w:eastAsia="微软雅黑" w:cs="微软雅黑"/>
                <w:bCs/>
                <w:kern w:val="0"/>
                <w:szCs w:val="21"/>
              </w:rPr>
              <w:t xml:space="preserve"> </w:t>
            </w:r>
            <w:r>
              <w:rPr>
                <w:rFonts w:ascii="微软雅黑" w:hAnsi="微软雅黑" w:eastAsia="微软雅黑" w:cs="微软雅黑"/>
                <w:bCs/>
                <w:kern w:val="0"/>
                <w:szCs w:val="21"/>
              </w:rPr>
              <w:t>/</w:t>
            </w:r>
            <w:r>
              <w:rPr>
                <w:rFonts w:hint="eastAsia" w:ascii="微软雅黑" w:hAnsi="微软雅黑" w:eastAsia="微软雅黑" w:cs="微软雅黑"/>
                <w:bCs/>
                <w:kern w:val="0"/>
                <w:szCs w:val="21"/>
              </w:rPr>
              <w:t>SUV</w:t>
            </w:r>
            <w:r>
              <w:rPr>
                <w:rFonts w:ascii="微软雅黑" w:hAnsi="微软雅黑" w:eastAsia="微软雅黑" w:cs="微软雅黑"/>
                <w:bCs/>
                <w:kern w:val="0"/>
                <w:szCs w:val="21"/>
              </w:rPr>
              <w:t>peak</w:t>
            </w:r>
            <w:r>
              <w:rPr>
                <w:rFonts w:hint="eastAsia" w:ascii="微软雅黑" w:hAnsi="微软雅黑" w:eastAsia="微软雅黑" w:cs="微软雅黑"/>
                <w:bCs/>
                <w:kern w:val="0"/>
                <w:szCs w:val="21"/>
              </w:rPr>
              <w:t xml:space="preserve"> </w:t>
            </w:r>
            <w:r>
              <w:rPr>
                <w:rFonts w:ascii="微软雅黑" w:hAnsi="微软雅黑" w:eastAsia="微软雅黑" w:cs="微软雅黑"/>
                <w:bCs/>
                <w:kern w:val="0"/>
                <w:szCs w:val="21"/>
              </w:rPr>
              <w:t>/MTV</w:t>
            </w:r>
            <w:r>
              <w:rPr>
                <w:rFonts w:hint="eastAsia" w:ascii="微软雅黑" w:hAnsi="微软雅黑" w:eastAsia="微软雅黑" w:cs="微软雅黑"/>
                <w:bCs/>
                <w:kern w:val="0"/>
                <w:szCs w:val="21"/>
              </w:rPr>
              <w:t xml:space="preserve"> </w:t>
            </w:r>
            <w:r>
              <w:rPr>
                <w:rFonts w:ascii="微软雅黑" w:hAnsi="微软雅黑" w:eastAsia="微软雅黑" w:cs="微软雅黑"/>
                <w:bCs/>
                <w:kern w:val="0"/>
                <w:szCs w:val="21"/>
              </w:rPr>
              <w:t>/TLG</w:t>
            </w:r>
            <w:r>
              <w:rPr>
                <w:rFonts w:hint="eastAsia" w:ascii="微软雅黑" w:hAnsi="微软雅黑" w:eastAsia="微软雅黑" w:cs="微软雅黑"/>
                <w:bCs/>
                <w:kern w:val="0"/>
                <w:szCs w:val="21"/>
              </w:rPr>
              <w:t xml:space="preserve"> </w:t>
            </w:r>
            <w:r>
              <w:rPr>
                <w:rFonts w:ascii="微软雅黑" w:hAnsi="微软雅黑" w:eastAsia="微软雅黑" w:cs="微软雅黑"/>
                <w:bCs/>
                <w:kern w:val="0"/>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5" w:type="dxa"/>
            <w:vAlign w:val="center"/>
          </w:tcPr>
          <w:p>
            <w:pPr>
              <w:widowControl/>
              <w:numPr>
                <w:ilvl w:val="0"/>
                <w:numId w:val="4"/>
              </w:numPr>
              <w:adjustRightInd w:val="0"/>
              <w:spacing w:line="360" w:lineRule="auto"/>
              <w:jc w:val="center"/>
              <w:rPr>
                <w:rFonts w:ascii="微软雅黑" w:hAnsi="微软雅黑" w:eastAsia="微软雅黑" w:cs="微软雅黑"/>
                <w:b/>
                <w:bCs/>
                <w:kern w:val="0"/>
                <w:szCs w:val="21"/>
              </w:rPr>
            </w:pPr>
          </w:p>
        </w:tc>
        <w:tc>
          <w:tcPr>
            <w:tcW w:w="1601" w:type="dxa"/>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NIS新需求开发整合。</w:t>
            </w:r>
          </w:p>
        </w:tc>
        <w:tc>
          <w:tcPr>
            <w:tcW w:w="6559" w:type="dxa"/>
            <w:shd w:val="clear" w:color="auto" w:fill="auto"/>
            <w:vAlign w:val="center"/>
          </w:tcPr>
          <w:p>
            <w:pPr>
              <w:widowControl/>
              <w:adjustRightInd w:val="0"/>
              <w:snapToGrid w:val="0"/>
              <w:rPr>
                <w:rFonts w:ascii="微软雅黑" w:hAnsi="微软雅黑" w:eastAsia="微软雅黑" w:cs="微软雅黑"/>
                <w:kern w:val="0"/>
                <w:szCs w:val="21"/>
              </w:rPr>
            </w:pPr>
            <w:r>
              <w:rPr>
                <w:rFonts w:hint="eastAsia" w:ascii="微软雅黑" w:hAnsi="微软雅黑" w:eastAsia="微软雅黑" w:cs="微软雅黑"/>
                <w:kern w:val="0"/>
                <w:szCs w:val="21"/>
              </w:rPr>
              <w:t>在整合系统的框架下，根据科室新需求，从新调整升级登记模块、叫号模块、注射模块、采集模块、运动实验模块、碳13模块、报告模块、审核模块、查询模块、报告分配模块、设备管理模块以及报告上传模块。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6.1</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架构及底层整合升级</w:t>
            </w:r>
          </w:p>
        </w:tc>
        <w:tc>
          <w:tcPr>
            <w:tcW w:w="6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napToGrid w:val="0"/>
              <w:spacing w:after="0" w:line="240" w:lineRule="atLeast"/>
              <w:ind w:left="0" w:leftChars="0"/>
              <w:rPr>
                <w:rFonts w:ascii="微软雅黑" w:hAnsi="微软雅黑" w:eastAsia="微软雅黑" w:cs="微软雅黑"/>
                <w:kern w:val="0"/>
                <w:szCs w:val="21"/>
              </w:rPr>
            </w:pPr>
            <w:r>
              <w:rPr>
                <w:rFonts w:hint="eastAsia" w:ascii="微软雅黑" w:hAnsi="微软雅黑" w:eastAsia="微软雅黑" w:cs="微软雅黑"/>
                <w:kern w:val="0"/>
                <w:szCs w:val="21"/>
              </w:rPr>
              <w:t>与科室沟通、</w:t>
            </w:r>
            <w:r>
              <w:rPr>
                <w:rFonts w:hint="eastAsia" w:ascii="微软雅黑" w:hAnsi="微软雅黑" w:eastAsia="微软雅黑" w:cs="微软雅黑"/>
                <w:bCs/>
                <w:kern w:val="0"/>
                <w:szCs w:val="21"/>
              </w:rPr>
              <w:t>制定规划：</w:t>
            </w:r>
          </w:p>
          <w:p>
            <w:pPr>
              <w:pStyle w:val="2"/>
              <w:numPr>
                <w:ilvl w:val="0"/>
                <w:numId w:val="18"/>
              </w:numPr>
              <w:snapToGrid w:val="0"/>
              <w:spacing w:after="0" w:line="240" w:lineRule="atLeast"/>
              <w:ind w:left="92" w:leftChars="44"/>
              <w:rPr>
                <w:rFonts w:ascii="微软雅黑" w:hAnsi="微软雅黑" w:eastAsia="微软雅黑" w:cs="微软雅黑"/>
                <w:kern w:val="0"/>
                <w:szCs w:val="21"/>
              </w:rPr>
            </w:pPr>
            <w:r>
              <w:rPr>
                <w:rFonts w:hint="eastAsia" w:ascii="微软雅黑" w:hAnsi="微软雅黑" w:eastAsia="微软雅黑" w:cs="微软雅黑"/>
                <w:kern w:val="0"/>
                <w:szCs w:val="21"/>
              </w:rPr>
              <w:t>将现有系统存储的影像文件迁入NIS的存储体系，并停止使用现有系统的存储功能。</w:t>
            </w:r>
          </w:p>
          <w:p>
            <w:pPr>
              <w:pStyle w:val="2"/>
              <w:numPr>
                <w:ilvl w:val="0"/>
                <w:numId w:val="18"/>
              </w:numPr>
              <w:snapToGrid w:val="0"/>
              <w:spacing w:after="0" w:line="240" w:lineRule="atLeast"/>
              <w:ind w:left="92" w:leftChars="44"/>
              <w:rPr>
                <w:rFonts w:ascii="微软雅黑" w:hAnsi="微软雅黑" w:eastAsia="微软雅黑" w:cs="微软雅黑"/>
                <w:kern w:val="0"/>
                <w:szCs w:val="21"/>
              </w:rPr>
            </w:pPr>
            <w:r>
              <w:rPr>
                <w:rFonts w:hint="eastAsia" w:ascii="微软雅黑" w:hAnsi="微软雅黑" w:eastAsia="微软雅黑" w:cs="微软雅黑"/>
                <w:kern w:val="0"/>
                <w:szCs w:val="21"/>
              </w:rPr>
              <w:t>切换影像设备的Worklist，保证进口设备继续使用英文Worklist、国产设备能使用中文Worklist，方便操作技师与医生。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center"/>
              <w:rPr>
                <w:rFonts w:ascii="微软雅黑" w:hAnsi="微软雅黑" w:eastAsia="微软雅黑" w:cs="微软雅黑"/>
                <w:b/>
                <w:bCs/>
                <w:kern w:val="0"/>
                <w:szCs w:val="21"/>
              </w:rPr>
            </w:pPr>
            <w:r>
              <w:rPr>
                <w:rFonts w:ascii="微软雅黑" w:hAnsi="微软雅黑" w:eastAsia="微软雅黑" w:cs="微软雅黑"/>
                <w:b/>
                <w:bCs/>
                <w:kern w:val="0"/>
                <w:szCs w:val="21"/>
              </w:rPr>
              <w:t>6.2</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left"/>
              <w:rPr>
                <w:rFonts w:ascii="微软雅黑" w:hAnsi="微软雅黑" w:eastAsia="微软雅黑" w:cs="宋体"/>
                <w:kern w:val="0"/>
                <w:szCs w:val="21"/>
              </w:rPr>
            </w:pPr>
            <w:r>
              <w:rPr>
                <w:rFonts w:hint="eastAsia" w:ascii="微软雅黑" w:hAnsi="微软雅黑" w:eastAsia="微软雅黑" w:cs="宋体"/>
                <w:kern w:val="0"/>
                <w:szCs w:val="21"/>
              </w:rPr>
              <w:t>功能及流程修改、升级</w:t>
            </w:r>
          </w:p>
        </w:tc>
        <w:tc>
          <w:tcPr>
            <w:tcW w:w="6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微软雅黑" w:hAnsi="微软雅黑" w:eastAsia="微软雅黑" w:cs="微软雅黑"/>
                <w:kern w:val="0"/>
                <w:szCs w:val="21"/>
              </w:rPr>
            </w:pP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登记模块</w:t>
            </w:r>
            <w:r>
              <w:rPr>
                <w:rFonts w:hint="eastAsia" w:ascii="微软雅黑" w:hAnsi="微软雅黑" w:eastAsia="微软雅黑" w:cs="微软雅黑"/>
                <w:bCs/>
                <w:kern w:val="0"/>
                <w:szCs w:val="21"/>
              </w:rPr>
              <w:t>：增加采集设备信息。在知情同意书上补充完善，增加身高,体重的内容的填充。增加生成、修改调整全部设备类型检查项目的DICOM Worklist条目。增加确费功能。增加登记后取消、取消后恢复的功能。患者二维码门禁。</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叫号模块</w:t>
            </w:r>
            <w:r>
              <w:rPr>
                <w:rFonts w:hint="eastAsia" w:ascii="微软雅黑" w:hAnsi="微软雅黑" w:eastAsia="微软雅黑" w:cs="微软雅黑"/>
                <w:bCs/>
                <w:kern w:val="0"/>
                <w:szCs w:val="21"/>
              </w:rPr>
              <w:t>：叫号新需求:1，按休息室叫号，播检查前准备内容，可不设置指定检查项目；2，按检查室播报，播该检查室的请准备，请进入，不播准备内容。3，登记处播报，播报全部检查者，不播报准备内容；4，大厅播报，播报除指定不播报的流程，检查项目等，播报全部检查含准备内容。允许排除骨密度。登记后可播报交待的内容。除按检查类型，检查项目外还得配置检查设备的房间对应的叫号，如PETCT有旧机和新机。排查清理重复的检查项目定义。</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注射模块</w:t>
            </w:r>
            <w:r>
              <w:rPr>
                <w:rFonts w:hint="eastAsia" w:ascii="微软雅黑" w:hAnsi="微软雅黑" w:eastAsia="微软雅黑" w:cs="微软雅黑"/>
                <w:bCs/>
                <w:kern w:val="0"/>
                <w:szCs w:val="21"/>
              </w:rPr>
              <w:t>：增加空针残留剂量的测量时间、计算后的空针剂量。增加导出注射医嘱信息。增加MR类型的过滤选项。设计新分装机器再技师软件的连接,新的分药没有上药过程。上药的系数设置。列表上增加采集设备一列内容,同时再左下角检查基本信息上显示采集设备内容。自动分装注射需要进行数据信息的互通。</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采集模块</w:t>
            </w:r>
            <w:r>
              <w:rPr>
                <w:rFonts w:hint="eastAsia" w:ascii="微软雅黑" w:hAnsi="微软雅黑" w:eastAsia="微软雅黑" w:cs="微软雅黑"/>
                <w:bCs/>
                <w:kern w:val="0"/>
                <w:szCs w:val="21"/>
              </w:rPr>
              <w:t>：增加采集设备信息。增加MR类型的过滤选项。第一个采集部位和范围修改为 修改成：全身（5分钟）+头部（5分钟）。统计CT扫描第一个选项修改为 头部至大腿上段增强扫描。</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运动实验模块</w:t>
            </w:r>
            <w:r>
              <w:rPr>
                <w:rFonts w:hint="eastAsia" w:ascii="微软雅黑" w:hAnsi="微软雅黑" w:eastAsia="微软雅黑" w:cs="微软雅黑"/>
                <w:bCs/>
                <w:kern w:val="0"/>
                <w:szCs w:val="21"/>
              </w:rPr>
              <w:t>：列表上增加采集设备一列内容,同时再左下角检查基本信息上显示采集设备内容。</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碳13模块</w:t>
            </w:r>
            <w:r>
              <w:rPr>
                <w:rFonts w:hint="eastAsia" w:ascii="微软雅黑" w:hAnsi="微软雅黑" w:eastAsia="微软雅黑" w:cs="微软雅黑"/>
                <w:bCs/>
                <w:kern w:val="0"/>
                <w:szCs w:val="21"/>
              </w:rPr>
              <w:t>：增加一个患者ID的查询。碳13申请单需要增加结束日期的查询。增加报告状态可以操作员手工调整。要求增加手工确认后再上传的操作。需要增加过滤住院 但是没缴费也可以做的。碳13回传报告的医嘱部分不要再传申请单单号，修改为医嘱号。碳13报告发往自助打印机。碳13增加一个批量打印功能。</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报告模块</w:t>
            </w:r>
            <w:r>
              <w:rPr>
                <w:rFonts w:hint="eastAsia" w:ascii="微软雅黑" w:hAnsi="微软雅黑" w:eastAsia="微软雅黑" w:cs="微软雅黑"/>
                <w:bCs/>
                <w:kern w:val="0"/>
                <w:szCs w:val="21"/>
              </w:rPr>
              <w:t>：增加采集设备信息。在NIS报告系统上增加从IIH系统直接调用报告系统并自动登录的功能。所有报告诊断取医院临床诊断。碳13、骨密度改为双签。报告中增强方案，原全身增强，改成颈部至盆腔+头部，胸部至盆腔+头部。根据科室设计的新样式修改全部文字报告模板。优化截图后预览界面显示。截屏图排序调整。按照科室提供的质控需求增加质控模块。增加融合布局模板。阴性和阳性判断操作需要报告医生提交前填写。增加报告医生可以转让报告,或管理员清空报告医生。</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审核模块</w:t>
            </w:r>
            <w:r>
              <w:rPr>
                <w:rFonts w:hint="eastAsia" w:ascii="微软雅黑" w:hAnsi="微软雅黑" w:eastAsia="微软雅黑" w:cs="微软雅黑"/>
                <w:bCs/>
                <w:kern w:val="0"/>
                <w:szCs w:val="21"/>
              </w:rPr>
              <w:t>：增加采集设备信息。主任登录后自动提示有未审批的撤回检查列表(检查号,病人姓名,检查项目,检查时间,报告医生,审核医生, 申请撤回时间,申请撤回人,批准时间,批准人,重新提交时间,重新提交人)。对应该检查的审核医生或报告医生，在任何检查状态时都可以删除截图。ect需要有审批医生签名,流程更改为: 明天预约的检查,需要今天的二线值班医生审核批准申请单,当天临时做的检查需要当天的医生审核批准申请单,然后明天正式登记后,电子申请单上会出现审核审批的医生的名字和签名,同时需要将电子申请单的PDF文件通过CA推送到申请医生,谈话医生,审批医生的手机上(不管他是否批复)。</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查询模块</w:t>
            </w:r>
            <w:r>
              <w:rPr>
                <w:rFonts w:hint="eastAsia" w:ascii="微软雅黑" w:hAnsi="微软雅黑" w:eastAsia="微软雅黑" w:cs="微软雅黑"/>
                <w:bCs/>
                <w:kern w:val="0"/>
                <w:szCs w:val="21"/>
              </w:rPr>
              <w:t>：增加规培生工作量统计（分为两种,一种是核医学科医生使用的,一种是非核医学科医生使用）。查询统计的关键词需要有或的关系。骨密度的报告时长加入统计。调整查询统计内容。增加日志查询界面和统计界面。以前的设置界面需要到系统设置中，不够直接，可以跟统计界面放一起。</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报告分配模块</w:t>
            </w:r>
            <w:r>
              <w:rPr>
                <w:rFonts w:hint="eastAsia" w:ascii="微软雅黑" w:hAnsi="微软雅黑" w:eastAsia="微软雅黑" w:cs="微软雅黑"/>
                <w:bCs/>
                <w:kern w:val="0"/>
                <w:szCs w:val="21"/>
              </w:rPr>
              <w:t>：第一次打卡医生名单需要随机生成顺序,然后后面按照这个顺序来分配，放弃原来随机模式。新增项目(心肌存活 ECT血流灌注PET心肌代谢) 按心脏的分配原则走。碘治疗不参与分配。增加根据项目等级来分配指定医生。增加根据患者类型指定报告医生和审核医生。可以设置加班日期。周六的手动提取功能取消。一线值岗误打卡也不能分报告。</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设备管理模块</w:t>
            </w:r>
            <w:r>
              <w:rPr>
                <w:rFonts w:hint="eastAsia" w:ascii="微软雅黑" w:hAnsi="微软雅黑" w:eastAsia="微软雅黑" w:cs="微软雅黑"/>
                <w:bCs/>
                <w:kern w:val="0"/>
                <w:szCs w:val="21"/>
              </w:rPr>
              <w:t>：调整优化界面布局。增加设备的物理位置、编号等参数。增加科室提出的所需的设备查询检索条件。与其它模块的设备条目做关联。</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报告上传模块</w:t>
            </w:r>
            <w:r>
              <w:rPr>
                <w:rFonts w:hint="eastAsia" w:ascii="微软雅黑" w:hAnsi="微软雅黑" w:eastAsia="微软雅黑" w:cs="微软雅黑"/>
                <w:bCs/>
                <w:kern w:val="0"/>
                <w:szCs w:val="21"/>
              </w:rPr>
              <w:t>：上传后台自动发送截图改为普通用户，上传后台增加延时处理。</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药物管理模块</w:t>
            </w:r>
            <w:r>
              <w:rPr>
                <w:rFonts w:hint="eastAsia" w:ascii="微软雅黑" w:hAnsi="微软雅黑" w:eastAsia="微软雅黑" w:cs="微软雅黑"/>
                <w:bCs/>
                <w:kern w:val="0"/>
                <w:szCs w:val="21"/>
              </w:rPr>
              <w:t>：ECT调整界面上增加导出EXCEL功能，增加排序功能。重新检查调整药物系统字典。增加药物自动退库功能。完善导出EXCEL功能。ECT药物退回也需要导出签名图像。药物系统模板导入模块。RBC药物入库出库统计。</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后台有关模块</w:t>
            </w:r>
            <w:r>
              <w:rPr>
                <w:rFonts w:hint="eastAsia" w:ascii="微软雅黑" w:hAnsi="微软雅黑" w:eastAsia="微软雅黑" w:cs="微软雅黑"/>
                <w:bCs/>
                <w:kern w:val="0"/>
                <w:szCs w:val="21"/>
              </w:rPr>
              <w:t>：按照信息科要求在服务器安CDC同步软件。操作日志模块上增加查询。截图操作记录增加查询页面和数据列表。重新修正检查项目字典。针对特殊病人的VIP访问权限控制功能。</w:t>
            </w:r>
          </w:p>
          <w:p>
            <w:pPr>
              <w:pStyle w:val="2"/>
              <w:numPr>
                <w:ilvl w:val="0"/>
                <w:numId w:val="19"/>
              </w:numPr>
              <w:snapToGrid w:val="0"/>
              <w:spacing w:after="0" w:line="240" w:lineRule="atLeast"/>
              <w:ind w:left="92" w:leftChars="44"/>
              <w:rPr>
                <w:rFonts w:ascii="微软雅黑" w:hAnsi="微软雅黑" w:eastAsia="微软雅黑" w:cs="微软雅黑"/>
                <w:bCs/>
                <w:kern w:val="0"/>
                <w:szCs w:val="21"/>
              </w:rPr>
            </w:pPr>
            <w:r>
              <w:rPr>
                <w:rFonts w:hint="eastAsia" w:ascii="微软雅黑" w:hAnsi="微软雅黑" w:eastAsia="微软雅黑" w:cs="微软雅黑"/>
                <w:b/>
                <w:bCs/>
                <w:kern w:val="0"/>
                <w:szCs w:val="21"/>
              </w:rPr>
              <w:t>在实施过程中，科室提出的需改进的其它内容。</w:t>
            </w:r>
          </w:p>
          <w:p>
            <w:pPr>
              <w:pStyle w:val="2"/>
              <w:snapToGrid w:val="0"/>
              <w:spacing w:after="0" w:line="240" w:lineRule="atLeast"/>
              <w:ind w:left="92" w:leftChars="0"/>
              <w:rPr>
                <w:rFonts w:ascii="微软雅黑" w:hAnsi="微软雅黑" w:eastAsia="微软雅黑" w:cs="微软雅黑"/>
                <w:bCs/>
                <w:kern w:val="0"/>
                <w:szCs w:val="21"/>
              </w:rPr>
            </w:pPr>
          </w:p>
        </w:tc>
      </w:tr>
    </w:tbl>
    <w:p>
      <w:pPr>
        <w:spacing w:line="240" w:lineRule="atLeast"/>
        <w:rPr>
          <w:rFonts w:ascii="微软雅黑" w:hAnsi="微软雅黑" w:eastAsia="微软雅黑" w:cs="微软雅黑"/>
        </w:rPr>
      </w:pPr>
    </w:p>
    <w:p>
      <w:pPr>
        <w:tabs>
          <w:tab w:val="left" w:pos="780"/>
        </w:tabs>
        <w:spacing w:line="240" w:lineRule="atLeast"/>
        <w:ind w:firstLine="420" w:firstLineChars="200"/>
        <w:outlineLvl w:val="0"/>
        <w:rPr>
          <w:rFonts w:ascii="微软雅黑" w:hAnsi="微软雅黑" w:eastAsia="微软雅黑" w:cs="微软雅黑"/>
          <w:szCs w:val="21"/>
        </w:rPr>
      </w:pPr>
      <w:bookmarkStart w:id="2" w:name="_6.1.2、容器服务器"/>
      <w:bookmarkEnd w:id="2"/>
      <w:r>
        <w:rPr>
          <w:rFonts w:hint="eastAsia" w:ascii="微软雅黑" w:hAnsi="微软雅黑" w:eastAsia="微软雅黑" w:cs="微软雅黑"/>
          <w:szCs w:val="21"/>
        </w:rPr>
        <w:t>（一）货物为原制造商制造的软件模块</w:t>
      </w:r>
      <w:r>
        <w:rPr>
          <w:rFonts w:hint="eastAsia" w:ascii="微软雅黑" w:hAnsi="微软雅黑" w:eastAsia="微软雅黑" w:cs="微软雅黑"/>
          <w:szCs w:val="21"/>
        </w:rPr>
        <w:t>，在中国境内可依常规安全合法使用。</w:t>
      </w:r>
    </w:p>
    <w:p>
      <w:pPr>
        <w:tabs>
          <w:tab w:val="left" w:pos="780"/>
        </w:tabs>
        <w:spacing w:line="240" w:lineRule="atLeast"/>
        <w:ind w:firstLine="420" w:firstLineChars="200"/>
        <w:outlineLvl w:val="0"/>
        <w:rPr>
          <w:rFonts w:ascii="微软雅黑" w:hAnsi="微软雅黑" w:eastAsia="微软雅黑" w:cs="微软雅黑"/>
          <w:szCs w:val="21"/>
        </w:rPr>
      </w:pPr>
      <w:r>
        <w:rPr>
          <w:rFonts w:hint="eastAsia" w:ascii="微软雅黑" w:hAnsi="微软雅黑" w:eastAsia="微软雅黑" w:cs="微软雅黑"/>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tabs>
          <w:tab w:val="left" w:pos="780"/>
        </w:tabs>
        <w:spacing w:line="240" w:lineRule="atLeast"/>
        <w:ind w:firstLine="420" w:firstLineChars="200"/>
        <w:outlineLvl w:val="0"/>
        <w:rPr>
          <w:rFonts w:ascii="微软雅黑" w:hAnsi="微软雅黑" w:eastAsia="微软雅黑" w:cs="微软雅黑"/>
          <w:szCs w:val="21"/>
        </w:rPr>
      </w:pPr>
    </w:p>
    <w:p>
      <w:pPr>
        <w:pStyle w:val="3"/>
        <w:numPr>
          <w:ilvl w:val="0"/>
          <w:numId w:val="3"/>
        </w:numPr>
        <w:spacing w:before="0" w:after="0" w:line="240" w:lineRule="atLeast"/>
        <w:rPr>
          <w:rFonts w:ascii="微软雅黑" w:hAnsi="微软雅黑" w:eastAsia="微软雅黑" w:cs="微软雅黑"/>
          <w:sz w:val="21"/>
          <w:szCs w:val="21"/>
        </w:rPr>
      </w:pPr>
      <w:r>
        <w:rPr>
          <w:rFonts w:hint="eastAsia" w:ascii="微软雅黑" w:hAnsi="微软雅黑" w:eastAsia="微软雅黑" w:cs="微软雅黑"/>
          <w:sz w:val="32"/>
          <w:szCs w:val="32"/>
        </w:rPr>
        <w:t>交货日期</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(一)供货方须在院方支付合同首款后的 6 个月内</w:t>
      </w:r>
      <w:r>
        <w:rPr>
          <w:rFonts w:hint="eastAsia" w:ascii="微软雅黑" w:hAnsi="微软雅黑" w:eastAsia="微软雅黑" w:cs="微软雅黑"/>
          <w:szCs w:val="21"/>
        </w:rPr>
        <w:t>向院方提交采购清单中的物品。</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(二)交货日期以货物到达院方指定货运详细地址的日期为准。</w:t>
      </w:r>
    </w:p>
    <w:p>
      <w:pPr>
        <w:spacing w:line="240" w:lineRule="atLeast"/>
        <w:ind w:firstLine="525" w:firstLineChars="250"/>
        <w:rPr>
          <w:rFonts w:ascii="微软雅黑" w:hAnsi="微软雅黑" w:eastAsia="微软雅黑" w:cs="微软雅黑"/>
          <w:szCs w:val="21"/>
        </w:rPr>
      </w:pPr>
    </w:p>
    <w:p>
      <w:pPr>
        <w:numPr>
          <w:ilvl w:val="0"/>
          <w:numId w:val="3"/>
        </w:numPr>
        <w:spacing w:line="240" w:lineRule="atLeast"/>
        <w:rPr>
          <w:rFonts w:ascii="微软雅黑" w:hAnsi="微软雅黑" w:eastAsia="微软雅黑" w:cs="微软雅黑"/>
          <w:b/>
          <w:bCs/>
          <w:kern w:val="44"/>
          <w:sz w:val="32"/>
          <w:szCs w:val="32"/>
          <w:lang w:val="zh-CN"/>
        </w:rPr>
      </w:pPr>
      <w:r>
        <w:rPr>
          <w:rFonts w:hint="eastAsia" w:ascii="微软雅黑" w:hAnsi="微软雅黑" w:eastAsia="微软雅黑" w:cs="微软雅黑"/>
          <w:b/>
          <w:bCs/>
          <w:kern w:val="44"/>
          <w:sz w:val="32"/>
          <w:szCs w:val="32"/>
          <w:lang w:val="zh-CN"/>
        </w:rPr>
        <w:t>交货方式</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(一)供货方应按时将货物送至院方指定货运详细地址。</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(二)交货完成的有效证明：供货方送货人，必须随货物提交交货签收单给院方收货人，交货签收单必须有院方、供货方两方的签字方有效。</w:t>
      </w:r>
    </w:p>
    <w:p>
      <w:pPr>
        <w:spacing w:line="240" w:lineRule="atLeast"/>
        <w:rPr>
          <w:rFonts w:ascii="微软雅黑" w:hAnsi="微软雅黑" w:eastAsia="微软雅黑" w:cs="微软雅黑"/>
        </w:rPr>
      </w:pPr>
    </w:p>
    <w:p>
      <w:pPr>
        <w:numPr>
          <w:ilvl w:val="0"/>
          <w:numId w:val="3"/>
        </w:numPr>
        <w:spacing w:line="240" w:lineRule="atLeast"/>
        <w:rPr>
          <w:rFonts w:ascii="微软雅黑" w:hAnsi="微软雅黑" w:eastAsia="微软雅黑" w:cs="微软雅黑"/>
          <w:b/>
          <w:bCs/>
          <w:kern w:val="44"/>
          <w:sz w:val="32"/>
          <w:szCs w:val="32"/>
          <w:lang w:val="zh-CN"/>
        </w:rPr>
      </w:pPr>
      <w:r>
        <w:rPr>
          <w:rFonts w:hint="eastAsia" w:ascii="微软雅黑" w:hAnsi="微软雅黑" w:eastAsia="微软雅黑" w:cs="微软雅黑"/>
          <w:b/>
          <w:bCs/>
          <w:kern w:val="44"/>
          <w:sz w:val="32"/>
          <w:szCs w:val="32"/>
          <w:lang w:val="zh-CN"/>
        </w:rPr>
        <w:t>安装要求</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(一)供货方负责合同项下设备的安装调试，并按院方要求，免费提供本项目下的搬迁工作。</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(二)供货方应按院方指定的安装日期、安装要求进行安装工作。</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(三)供货方需根据院方的详细需求，提交项目产品的安装、调试及培训实施方案，方案得到院方确认后实施，保证系统按时、正常地投入运行。</w:t>
      </w:r>
    </w:p>
    <w:p>
      <w:pPr>
        <w:spacing w:line="240" w:lineRule="atLeast"/>
        <w:ind w:firstLine="525" w:firstLineChars="250"/>
        <w:rPr>
          <w:rFonts w:ascii="微软雅黑" w:hAnsi="微软雅黑" w:eastAsia="微软雅黑" w:cs="微软雅黑"/>
          <w:szCs w:val="21"/>
        </w:rPr>
      </w:pPr>
    </w:p>
    <w:p>
      <w:pPr>
        <w:numPr>
          <w:ilvl w:val="0"/>
          <w:numId w:val="3"/>
        </w:numPr>
        <w:spacing w:line="240" w:lineRule="atLeast"/>
        <w:rPr>
          <w:rFonts w:ascii="微软雅黑" w:hAnsi="微软雅黑" w:eastAsia="微软雅黑" w:cs="微软雅黑"/>
          <w:b/>
          <w:bCs/>
          <w:kern w:val="44"/>
          <w:sz w:val="32"/>
          <w:szCs w:val="32"/>
          <w:lang w:val="zh-CN"/>
        </w:rPr>
      </w:pPr>
      <w:r>
        <w:rPr>
          <w:rFonts w:hint="eastAsia" w:ascii="微软雅黑" w:hAnsi="微软雅黑" w:eastAsia="微软雅黑" w:cs="微软雅黑"/>
          <w:b/>
          <w:bCs/>
          <w:kern w:val="44"/>
          <w:sz w:val="32"/>
          <w:szCs w:val="32"/>
          <w:lang w:val="zh-CN"/>
        </w:rPr>
        <w:t>保修服务</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(一)整系统</w:t>
      </w:r>
      <w:r>
        <w:rPr>
          <w:rFonts w:hint="eastAsia" w:ascii="微软雅黑" w:hAnsi="微软雅黑" w:eastAsia="微软雅黑" w:cs="微软雅黑"/>
          <w:szCs w:val="21"/>
        </w:rPr>
        <w:t>保修；保修期自验收合格之日起计算。</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(二)提供 2年 原 厂家保修服务。</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(四)超过免费维护期的，双方另行协商签订维护合同，软件模块</w:t>
      </w:r>
      <w:r>
        <w:rPr>
          <w:rFonts w:hint="eastAsia" w:ascii="微软雅黑" w:hAnsi="微软雅黑" w:eastAsia="微软雅黑" w:cs="微软雅黑"/>
          <w:szCs w:val="21"/>
        </w:rPr>
        <w:t>的维护报价不超过合同信息设备（产品）部分金额的</w:t>
      </w:r>
      <w:r>
        <w:rPr>
          <w:rFonts w:hint="eastAsia" w:ascii="微软雅黑" w:hAnsi="微软雅黑" w:eastAsia="微软雅黑" w:cs="微软雅黑"/>
          <w:szCs w:val="21"/>
          <w:lang w:val="en-US" w:eastAsia="zh-CN"/>
        </w:rPr>
        <w:t>8</w:t>
      </w:r>
      <w:r>
        <w:rPr>
          <w:rFonts w:hint="eastAsia" w:ascii="微软雅黑" w:hAnsi="微软雅黑" w:eastAsia="微软雅黑" w:cs="微软雅黑"/>
          <w:szCs w:val="21"/>
        </w:rPr>
        <w:t>%。</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售后服务：提供</w:t>
      </w:r>
      <w:r>
        <w:rPr>
          <w:rFonts w:hint="eastAsia" w:ascii="微软雅黑" w:hAnsi="微软雅黑" w:eastAsia="微软雅黑" w:cs="微软雅黑"/>
          <w:szCs w:val="21"/>
          <w:u w:val="single"/>
        </w:rPr>
        <w:t xml:space="preserve"> 原厂 </w:t>
      </w:r>
      <w:r>
        <w:rPr>
          <w:rFonts w:hint="eastAsia" w:ascii="微软雅黑" w:hAnsi="微软雅黑" w:eastAsia="微软雅黑" w:cs="微软雅黑"/>
          <w:szCs w:val="21"/>
        </w:rPr>
        <w:t>厂家7*24小时免费维修服务。</w:t>
      </w:r>
    </w:p>
    <w:p>
      <w:pPr>
        <w:spacing w:line="240" w:lineRule="atLeast"/>
        <w:ind w:firstLine="525" w:firstLineChars="250"/>
        <w:rPr>
          <w:rFonts w:ascii="微软雅黑" w:hAnsi="微软雅黑" w:eastAsia="微软雅黑" w:cs="微软雅黑"/>
          <w:szCs w:val="21"/>
        </w:rPr>
      </w:pPr>
      <w:r>
        <w:rPr>
          <w:rFonts w:hint="eastAsia" w:ascii="微软雅黑" w:hAnsi="微软雅黑" w:eastAsia="微软雅黑" w:cs="微软雅黑"/>
          <w:szCs w:val="21"/>
        </w:rPr>
        <w:t>响应时间、方式：2小时内响应到院方报修处。</w:t>
      </w:r>
    </w:p>
    <w:p>
      <w:pPr>
        <w:spacing w:line="240" w:lineRule="atLeast"/>
        <w:ind w:firstLine="525" w:firstLineChars="250"/>
        <w:rPr>
          <w:rFonts w:ascii="微软雅黑" w:hAnsi="微软雅黑" w:eastAsia="微软雅黑" w:cs="微软雅黑"/>
          <w:szCs w:val="21"/>
        </w:rPr>
      </w:pPr>
    </w:p>
    <w:p>
      <w:pPr>
        <w:pStyle w:val="3"/>
        <w:numPr>
          <w:ilvl w:val="0"/>
          <w:numId w:val="3"/>
        </w:numPr>
        <w:spacing w:before="0" w:after="0" w:line="240" w:lineRule="atLeast"/>
        <w:rPr>
          <w:rFonts w:ascii="微软雅黑" w:hAnsi="微软雅黑" w:eastAsia="微软雅黑" w:cs="微软雅黑"/>
          <w:color w:val="FF0000"/>
          <w:sz w:val="32"/>
          <w:szCs w:val="32"/>
        </w:rPr>
      </w:pPr>
      <w:r>
        <w:rPr>
          <w:rFonts w:hint="eastAsia" w:ascii="微软雅黑" w:hAnsi="微软雅黑" w:eastAsia="微软雅黑" w:cs="微软雅黑"/>
          <w:sz w:val="32"/>
          <w:szCs w:val="32"/>
        </w:rPr>
        <w:t>合同款支付方式</w:t>
      </w:r>
    </w:p>
    <w:p>
      <w:pPr>
        <w:tabs>
          <w:tab w:val="left" w:pos="780"/>
        </w:tabs>
        <w:spacing w:line="240" w:lineRule="atLeast"/>
        <w:ind w:firstLine="630" w:firstLineChars="300"/>
        <w:outlineLvl w:val="0"/>
        <w:rPr>
          <w:rFonts w:hint="eastAsia" w:ascii="微软雅黑" w:hAnsi="微软雅黑" w:eastAsia="微软雅黑" w:cs="微软雅黑"/>
          <w:szCs w:val="21"/>
        </w:rPr>
      </w:pPr>
      <w:r>
        <w:rPr>
          <w:rFonts w:hint="eastAsia" w:ascii="微软雅黑" w:hAnsi="微软雅黑" w:eastAsia="微软雅黑" w:cs="微软雅黑"/>
          <w:szCs w:val="21"/>
        </w:rPr>
        <w:t>(一)合同签订后，甲方在收到乙方开具相应金额正式发票后，向乙方支付合同总金额的30%，共计人民币_________元（大写：人民币_________元整）。</w:t>
      </w:r>
    </w:p>
    <w:p>
      <w:pPr>
        <w:tabs>
          <w:tab w:val="left" w:pos="780"/>
        </w:tabs>
        <w:spacing w:line="240" w:lineRule="atLeast"/>
        <w:ind w:firstLine="630" w:firstLineChars="300"/>
        <w:outlineLvl w:val="0"/>
        <w:rPr>
          <w:rFonts w:hint="eastAsia" w:ascii="微软雅黑" w:hAnsi="微软雅黑" w:eastAsia="微软雅黑" w:cs="微软雅黑"/>
          <w:szCs w:val="21"/>
        </w:rPr>
      </w:pPr>
      <w:r>
        <w:rPr>
          <w:rFonts w:hint="eastAsia" w:ascii="微软雅黑" w:hAnsi="微软雅黑" w:eastAsia="微软雅黑" w:cs="微软雅黑"/>
          <w:szCs w:val="21"/>
        </w:rPr>
        <w:t>(二)软件验收通过后，甲方在收到乙方开具相应金额正式发票后，</w:t>
      </w:r>
      <w:bookmarkStart w:id="3" w:name="_GoBack"/>
      <w:bookmarkEnd w:id="3"/>
      <w:r>
        <w:rPr>
          <w:rFonts w:hint="eastAsia" w:ascii="微软雅黑" w:hAnsi="微软雅黑" w:eastAsia="微软雅黑" w:cs="微软雅黑"/>
          <w:szCs w:val="21"/>
        </w:rPr>
        <w:t>向乙方支付合同总金额的65%，共计人民币_________元（大写：人民币_________元整）。</w:t>
      </w:r>
    </w:p>
    <w:p>
      <w:pPr>
        <w:tabs>
          <w:tab w:val="left" w:pos="780"/>
        </w:tabs>
        <w:spacing w:line="240" w:lineRule="atLeast"/>
        <w:ind w:firstLine="630" w:firstLineChars="300"/>
        <w:outlineLvl w:val="0"/>
        <w:rPr>
          <w:rFonts w:hint="eastAsia" w:ascii="微软雅黑" w:hAnsi="微软雅黑" w:eastAsia="微软雅黑" w:cs="微软雅黑"/>
          <w:szCs w:val="21"/>
        </w:rPr>
      </w:pPr>
      <w:r>
        <w:rPr>
          <w:rFonts w:hint="eastAsia" w:ascii="微软雅黑" w:hAnsi="微软雅黑" w:eastAsia="微软雅黑" w:cs="微软雅黑"/>
          <w:szCs w:val="21"/>
        </w:rPr>
        <w:t>(三)软件维护期结束后，由甲方对乙方在服务期内应完成任务进行确认并通过后1个月内，甲方向乙方支付最后一笔尾款；甲方在收到乙方开具相应金额正式发票后，向乙方支付合同总金额5%的维护费，共计人民币_________元（大写：人民币_________元整）。</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11</w:t>
    </w:r>
    <w:r>
      <w:rPr>
        <w:caps/>
        <w:color w:val="5B9BD5"/>
      </w:rP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81D94"/>
    <w:multiLevelType w:val="singleLevel"/>
    <w:tmpl w:val="B9881D94"/>
    <w:lvl w:ilvl="0" w:tentative="0">
      <w:start w:val="1"/>
      <w:numFmt w:val="decimal"/>
      <w:suff w:val="nothing"/>
      <w:lvlText w:val="%1"/>
      <w:lvlJc w:val="left"/>
      <w:pPr>
        <w:ind w:left="0" w:firstLine="0"/>
      </w:pPr>
      <w:rPr>
        <w:rFonts w:hint="default"/>
        <w:b w:val="0"/>
      </w:rPr>
    </w:lvl>
  </w:abstractNum>
  <w:abstractNum w:abstractNumId="1">
    <w:nsid w:val="081E15F9"/>
    <w:multiLevelType w:val="multilevel"/>
    <w:tmpl w:val="081E15F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606E9C"/>
    <w:multiLevelType w:val="multilevel"/>
    <w:tmpl w:val="0C606E9C"/>
    <w:lvl w:ilvl="0" w:tentative="0">
      <w:start w:val="1"/>
      <w:numFmt w:val="decimal"/>
      <w:lvlText w:val="%1."/>
      <w:lvlJc w:val="left"/>
      <w:pPr>
        <w:ind w:left="-420" w:hanging="420"/>
      </w:pPr>
    </w:lvl>
    <w:lvl w:ilvl="1" w:tentative="0">
      <w:start w:val="1"/>
      <w:numFmt w:val="lowerLetter"/>
      <w:lvlText w:val="%2)"/>
      <w:lvlJc w:val="left"/>
      <w:pPr>
        <w:ind w:left="0" w:hanging="420"/>
      </w:pPr>
    </w:lvl>
    <w:lvl w:ilvl="2" w:tentative="0">
      <w:start w:val="1"/>
      <w:numFmt w:val="lowerRoman"/>
      <w:lvlText w:val="%3."/>
      <w:lvlJc w:val="right"/>
      <w:pPr>
        <w:ind w:left="420" w:hanging="420"/>
      </w:pPr>
    </w:lvl>
    <w:lvl w:ilvl="3" w:tentative="0">
      <w:start w:val="1"/>
      <w:numFmt w:val="decimal"/>
      <w:lvlText w:val="%4."/>
      <w:lvlJc w:val="left"/>
      <w:pPr>
        <w:ind w:left="840" w:hanging="420"/>
      </w:pPr>
    </w:lvl>
    <w:lvl w:ilvl="4" w:tentative="0">
      <w:start w:val="1"/>
      <w:numFmt w:val="lowerLetter"/>
      <w:lvlText w:val="%5)"/>
      <w:lvlJc w:val="left"/>
      <w:pPr>
        <w:ind w:left="1260" w:hanging="420"/>
      </w:pPr>
    </w:lvl>
    <w:lvl w:ilvl="5" w:tentative="0">
      <w:start w:val="1"/>
      <w:numFmt w:val="lowerRoman"/>
      <w:lvlText w:val="%6."/>
      <w:lvlJc w:val="right"/>
      <w:pPr>
        <w:ind w:left="1680" w:hanging="420"/>
      </w:pPr>
    </w:lvl>
    <w:lvl w:ilvl="6" w:tentative="0">
      <w:start w:val="1"/>
      <w:numFmt w:val="decimal"/>
      <w:lvlText w:val="%7."/>
      <w:lvlJc w:val="left"/>
      <w:pPr>
        <w:ind w:left="2100" w:hanging="420"/>
      </w:pPr>
    </w:lvl>
    <w:lvl w:ilvl="7" w:tentative="0">
      <w:start w:val="1"/>
      <w:numFmt w:val="lowerLetter"/>
      <w:lvlText w:val="%8)"/>
      <w:lvlJc w:val="left"/>
      <w:pPr>
        <w:ind w:left="2520" w:hanging="420"/>
      </w:pPr>
    </w:lvl>
    <w:lvl w:ilvl="8" w:tentative="0">
      <w:start w:val="1"/>
      <w:numFmt w:val="lowerRoman"/>
      <w:lvlText w:val="%9."/>
      <w:lvlJc w:val="right"/>
      <w:pPr>
        <w:ind w:left="2940" w:hanging="420"/>
      </w:pPr>
    </w:lvl>
  </w:abstractNum>
  <w:abstractNum w:abstractNumId="3">
    <w:nsid w:val="16FA3C0B"/>
    <w:multiLevelType w:val="multilevel"/>
    <w:tmpl w:val="16FA3C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AE337B"/>
    <w:multiLevelType w:val="multilevel"/>
    <w:tmpl w:val="1EAE33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D752A2"/>
    <w:multiLevelType w:val="multilevel"/>
    <w:tmpl w:val="22D752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7">
    <w:nsid w:val="343463B2"/>
    <w:multiLevelType w:val="multilevel"/>
    <w:tmpl w:val="343463B2"/>
    <w:lvl w:ilvl="0" w:tentative="0">
      <w:start w:val="1"/>
      <w:numFmt w:val="decimal"/>
      <w:lvlText w:val="%1."/>
      <w:lvlJc w:val="left"/>
      <w:pPr>
        <w:ind w:left="-420" w:hanging="420"/>
      </w:pPr>
    </w:lvl>
    <w:lvl w:ilvl="1" w:tentative="0">
      <w:start w:val="1"/>
      <w:numFmt w:val="lowerLetter"/>
      <w:lvlText w:val="%2)"/>
      <w:lvlJc w:val="left"/>
      <w:pPr>
        <w:ind w:left="0" w:hanging="420"/>
      </w:pPr>
    </w:lvl>
    <w:lvl w:ilvl="2" w:tentative="0">
      <w:start w:val="1"/>
      <w:numFmt w:val="lowerRoman"/>
      <w:lvlText w:val="%3."/>
      <w:lvlJc w:val="right"/>
      <w:pPr>
        <w:ind w:left="420" w:hanging="420"/>
      </w:pPr>
    </w:lvl>
    <w:lvl w:ilvl="3" w:tentative="0">
      <w:start w:val="1"/>
      <w:numFmt w:val="decimal"/>
      <w:lvlText w:val="%4."/>
      <w:lvlJc w:val="left"/>
      <w:pPr>
        <w:ind w:left="840" w:hanging="420"/>
      </w:pPr>
    </w:lvl>
    <w:lvl w:ilvl="4" w:tentative="0">
      <w:start w:val="1"/>
      <w:numFmt w:val="lowerLetter"/>
      <w:lvlText w:val="%5)"/>
      <w:lvlJc w:val="left"/>
      <w:pPr>
        <w:ind w:left="1260" w:hanging="420"/>
      </w:pPr>
    </w:lvl>
    <w:lvl w:ilvl="5" w:tentative="0">
      <w:start w:val="1"/>
      <w:numFmt w:val="lowerRoman"/>
      <w:lvlText w:val="%6."/>
      <w:lvlJc w:val="right"/>
      <w:pPr>
        <w:ind w:left="1680" w:hanging="420"/>
      </w:pPr>
    </w:lvl>
    <w:lvl w:ilvl="6" w:tentative="0">
      <w:start w:val="1"/>
      <w:numFmt w:val="decimal"/>
      <w:lvlText w:val="%7."/>
      <w:lvlJc w:val="left"/>
      <w:pPr>
        <w:ind w:left="2100" w:hanging="420"/>
      </w:pPr>
    </w:lvl>
    <w:lvl w:ilvl="7" w:tentative="0">
      <w:start w:val="1"/>
      <w:numFmt w:val="lowerLetter"/>
      <w:lvlText w:val="%8)"/>
      <w:lvlJc w:val="left"/>
      <w:pPr>
        <w:ind w:left="2520" w:hanging="420"/>
      </w:pPr>
    </w:lvl>
    <w:lvl w:ilvl="8" w:tentative="0">
      <w:start w:val="1"/>
      <w:numFmt w:val="lowerRoman"/>
      <w:lvlText w:val="%9."/>
      <w:lvlJc w:val="right"/>
      <w:pPr>
        <w:ind w:left="2940" w:hanging="420"/>
      </w:pPr>
    </w:lvl>
  </w:abstractNum>
  <w:abstractNum w:abstractNumId="8">
    <w:nsid w:val="389F5FAD"/>
    <w:multiLevelType w:val="multilevel"/>
    <w:tmpl w:val="389F5FAD"/>
    <w:lvl w:ilvl="0" w:tentative="0">
      <w:start w:val="1"/>
      <w:numFmt w:val="decimal"/>
      <w:lvlText w:val="%1."/>
      <w:lvlJc w:val="left"/>
      <w:pPr>
        <w:ind w:left="-420" w:hanging="420"/>
      </w:pPr>
    </w:lvl>
    <w:lvl w:ilvl="1" w:tentative="0">
      <w:start w:val="1"/>
      <w:numFmt w:val="lowerLetter"/>
      <w:lvlText w:val="%2)"/>
      <w:lvlJc w:val="left"/>
      <w:pPr>
        <w:ind w:left="0" w:hanging="420"/>
      </w:pPr>
    </w:lvl>
    <w:lvl w:ilvl="2" w:tentative="0">
      <w:start w:val="1"/>
      <w:numFmt w:val="lowerRoman"/>
      <w:lvlText w:val="%3."/>
      <w:lvlJc w:val="right"/>
      <w:pPr>
        <w:ind w:left="420" w:hanging="420"/>
      </w:pPr>
    </w:lvl>
    <w:lvl w:ilvl="3" w:tentative="0">
      <w:start w:val="1"/>
      <w:numFmt w:val="decimal"/>
      <w:lvlText w:val="%4."/>
      <w:lvlJc w:val="left"/>
      <w:pPr>
        <w:ind w:left="840" w:hanging="420"/>
      </w:pPr>
    </w:lvl>
    <w:lvl w:ilvl="4" w:tentative="0">
      <w:start w:val="1"/>
      <w:numFmt w:val="lowerLetter"/>
      <w:lvlText w:val="%5)"/>
      <w:lvlJc w:val="left"/>
      <w:pPr>
        <w:ind w:left="1260" w:hanging="420"/>
      </w:pPr>
    </w:lvl>
    <w:lvl w:ilvl="5" w:tentative="0">
      <w:start w:val="1"/>
      <w:numFmt w:val="lowerRoman"/>
      <w:lvlText w:val="%6."/>
      <w:lvlJc w:val="right"/>
      <w:pPr>
        <w:ind w:left="1680" w:hanging="420"/>
      </w:pPr>
    </w:lvl>
    <w:lvl w:ilvl="6" w:tentative="0">
      <w:start w:val="1"/>
      <w:numFmt w:val="decimal"/>
      <w:lvlText w:val="%7."/>
      <w:lvlJc w:val="left"/>
      <w:pPr>
        <w:ind w:left="2100" w:hanging="420"/>
      </w:pPr>
    </w:lvl>
    <w:lvl w:ilvl="7" w:tentative="0">
      <w:start w:val="1"/>
      <w:numFmt w:val="lowerLetter"/>
      <w:lvlText w:val="%8)"/>
      <w:lvlJc w:val="left"/>
      <w:pPr>
        <w:ind w:left="2520" w:hanging="420"/>
      </w:pPr>
    </w:lvl>
    <w:lvl w:ilvl="8" w:tentative="0">
      <w:start w:val="1"/>
      <w:numFmt w:val="lowerRoman"/>
      <w:lvlText w:val="%9."/>
      <w:lvlJc w:val="right"/>
      <w:pPr>
        <w:ind w:left="2940" w:hanging="420"/>
      </w:pPr>
    </w:lvl>
  </w:abstractNum>
  <w:abstractNum w:abstractNumId="9">
    <w:nsid w:val="3D856735"/>
    <w:multiLevelType w:val="multilevel"/>
    <w:tmpl w:val="3D856735"/>
    <w:lvl w:ilvl="0" w:tentative="0">
      <w:start w:val="1"/>
      <w:numFmt w:val="decimal"/>
      <w:lvlText w:val="%1."/>
      <w:lvlJc w:val="left"/>
      <w:pPr>
        <w:ind w:left="-420" w:hanging="420"/>
      </w:pPr>
    </w:lvl>
    <w:lvl w:ilvl="1" w:tentative="0">
      <w:start w:val="1"/>
      <w:numFmt w:val="lowerLetter"/>
      <w:lvlText w:val="%2)"/>
      <w:lvlJc w:val="left"/>
      <w:pPr>
        <w:ind w:left="0" w:hanging="420"/>
      </w:pPr>
    </w:lvl>
    <w:lvl w:ilvl="2" w:tentative="0">
      <w:start w:val="1"/>
      <w:numFmt w:val="lowerRoman"/>
      <w:lvlText w:val="%3."/>
      <w:lvlJc w:val="right"/>
      <w:pPr>
        <w:ind w:left="420" w:hanging="420"/>
      </w:pPr>
    </w:lvl>
    <w:lvl w:ilvl="3" w:tentative="0">
      <w:start w:val="1"/>
      <w:numFmt w:val="decimal"/>
      <w:lvlText w:val="%4."/>
      <w:lvlJc w:val="left"/>
      <w:pPr>
        <w:ind w:left="840" w:hanging="420"/>
      </w:pPr>
    </w:lvl>
    <w:lvl w:ilvl="4" w:tentative="0">
      <w:start w:val="1"/>
      <w:numFmt w:val="lowerLetter"/>
      <w:lvlText w:val="%5)"/>
      <w:lvlJc w:val="left"/>
      <w:pPr>
        <w:ind w:left="1260" w:hanging="420"/>
      </w:pPr>
    </w:lvl>
    <w:lvl w:ilvl="5" w:tentative="0">
      <w:start w:val="1"/>
      <w:numFmt w:val="lowerRoman"/>
      <w:lvlText w:val="%6."/>
      <w:lvlJc w:val="right"/>
      <w:pPr>
        <w:ind w:left="1680" w:hanging="420"/>
      </w:pPr>
    </w:lvl>
    <w:lvl w:ilvl="6" w:tentative="0">
      <w:start w:val="1"/>
      <w:numFmt w:val="decimal"/>
      <w:lvlText w:val="%7."/>
      <w:lvlJc w:val="left"/>
      <w:pPr>
        <w:ind w:left="2100" w:hanging="420"/>
      </w:pPr>
    </w:lvl>
    <w:lvl w:ilvl="7" w:tentative="0">
      <w:start w:val="1"/>
      <w:numFmt w:val="lowerLetter"/>
      <w:lvlText w:val="%8)"/>
      <w:lvlJc w:val="left"/>
      <w:pPr>
        <w:ind w:left="2520" w:hanging="420"/>
      </w:pPr>
    </w:lvl>
    <w:lvl w:ilvl="8" w:tentative="0">
      <w:start w:val="1"/>
      <w:numFmt w:val="lowerRoman"/>
      <w:lvlText w:val="%9."/>
      <w:lvlJc w:val="right"/>
      <w:pPr>
        <w:ind w:left="2940" w:hanging="420"/>
      </w:pPr>
    </w:lvl>
  </w:abstractNum>
  <w:abstractNum w:abstractNumId="10">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2">
    <w:nsid w:val="48D84072"/>
    <w:multiLevelType w:val="multilevel"/>
    <w:tmpl w:val="48D840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A572796"/>
    <w:multiLevelType w:val="multilevel"/>
    <w:tmpl w:val="4A572796"/>
    <w:lvl w:ilvl="0" w:tentative="0">
      <w:start w:val="1"/>
      <w:numFmt w:val="decimal"/>
      <w:lvlText w:val="%1."/>
      <w:lvlJc w:val="left"/>
      <w:pPr>
        <w:ind w:left="-420" w:hanging="420"/>
      </w:pPr>
    </w:lvl>
    <w:lvl w:ilvl="1" w:tentative="0">
      <w:start w:val="1"/>
      <w:numFmt w:val="lowerLetter"/>
      <w:lvlText w:val="%2)"/>
      <w:lvlJc w:val="left"/>
      <w:pPr>
        <w:ind w:left="0" w:hanging="420"/>
      </w:pPr>
    </w:lvl>
    <w:lvl w:ilvl="2" w:tentative="0">
      <w:start w:val="1"/>
      <w:numFmt w:val="lowerRoman"/>
      <w:lvlText w:val="%3."/>
      <w:lvlJc w:val="right"/>
      <w:pPr>
        <w:ind w:left="420" w:hanging="420"/>
      </w:pPr>
    </w:lvl>
    <w:lvl w:ilvl="3" w:tentative="0">
      <w:start w:val="1"/>
      <w:numFmt w:val="decimal"/>
      <w:lvlText w:val="%4."/>
      <w:lvlJc w:val="left"/>
      <w:pPr>
        <w:ind w:left="840" w:hanging="420"/>
      </w:pPr>
    </w:lvl>
    <w:lvl w:ilvl="4" w:tentative="0">
      <w:start w:val="1"/>
      <w:numFmt w:val="lowerLetter"/>
      <w:lvlText w:val="%5)"/>
      <w:lvlJc w:val="left"/>
      <w:pPr>
        <w:ind w:left="1260" w:hanging="420"/>
      </w:pPr>
    </w:lvl>
    <w:lvl w:ilvl="5" w:tentative="0">
      <w:start w:val="1"/>
      <w:numFmt w:val="lowerRoman"/>
      <w:lvlText w:val="%6."/>
      <w:lvlJc w:val="right"/>
      <w:pPr>
        <w:ind w:left="1680" w:hanging="420"/>
      </w:pPr>
    </w:lvl>
    <w:lvl w:ilvl="6" w:tentative="0">
      <w:start w:val="1"/>
      <w:numFmt w:val="decimal"/>
      <w:lvlText w:val="%7."/>
      <w:lvlJc w:val="left"/>
      <w:pPr>
        <w:ind w:left="2100" w:hanging="420"/>
      </w:pPr>
    </w:lvl>
    <w:lvl w:ilvl="7" w:tentative="0">
      <w:start w:val="1"/>
      <w:numFmt w:val="lowerLetter"/>
      <w:lvlText w:val="%8)"/>
      <w:lvlJc w:val="left"/>
      <w:pPr>
        <w:ind w:left="2520" w:hanging="420"/>
      </w:pPr>
    </w:lvl>
    <w:lvl w:ilvl="8" w:tentative="0">
      <w:start w:val="1"/>
      <w:numFmt w:val="lowerRoman"/>
      <w:lvlText w:val="%9."/>
      <w:lvlJc w:val="right"/>
      <w:pPr>
        <w:ind w:left="2940" w:hanging="420"/>
      </w:pPr>
    </w:lvl>
  </w:abstractNum>
  <w:abstractNum w:abstractNumId="14">
    <w:nsid w:val="5D2C3098"/>
    <w:multiLevelType w:val="multilevel"/>
    <w:tmpl w:val="5D2C3098"/>
    <w:lvl w:ilvl="0" w:tentative="0">
      <w:start w:val="1"/>
      <w:numFmt w:val="decimal"/>
      <w:lvlText w:val="%1."/>
      <w:lvlJc w:val="left"/>
      <w:pPr>
        <w:ind w:left="-420" w:hanging="420"/>
      </w:pPr>
    </w:lvl>
    <w:lvl w:ilvl="1" w:tentative="0">
      <w:start w:val="1"/>
      <w:numFmt w:val="lowerLetter"/>
      <w:lvlText w:val="%2)"/>
      <w:lvlJc w:val="left"/>
      <w:pPr>
        <w:ind w:left="0" w:hanging="420"/>
      </w:pPr>
    </w:lvl>
    <w:lvl w:ilvl="2" w:tentative="0">
      <w:start w:val="1"/>
      <w:numFmt w:val="lowerRoman"/>
      <w:lvlText w:val="%3."/>
      <w:lvlJc w:val="right"/>
      <w:pPr>
        <w:ind w:left="420" w:hanging="420"/>
      </w:pPr>
    </w:lvl>
    <w:lvl w:ilvl="3" w:tentative="0">
      <w:start w:val="1"/>
      <w:numFmt w:val="decimal"/>
      <w:lvlText w:val="%4."/>
      <w:lvlJc w:val="left"/>
      <w:pPr>
        <w:ind w:left="840" w:hanging="420"/>
      </w:pPr>
    </w:lvl>
    <w:lvl w:ilvl="4" w:tentative="0">
      <w:start w:val="1"/>
      <w:numFmt w:val="lowerLetter"/>
      <w:lvlText w:val="%5)"/>
      <w:lvlJc w:val="left"/>
      <w:pPr>
        <w:ind w:left="1260" w:hanging="420"/>
      </w:pPr>
    </w:lvl>
    <w:lvl w:ilvl="5" w:tentative="0">
      <w:start w:val="1"/>
      <w:numFmt w:val="lowerRoman"/>
      <w:lvlText w:val="%6."/>
      <w:lvlJc w:val="right"/>
      <w:pPr>
        <w:ind w:left="1680" w:hanging="420"/>
      </w:pPr>
    </w:lvl>
    <w:lvl w:ilvl="6" w:tentative="0">
      <w:start w:val="1"/>
      <w:numFmt w:val="decimal"/>
      <w:lvlText w:val="%7."/>
      <w:lvlJc w:val="left"/>
      <w:pPr>
        <w:ind w:left="2100" w:hanging="420"/>
      </w:pPr>
    </w:lvl>
    <w:lvl w:ilvl="7" w:tentative="0">
      <w:start w:val="1"/>
      <w:numFmt w:val="lowerLetter"/>
      <w:lvlText w:val="%8)"/>
      <w:lvlJc w:val="left"/>
      <w:pPr>
        <w:ind w:left="2520" w:hanging="420"/>
      </w:pPr>
    </w:lvl>
    <w:lvl w:ilvl="8" w:tentative="0">
      <w:start w:val="1"/>
      <w:numFmt w:val="lowerRoman"/>
      <w:lvlText w:val="%9."/>
      <w:lvlJc w:val="right"/>
      <w:pPr>
        <w:ind w:left="2940" w:hanging="420"/>
      </w:pPr>
    </w:lvl>
  </w:abstractNum>
  <w:abstractNum w:abstractNumId="15">
    <w:nsid w:val="667F5689"/>
    <w:multiLevelType w:val="multilevel"/>
    <w:tmpl w:val="667F56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B335EA9"/>
    <w:multiLevelType w:val="multilevel"/>
    <w:tmpl w:val="6B335E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10F12DD"/>
    <w:multiLevelType w:val="multilevel"/>
    <w:tmpl w:val="710F12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CD556E5"/>
    <w:multiLevelType w:val="multilevel"/>
    <w:tmpl w:val="7CD556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0"/>
  </w:num>
  <w:num w:numId="3">
    <w:abstractNumId w:val="11"/>
  </w:num>
  <w:num w:numId="4">
    <w:abstractNumId w:val="0"/>
  </w:num>
  <w:num w:numId="5">
    <w:abstractNumId w:val="4"/>
  </w:num>
  <w:num w:numId="6">
    <w:abstractNumId w:val="16"/>
  </w:num>
  <w:num w:numId="7">
    <w:abstractNumId w:val="12"/>
  </w:num>
  <w:num w:numId="8">
    <w:abstractNumId w:val="17"/>
  </w:num>
  <w:num w:numId="9">
    <w:abstractNumId w:val="18"/>
  </w:num>
  <w:num w:numId="10">
    <w:abstractNumId w:val="15"/>
  </w:num>
  <w:num w:numId="11">
    <w:abstractNumId w:val="3"/>
  </w:num>
  <w:num w:numId="12">
    <w:abstractNumId w:val="5"/>
  </w:num>
  <w:num w:numId="13">
    <w:abstractNumId w:val="1"/>
  </w:num>
  <w:num w:numId="14">
    <w:abstractNumId w:val="2"/>
  </w:num>
  <w:num w:numId="15">
    <w:abstractNumId w:val="9"/>
  </w:num>
  <w:num w:numId="16">
    <w:abstractNumId w:val="8"/>
  </w:num>
  <w:num w:numId="17">
    <w:abstractNumId w:val="14"/>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MzVmOGE3ZTMxMTFlNjU0NGE1OTQ0OTA2ZjlmZTQifQ=="/>
  </w:docVars>
  <w:rsids>
    <w:rsidRoot w:val="00303343"/>
    <w:rsid w:val="000051D2"/>
    <w:rsid w:val="000079DD"/>
    <w:rsid w:val="00012DCC"/>
    <w:rsid w:val="00016B63"/>
    <w:rsid w:val="000211F5"/>
    <w:rsid w:val="000227EB"/>
    <w:rsid w:val="000235D2"/>
    <w:rsid w:val="000304A9"/>
    <w:rsid w:val="0004334E"/>
    <w:rsid w:val="000445C3"/>
    <w:rsid w:val="00046B39"/>
    <w:rsid w:val="00054706"/>
    <w:rsid w:val="00057BB7"/>
    <w:rsid w:val="000612F5"/>
    <w:rsid w:val="0006241F"/>
    <w:rsid w:val="00066DE7"/>
    <w:rsid w:val="000710C6"/>
    <w:rsid w:val="00074EDD"/>
    <w:rsid w:val="000757C1"/>
    <w:rsid w:val="00086AE0"/>
    <w:rsid w:val="0009064D"/>
    <w:rsid w:val="00090A18"/>
    <w:rsid w:val="00092129"/>
    <w:rsid w:val="000974F5"/>
    <w:rsid w:val="000B41B7"/>
    <w:rsid w:val="000D5317"/>
    <w:rsid w:val="000E276C"/>
    <w:rsid w:val="000E3186"/>
    <w:rsid w:val="000F3238"/>
    <w:rsid w:val="000F5B40"/>
    <w:rsid w:val="00106D68"/>
    <w:rsid w:val="001106CE"/>
    <w:rsid w:val="001107F8"/>
    <w:rsid w:val="001116F6"/>
    <w:rsid w:val="001161EB"/>
    <w:rsid w:val="0011693E"/>
    <w:rsid w:val="00121E40"/>
    <w:rsid w:val="0012322D"/>
    <w:rsid w:val="00123CDF"/>
    <w:rsid w:val="00123FCC"/>
    <w:rsid w:val="00132D88"/>
    <w:rsid w:val="00135BF9"/>
    <w:rsid w:val="001365DD"/>
    <w:rsid w:val="00136606"/>
    <w:rsid w:val="00137689"/>
    <w:rsid w:val="00140E0C"/>
    <w:rsid w:val="0014437A"/>
    <w:rsid w:val="00150F28"/>
    <w:rsid w:val="00153AB3"/>
    <w:rsid w:val="001562EE"/>
    <w:rsid w:val="00156566"/>
    <w:rsid w:val="00162D29"/>
    <w:rsid w:val="00164878"/>
    <w:rsid w:val="00164C38"/>
    <w:rsid w:val="00165091"/>
    <w:rsid w:val="00171903"/>
    <w:rsid w:val="0018200C"/>
    <w:rsid w:val="001833B6"/>
    <w:rsid w:val="00190CD2"/>
    <w:rsid w:val="00192191"/>
    <w:rsid w:val="00194BFE"/>
    <w:rsid w:val="001A22A1"/>
    <w:rsid w:val="001B187A"/>
    <w:rsid w:val="001B4850"/>
    <w:rsid w:val="001B7966"/>
    <w:rsid w:val="001B7D79"/>
    <w:rsid w:val="001C131E"/>
    <w:rsid w:val="001C23B3"/>
    <w:rsid w:val="001C7BC6"/>
    <w:rsid w:val="001D464F"/>
    <w:rsid w:val="001D4A68"/>
    <w:rsid w:val="001D7749"/>
    <w:rsid w:val="001E3B38"/>
    <w:rsid w:val="00200054"/>
    <w:rsid w:val="002000DE"/>
    <w:rsid w:val="00202EFF"/>
    <w:rsid w:val="0020509F"/>
    <w:rsid w:val="00207A96"/>
    <w:rsid w:val="00214A6F"/>
    <w:rsid w:val="00217C85"/>
    <w:rsid w:val="00220D0D"/>
    <w:rsid w:val="00220E4C"/>
    <w:rsid w:val="00221F1F"/>
    <w:rsid w:val="00223E47"/>
    <w:rsid w:val="00237485"/>
    <w:rsid w:val="00241D77"/>
    <w:rsid w:val="00242D49"/>
    <w:rsid w:val="002509F5"/>
    <w:rsid w:val="002535AA"/>
    <w:rsid w:val="0026089E"/>
    <w:rsid w:val="00261CBC"/>
    <w:rsid w:val="00265DE7"/>
    <w:rsid w:val="00270260"/>
    <w:rsid w:val="002710A4"/>
    <w:rsid w:val="002722CA"/>
    <w:rsid w:val="002834D3"/>
    <w:rsid w:val="002853BF"/>
    <w:rsid w:val="00285767"/>
    <w:rsid w:val="00292528"/>
    <w:rsid w:val="00297607"/>
    <w:rsid w:val="00297A77"/>
    <w:rsid w:val="002A01D6"/>
    <w:rsid w:val="002A4778"/>
    <w:rsid w:val="002C060F"/>
    <w:rsid w:val="002C1296"/>
    <w:rsid w:val="002C53D1"/>
    <w:rsid w:val="002D6BE1"/>
    <w:rsid w:val="002E00BE"/>
    <w:rsid w:val="002E54E5"/>
    <w:rsid w:val="002F31F1"/>
    <w:rsid w:val="002F3392"/>
    <w:rsid w:val="002F7124"/>
    <w:rsid w:val="003024F8"/>
    <w:rsid w:val="00303343"/>
    <w:rsid w:val="00303CAB"/>
    <w:rsid w:val="0030419A"/>
    <w:rsid w:val="003042A2"/>
    <w:rsid w:val="00304636"/>
    <w:rsid w:val="00311322"/>
    <w:rsid w:val="00314487"/>
    <w:rsid w:val="00314A5A"/>
    <w:rsid w:val="00322973"/>
    <w:rsid w:val="003325F0"/>
    <w:rsid w:val="00341038"/>
    <w:rsid w:val="003520F1"/>
    <w:rsid w:val="00352E7C"/>
    <w:rsid w:val="00353276"/>
    <w:rsid w:val="00360458"/>
    <w:rsid w:val="00366980"/>
    <w:rsid w:val="00370A5D"/>
    <w:rsid w:val="003802E2"/>
    <w:rsid w:val="00385E95"/>
    <w:rsid w:val="00385FED"/>
    <w:rsid w:val="00397B7E"/>
    <w:rsid w:val="003A48A3"/>
    <w:rsid w:val="003A7269"/>
    <w:rsid w:val="003B015C"/>
    <w:rsid w:val="003B285A"/>
    <w:rsid w:val="003C0FB7"/>
    <w:rsid w:val="003C6D81"/>
    <w:rsid w:val="003D0F80"/>
    <w:rsid w:val="003D2595"/>
    <w:rsid w:val="003D6BFD"/>
    <w:rsid w:val="003E7083"/>
    <w:rsid w:val="003E7257"/>
    <w:rsid w:val="003F629F"/>
    <w:rsid w:val="00403717"/>
    <w:rsid w:val="00403938"/>
    <w:rsid w:val="00405AA9"/>
    <w:rsid w:val="0040692C"/>
    <w:rsid w:val="00413DA3"/>
    <w:rsid w:val="00414171"/>
    <w:rsid w:val="00416348"/>
    <w:rsid w:val="0041787F"/>
    <w:rsid w:val="00423450"/>
    <w:rsid w:val="0042702D"/>
    <w:rsid w:val="00435C81"/>
    <w:rsid w:val="0044060A"/>
    <w:rsid w:val="00440F72"/>
    <w:rsid w:val="00451F6F"/>
    <w:rsid w:val="004565AA"/>
    <w:rsid w:val="00456A2C"/>
    <w:rsid w:val="004630DC"/>
    <w:rsid w:val="00474AE0"/>
    <w:rsid w:val="0047796F"/>
    <w:rsid w:val="00482931"/>
    <w:rsid w:val="00487F95"/>
    <w:rsid w:val="00495574"/>
    <w:rsid w:val="004A44FF"/>
    <w:rsid w:val="004C2C5B"/>
    <w:rsid w:val="004E2D8F"/>
    <w:rsid w:val="004E5E61"/>
    <w:rsid w:val="004E78FE"/>
    <w:rsid w:val="004F1410"/>
    <w:rsid w:val="00500264"/>
    <w:rsid w:val="00501A4A"/>
    <w:rsid w:val="00510B1E"/>
    <w:rsid w:val="00511A06"/>
    <w:rsid w:val="005120A9"/>
    <w:rsid w:val="00517D7C"/>
    <w:rsid w:val="00520646"/>
    <w:rsid w:val="00520EAD"/>
    <w:rsid w:val="0052176F"/>
    <w:rsid w:val="0052604B"/>
    <w:rsid w:val="00526270"/>
    <w:rsid w:val="00527CE7"/>
    <w:rsid w:val="0053088D"/>
    <w:rsid w:val="00534BF6"/>
    <w:rsid w:val="00537CDE"/>
    <w:rsid w:val="005409FC"/>
    <w:rsid w:val="005563D3"/>
    <w:rsid w:val="00575F76"/>
    <w:rsid w:val="005766CE"/>
    <w:rsid w:val="00580F0E"/>
    <w:rsid w:val="00590D0D"/>
    <w:rsid w:val="00591388"/>
    <w:rsid w:val="0059358B"/>
    <w:rsid w:val="005944F9"/>
    <w:rsid w:val="00596428"/>
    <w:rsid w:val="00596CC5"/>
    <w:rsid w:val="005A4D1C"/>
    <w:rsid w:val="005B046D"/>
    <w:rsid w:val="005B0F86"/>
    <w:rsid w:val="005B33AE"/>
    <w:rsid w:val="005C49D7"/>
    <w:rsid w:val="005C60FB"/>
    <w:rsid w:val="005C7EF5"/>
    <w:rsid w:val="005D1C7F"/>
    <w:rsid w:val="005D2402"/>
    <w:rsid w:val="005D2BF6"/>
    <w:rsid w:val="005D3BC1"/>
    <w:rsid w:val="005E17A1"/>
    <w:rsid w:val="005E62DE"/>
    <w:rsid w:val="005E7C53"/>
    <w:rsid w:val="005F0356"/>
    <w:rsid w:val="005F4CE6"/>
    <w:rsid w:val="005F73BC"/>
    <w:rsid w:val="00600923"/>
    <w:rsid w:val="006053FC"/>
    <w:rsid w:val="006067C8"/>
    <w:rsid w:val="00612F3F"/>
    <w:rsid w:val="00620E68"/>
    <w:rsid w:val="00623637"/>
    <w:rsid w:val="006279C6"/>
    <w:rsid w:val="00632BB9"/>
    <w:rsid w:val="00635E23"/>
    <w:rsid w:val="00637115"/>
    <w:rsid w:val="00644F1D"/>
    <w:rsid w:val="00646B59"/>
    <w:rsid w:val="006604C2"/>
    <w:rsid w:val="006861F5"/>
    <w:rsid w:val="006971C7"/>
    <w:rsid w:val="00697FBB"/>
    <w:rsid w:val="006A6D5D"/>
    <w:rsid w:val="006B2085"/>
    <w:rsid w:val="006B21B8"/>
    <w:rsid w:val="006B7B58"/>
    <w:rsid w:val="006C36EB"/>
    <w:rsid w:val="006D4B15"/>
    <w:rsid w:val="006D59F7"/>
    <w:rsid w:val="006E5E07"/>
    <w:rsid w:val="006F0434"/>
    <w:rsid w:val="00701D12"/>
    <w:rsid w:val="0070239F"/>
    <w:rsid w:val="00720168"/>
    <w:rsid w:val="0072309C"/>
    <w:rsid w:val="00725477"/>
    <w:rsid w:val="0072695B"/>
    <w:rsid w:val="0074224C"/>
    <w:rsid w:val="00750A70"/>
    <w:rsid w:val="00752912"/>
    <w:rsid w:val="007556BE"/>
    <w:rsid w:val="007621CC"/>
    <w:rsid w:val="0076668A"/>
    <w:rsid w:val="00784C08"/>
    <w:rsid w:val="00785EDF"/>
    <w:rsid w:val="00786A29"/>
    <w:rsid w:val="0079349A"/>
    <w:rsid w:val="00795F59"/>
    <w:rsid w:val="007A5027"/>
    <w:rsid w:val="007C0A5B"/>
    <w:rsid w:val="007D0457"/>
    <w:rsid w:val="007D22AB"/>
    <w:rsid w:val="007E5E70"/>
    <w:rsid w:val="007E71E6"/>
    <w:rsid w:val="007F3BF4"/>
    <w:rsid w:val="007F5726"/>
    <w:rsid w:val="007F70B1"/>
    <w:rsid w:val="008168FB"/>
    <w:rsid w:val="00822BA6"/>
    <w:rsid w:val="0083304A"/>
    <w:rsid w:val="00834C2D"/>
    <w:rsid w:val="00834E21"/>
    <w:rsid w:val="00836227"/>
    <w:rsid w:val="008419E9"/>
    <w:rsid w:val="00842FE2"/>
    <w:rsid w:val="008470E8"/>
    <w:rsid w:val="008548FB"/>
    <w:rsid w:val="008623FD"/>
    <w:rsid w:val="00866774"/>
    <w:rsid w:val="00873B97"/>
    <w:rsid w:val="008A62AC"/>
    <w:rsid w:val="008B2206"/>
    <w:rsid w:val="008B592F"/>
    <w:rsid w:val="008C0302"/>
    <w:rsid w:val="008C255D"/>
    <w:rsid w:val="008D0843"/>
    <w:rsid w:val="008D3291"/>
    <w:rsid w:val="008D59AA"/>
    <w:rsid w:val="008D5D1C"/>
    <w:rsid w:val="008E145D"/>
    <w:rsid w:val="008E155E"/>
    <w:rsid w:val="008E2B56"/>
    <w:rsid w:val="008E69C8"/>
    <w:rsid w:val="008F543C"/>
    <w:rsid w:val="00900232"/>
    <w:rsid w:val="00900BAA"/>
    <w:rsid w:val="00903123"/>
    <w:rsid w:val="00903734"/>
    <w:rsid w:val="00903878"/>
    <w:rsid w:val="00903CF6"/>
    <w:rsid w:val="009052C7"/>
    <w:rsid w:val="00905FFA"/>
    <w:rsid w:val="0092017A"/>
    <w:rsid w:val="00922032"/>
    <w:rsid w:val="00925C23"/>
    <w:rsid w:val="00927E08"/>
    <w:rsid w:val="009303FA"/>
    <w:rsid w:val="00930DF8"/>
    <w:rsid w:val="00941F0C"/>
    <w:rsid w:val="00943004"/>
    <w:rsid w:val="00953807"/>
    <w:rsid w:val="00954705"/>
    <w:rsid w:val="00966A88"/>
    <w:rsid w:val="0097327B"/>
    <w:rsid w:val="00973A47"/>
    <w:rsid w:val="00974ECB"/>
    <w:rsid w:val="00981ED8"/>
    <w:rsid w:val="009822C7"/>
    <w:rsid w:val="00982AA3"/>
    <w:rsid w:val="009863EF"/>
    <w:rsid w:val="00986A41"/>
    <w:rsid w:val="0098719A"/>
    <w:rsid w:val="00991FF2"/>
    <w:rsid w:val="0099315B"/>
    <w:rsid w:val="00995DD9"/>
    <w:rsid w:val="009C1F02"/>
    <w:rsid w:val="009C3783"/>
    <w:rsid w:val="009C4E7E"/>
    <w:rsid w:val="009D51B9"/>
    <w:rsid w:val="009D6951"/>
    <w:rsid w:val="009D7DD1"/>
    <w:rsid w:val="009E0351"/>
    <w:rsid w:val="009E214B"/>
    <w:rsid w:val="009E2C86"/>
    <w:rsid w:val="009E38D1"/>
    <w:rsid w:val="009E53AF"/>
    <w:rsid w:val="009F0270"/>
    <w:rsid w:val="009F61FA"/>
    <w:rsid w:val="009F74F3"/>
    <w:rsid w:val="009F78EA"/>
    <w:rsid w:val="00A05796"/>
    <w:rsid w:val="00A13CB0"/>
    <w:rsid w:val="00A14FD8"/>
    <w:rsid w:val="00A22CA1"/>
    <w:rsid w:val="00A257E8"/>
    <w:rsid w:val="00A34CDF"/>
    <w:rsid w:val="00A36F05"/>
    <w:rsid w:val="00A401BE"/>
    <w:rsid w:val="00A4595D"/>
    <w:rsid w:val="00A45DFD"/>
    <w:rsid w:val="00A5107D"/>
    <w:rsid w:val="00A51146"/>
    <w:rsid w:val="00A60980"/>
    <w:rsid w:val="00A61D3A"/>
    <w:rsid w:val="00A6248C"/>
    <w:rsid w:val="00A66833"/>
    <w:rsid w:val="00A70DCF"/>
    <w:rsid w:val="00A72437"/>
    <w:rsid w:val="00A73FDF"/>
    <w:rsid w:val="00A824B9"/>
    <w:rsid w:val="00A870DD"/>
    <w:rsid w:val="00A96157"/>
    <w:rsid w:val="00A969AF"/>
    <w:rsid w:val="00A9703C"/>
    <w:rsid w:val="00A9729E"/>
    <w:rsid w:val="00AA1F69"/>
    <w:rsid w:val="00AB348F"/>
    <w:rsid w:val="00AB41CE"/>
    <w:rsid w:val="00AB7D36"/>
    <w:rsid w:val="00AC1390"/>
    <w:rsid w:val="00AC4663"/>
    <w:rsid w:val="00AD557E"/>
    <w:rsid w:val="00AE1DD2"/>
    <w:rsid w:val="00AE4106"/>
    <w:rsid w:val="00B12138"/>
    <w:rsid w:val="00B17749"/>
    <w:rsid w:val="00B17AE9"/>
    <w:rsid w:val="00B17C05"/>
    <w:rsid w:val="00B20334"/>
    <w:rsid w:val="00B20819"/>
    <w:rsid w:val="00B225B9"/>
    <w:rsid w:val="00B23235"/>
    <w:rsid w:val="00B2438D"/>
    <w:rsid w:val="00B24AB1"/>
    <w:rsid w:val="00B353BE"/>
    <w:rsid w:val="00B36BD9"/>
    <w:rsid w:val="00B41A4C"/>
    <w:rsid w:val="00B43095"/>
    <w:rsid w:val="00B446CA"/>
    <w:rsid w:val="00B5093C"/>
    <w:rsid w:val="00B54356"/>
    <w:rsid w:val="00B55FE5"/>
    <w:rsid w:val="00B5648F"/>
    <w:rsid w:val="00B56C10"/>
    <w:rsid w:val="00B62917"/>
    <w:rsid w:val="00B74609"/>
    <w:rsid w:val="00B752B2"/>
    <w:rsid w:val="00B80E39"/>
    <w:rsid w:val="00B824A5"/>
    <w:rsid w:val="00B83BEC"/>
    <w:rsid w:val="00B8588F"/>
    <w:rsid w:val="00B858F1"/>
    <w:rsid w:val="00B8684C"/>
    <w:rsid w:val="00B92C36"/>
    <w:rsid w:val="00BA3B1E"/>
    <w:rsid w:val="00BA5A2D"/>
    <w:rsid w:val="00BA5B8F"/>
    <w:rsid w:val="00BB2B54"/>
    <w:rsid w:val="00BB7553"/>
    <w:rsid w:val="00BC3CA1"/>
    <w:rsid w:val="00BC49E5"/>
    <w:rsid w:val="00BC6DB1"/>
    <w:rsid w:val="00BD17A4"/>
    <w:rsid w:val="00BD3194"/>
    <w:rsid w:val="00BD5FA8"/>
    <w:rsid w:val="00BE23E5"/>
    <w:rsid w:val="00BE31E6"/>
    <w:rsid w:val="00BF2FBC"/>
    <w:rsid w:val="00BF757E"/>
    <w:rsid w:val="00BF7C0E"/>
    <w:rsid w:val="00BF7F5A"/>
    <w:rsid w:val="00C07F8F"/>
    <w:rsid w:val="00C17719"/>
    <w:rsid w:val="00C20730"/>
    <w:rsid w:val="00C2470A"/>
    <w:rsid w:val="00C335D8"/>
    <w:rsid w:val="00C47DAF"/>
    <w:rsid w:val="00C50E12"/>
    <w:rsid w:val="00C54491"/>
    <w:rsid w:val="00C620FB"/>
    <w:rsid w:val="00C70339"/>
    <w:rsid w:val="00C71B43"/>
    <w:rsid w:val="00C734B4"/>
    <w:rsid w:val="00C74D8F"/>
    <w:rsid w:val="00C751A9"/>
    <w:rsid w:val="00C766DD"/>
    <w:rsid w:val="00C7687E"/>
    <w:rsid w:val="00C76BDF"/>
    <w:rsid w:val="00C775CE"/>
    <w:rsid w:val="00C8030E"/>
    <w:rsid w:val="00C91697"/>
    <w:rsid w:val="00C92EAA"/>
    <w:rsid w:val="00CA148F"/>
    <w:rsid w:val="00CA29F9"/>
    <w:rsid w:val="00CB507B"/>
    <w:rsid w:val="00CB6B73"/>
    <w:rsid w:val="00CC0C68"/>
    <w:rsid w:val="00CC218D"/>
    <w:rsid w:val="00CC6334"/>
    <w:rsid w:val="00CC677A"/>
    <w:rsid w:val="00CD008E"/>
    <w:rsid w:val="00CD6EDC"/>
    <w:rsid w:val="00CE133C"/>
    <w:rsid w:val="00CE2D1F"/>
    <w:rsid w:val="00CE5B40"/>
    <w:rsid w:val="00CF1561"/>
    <w:rsid w:val="00CF1A40"/>
    <w:rsid w:val="00CF36EF"/>
    <w:rsid w:val="00CF4AE2"/>
    <w:rsid w:val="00D1110F"/>
    <w:rsid w:val="00D135B9"/>
    <w:rsid w:val="00D15B10"/>
    <w:rsid w:val="00D17143"/>
    <w:rsid w:val="00D23E20"/>
    <w:rsid w:val="00D24528"/>
    <w:rsid w:val="00D3021D"/>
    <w:rsid w:val="00D30FA6"/>
    <w:rsid w:val="00D32842"/>
    <w:rsid w:val="00D37BF6"/>
    <w:rsid w:val="00D407EB"/>
    <w:rsid w:val="00D421A9"/>
    <w:rsid w:val="00D454AB"/>
    <w:rsid w:val="00D465F9"/>
    <w:rsid w:val="00D536AB"/>
    <w:rsid w:val="00D54E0C"/>
    <w:rsid w:val="00D5537A"/>
    <w:rsid w:val="00D628DF"/>
    <w:rsid w:val="00D64109"/>
    <w:rsid w:val="00D70B8D"/>
    <w:rsid w:val="00D71136"/>
    <w:rsid w:val="00D7755A"/>
    <w:rsid w:val="00D77F36"/>
    <w:rsid w:val="00D802FD"/>
    <w:rsid w:val="00D80B60"/>
    <w:rsid w:val="00D86BC2"/>
    <w:rsid w:val="00D9057D"/>
    <w:rsid w:val="00DA026E"/>
    <w:rsid w:val="00DA576E"/>
    <w:rsid w:val="00DB0A86"/>
    <w:rsid w:val="00DB57B7"/>
    <w:rsid w:val="00DC33CF"/>
    <w:rsid w:val="00DC3415"/>
    <w:rsid w:val="00DD3DE6"/>
    <w:rsid w:val="00DE4534"/>
    <w:rsid w:val="00DE49AC"/>
    <w:rsid w:val="00DF333A"/>
    <w:rsid w:val="00DF3D3A"/>
    <w:rsid w:val="00DF4228"/>
    <w:rsid w:val="00E01B96"/>
    <w:rsid w:val="00E06670"/>
    <w:rsid w:val="00E178EE"/>
    <w:rsid w:val="00E253F2"/>
    <w:rsid w:val="00E47752"/>
    <w:rsid w:val="00E53030"/>
    <w:rsid w:val="00E56652"/>
    <w:rsid w:val="00E6020F"/>
    <w:rsid w:val="00E621B8"/>
    <w:rsid w:val="00E62C9E"/>
    <w:rsid w:val="00E63369"/>
    <w:rsid w:val="00E63569"/>
    <w:rsid w:val="00E7029C"/>
    <w:rsid w:val="00E73DB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A7477"/>
    <w:rsid w:val="00EB505A"/>
    <w:rsid w:val="00EC0483"/>
    <w:rsid w:val="00EC33A4"/>
    <w:rsid w:val="00EC3B3E"/>
    <w:rsid w:val="00ED0897"/>
    <w:rsid w:val="00ED14D0"/>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27FD8"/>
    <w:rsid w:val="00F3226A"/>
    <w:rsid w:val="00F33DB0"/>
    <w:rsid w:val="00F36222"/>
    <w:rsid w:val="00F41A41"/>
    <w:rsid w:val="00F45DB8"/>
    <w:rsid w:val="00F54D29"/>
    <w:rsid w:val="00F57DFB"/>
    <w:rsid w:val="00F62BCD"/>
    <w:rsid w:val="00F74B77"/>
    <w:rsid w:val="00F764FE"/>
    <w:rsid w:val="00F80625"/>
    <w:rsid w:val="00F8121D"/>
    <w:rsid w:val="00F827B6"/>
    <w:rsid w:val="00F86265"/>
    <w:rsid w:val="00F92BE5"/>
    <w:rsid w:val="00FA0574"/>
    <w:rsid w:val="00FB68D3"/>
    <w:rsid w:val="00FC4B75"/>
    <w:rsid w:val="00FD1063"/>
    <w:rsid w:val="00FD2B3B"/>
    <w:rsid w:val="00FE002F"/>
    <w:rsid w:val="00FE7554"/>
    <w:rsid w:val="00FF17FE"/>
    <w:rsid w:val="00FF2687"/>
    <w:rsid w:val="00FF585E"/>
    <w:rsid w:val="05555ACE"/>
    <w:rsid w:val="12A45495"/>
    <w:rsid w:val="1469269F"/>
    <w:rsid w:val="153B44F3"/>
    <w:rsid w:val="1D580012"/>
    <w:rsid w:val="21383137"/>
    <w:rsid w:val="2F5E5F1A"/>
    <w:rsid w:val="31DA69E5"/>
    <w:rsid w:val="34C97A2C"/>
    <w:rsid w:val="36E16BC6"/>
    <w:rsid w:val="37D14BAC"/>
    <w:rsid w:val="37ED3C8A"/>
    <w:rsid w:val="3BB51678"/>
    <w:rsid w:val="42200080"/>
    <w:rsid w:val="48272AF9"/>
    <w:rsid w:val="488C513A"/>
    <w:rsid w:val="51084EE8"/>
    <w:rsid w:val="546F6583"/>
    <w:rsid w:val="55505D69"/>
    <w:rsid w:val="5D0E6F09"/>
    <w:rsid w:val="60B24E81"/>
    <w:rsid w:val="60EA0710"/>
    <w:rsid w:val="6DCD07BE"/>
    <w:rsid w:val="77A172FF"/>
    <w:rsid w:val="7A3060B8"/>
    <w:rsid w:val="7B4707E1"/>
    <w:rsid w:val="7D89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26"/>
    <w:qFormat/>
    <w:uiPriority w:val="9"/>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27"/>
    <w:qFormat/>
    <w:uiPriority w:val="0"/>
    <w:pPr>
      <w:keepNext/>
      <w:keepLines/>
      <w:spacing w:before="260" w:after="260" w:line="416" w:lineRule="auto"/>
      <w:outlineLvl w:val="2"/>
    </w:pPr>
    <w:rPr>
      <w:b/>
      <w:bCs/>
      <w:sz w:val="30"/>
      <w:szCs w:val="30"/>
      <w:lang w:val="zh-CN"/>
    </w:rPr>
  </w:style>
  <w:style w:type="paragraph" w:styleId="6">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29"/>
    <w:qFormat/>
    <w:uiPriority w:val="0"/>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31"/>
    <w:qFormat/>
    <w:uiPriority w:val="0"/>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12">
    <w:name w:val="Normal Indent"/>
    <w:basedOn w:val="1"/>
    <w:link w:val="34"/>
    <w:qFormat/>
    <w:uiPriority w:val="99"/>
    <w:pPr>
      <w:spacing w:beforeLines="50" w:line="360" w:lineRule="auto"/>
      <w:ind w:firstLine="512" w:firstLineChars="200"/>
    </w:pPr>
    <w:rPr>
      <w:spacing w:val="8"/>
      <w:sz w:val="24"/>
      <w:szCs w:val="20"/>
    </w:rPr>
  </w:style>
  <w:style w:type="paragraph" w:styleId="13">
    <w:name w:val="annotation text"/>
    <w:basedOn w:val="1"/>
    <w:link w:val="35"/>
    <w:unhideWhenUsed/>
    <w:qFormat/>
    <w:uiPriority w:val="0"/>
    <w:pPr>
      <w:jc w:val="left"/>
    </w:pPr>
    <w:rPr>
      <w:kern w:val="0"/>
      <w:sz w:val="20"/>
      <w:lang w:val="zh-CN"/>
    </w:rPr>
  </w:style>
  <w:style w:type="paragraph" w:styleId="14">
    <w:name w:val="Plain Text"/>
    <w:basedOn w:val="1"/>
    <w:link w:val="36"/>
    <w:uiPriority w:val="0"/>
    <w:rPr>
      <w:rFonts w:ascii="Calibri" w:hAnsi="Courier New"/>
      <w:szCs w:val="20"/>
      <w:lang w:val="zh-CN"/>
    </w:rPr>
  </w:style>
  <w:style w:type="paragraph" w:styleId="15">
    <w:name w:val="Balloon Text"/>
    <w:basedOn w:val="1"/>
    <w:link w:val="37"/>
    <w:qFormat/>
    <w:uiPriority w:val="0"/>
    <w:rPr>
      <w:sz w:val="18"/>
      <w:szCs w:val="18"/>
      <w:lang w:val="zh-CN"/>
    </w:rPr>
  </w:style>
  <w:style w:type="paragraph" w:styleId="16">
    <w:name w:val="footer"/>
    <w:basedOn w:val="1"/>
    <w:link w:val="38"/>
    <w:qFormat/>
    <w:uiPriority w:val="0"/>
    <w:pPr>
      <w:tabs>
        <w:tab w:val="center" w:pos="4153"/>
        <w:tab w:val="right" w:pos="8306"/>
      </w:tabs>
      <w:snapToGrid w:val="0"/>
      <w:jc w:val="left"/>
    </w:pPr>
    <w:rPr>
      <w:sz w:val="18"/>
      <w:szCs w:val="18"/>
      <w:lang w:val="zh-CN"/>
    </w:rPr>
  </w:style>
  <w:style w:type="paragraph" w:styleId="17">
    <w:name w:val="header"/>
    <w:basedOn w:val="1"/>
    <w:link w:val="39"/>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Subtitle"/>
    <w:basedOn w:val="1"/>
    <w:next w:val="1"/>
    <w:link w:val="64"/>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Char"/>
    <w:link w:val="3"/>
    <w:qFormat/>
    <w:uiPriority w:val="0"/>
    <w:rPr>
      <w:b/>
      <w:bCs/>
      <w:kern w:val="44"/>
      <w:sz w:val="44"/>
      <w:szCs w:val="44"/>
      <w:lang w:val="zh-CN" w:eastAsia="zh-CN"/>
    </w:rPr>
  </w:style>
  <w:style w:type="character" w:customStyle="1" w:styleId="26">
    <w:name w:val="标题 2 Char"/>
    <w:link w:val="4"/>
    <w:qFormat/>
    <w:uiPriority w:val="0"/>
    <w:rPr>
      <w:rFonts w:ascii="等线 Light" w:hAnsi="等线 Light" w:eastAsia="等线 Light" w:cs="Times New Roman"/>
      <w:b/>
      <w:bCs/>
      <w:kern w:val="2"/>
      <w:sz w:val="32"/>
      <w:szCs w:val="32"/>
    </w:rPr>
  </w:style>
  <w:style w:type="character" w:customStyle="1" w:styleId="27">
    <w:name w:val="标题 3 Char"/>
    <w:link w:val="5"/>
    <w:qFormat/>
    <w:uiPriority w:val="0"/>
    <w:rPr>
      <w:b/>
      <w:bCs/>
      <w:kern w:val="2"/>
      <w:sz w:val="30"/>
      <w:szCs w:val="30"/>
    </w:rPr>
  </w:style>
  <w:style w:type="character" w:customStyle="1" w:styleId="28">
    <w:name w:val="标题 4 Char"/>
    <w:link w:val="6"/>
    <w:qFormat/>
    <w:uiPriority w:val="0"/>
    <w:rPr>
      <w:rFonts w:ascii="宋体" w:hAnsi="宋体"/>
      <w:b/>
      <w:bCs/>
      <w:kern w:val="2"/>
      <w:sz w:val="28"/>
      <w:szCs w:val="28"/>
    </w:rPr>
  </w:style>
  <w:style w:type="character" w:customStyle="1" w:styleId="29">
    <w:name w:val="标题 5 Char"/>
    <w:link w:val="7"/>
    <w:qFormat/>
    <w:uiPriority w:val="0"/>
    <w:rPr>
      <w:b/>
      <w:bCs/>
      <w:kern w:val="2"/>
      <w:sz w:val="28"/>
      <w:szCs w:val="28"/>
    </w:rPr>
  </w:style>
  <w:style w:type="character" w:customStyle="1" w:styleId="30">
    <w:name w:val="标题 6 Char"/>
    <w:link w:val="8"/>
    <w:semiHidden/>
    <w:qFormat/>
    <w:uiPriority w:val="0"/>
    <w:rPr>
      <w:rFonts w:ascii="等线 Light" w:hAnsi="等线 Light" w:eastAsia="等线 Light"/>
      <w:b/>
      <w:bCs/>
      <w:kern w:val="2"/>
      <w:sz w:val="24"/>
      <w:szCs w:val="24"/>
    </w:rPr>
  </w:style>
  <w:style w:type="character" w:customStyle="1" w:styleId="31">
    <w:name w:val="标题 7 Char"/>
    <w:link w:val="9"/>
    <w:semiHidden/>
    <w:qFormat/>
    <w:uiPriority w:val="0"/>
    <w:rPr>
      <w:b/>
      <w:bCs/>
      <w:kern w:val="2"/>
      <w:sz w:val="24"/>
      <w:szCs w:val="24"/>
    </w:rPr>
  </w:style>
  <w:style w:type="character" w:customStyle="1" w:styleId="32">
    <w:name w:val="标题 8 Char"/>
    <w:link w:val="10"/>
    <w:semiHidden/>
    <w:qFormat/>
    <w:uiPriority w:val="0"/>
    <w:rPr>
      <w:rFonts w:ascii="等线 Light" w:hAnsi="等线 Light" w:eastAsia="等线 Light"/>
      <w:kern w:val="2"/>
      <w:sz w:val="24"/>
      <w:szCs w:val="24"/>
    </w:rPr>
  </w:style>
  <w:style w:type="character" w:customStyle="1" w:styleId="33">
    <w:name w:val="标题 9 Char"/>
    <w:link w:val="11"/>
    <w:semiHidden/>
    <w:qFormat/>
    <w:uiPriority w:val="0"/>
    <w:rPr>
      <w:rFonts w:ascii="等线 Light" w:hAnsi="等线 Light" w:eastAsia="等线 Light"/>
      <w:kern w:val="2"/>
      <w:sz w:val="21"/>
      <w:szCs w:val="21"/>
    </w:rPr>
  </w:style>
  <w:style w:type="character" w:customStyle="1" w:styleId="34">
    <w:name w:val="正文缩进 Char"/>
    <w:link w:val="12"/>
    <w:qFormat/>
    <w:uiPriority w:val="99"/>
    <w:rPr>
      <w:spacing w:val="8"/>
      <w:kern w:val="2"/>
      <w:sz w:val="24"/>
      <w:lang w:val="en-US" w:eastAsia="zh-CN"/>
    </w:rPr>
  </w:style>
  <w:style w:type="character" w:customStyle="1" w:styleId="35">
    <w:name w:val="批注文字 Char"/>
    <w:link w:val="13"/>
    <w:qFormat/>
    <w:uiPriority w:val="0"/>
    <w:rPr>
      <w:szCs w:val="24"/>
    </w:rPr>
  </w:style>
  <w:style w:type="character" w:customStyle="1" w:styleId="36">
    <w:name w:val="纯文本 Char"/>
    <w:link w:val="14"/>
    <w:qFormat/>
    <w:uiPriority w:val="0"/>
    <w:rPr>
      <w:rFonts w:ascii="Calibri" w:hAnsi="Courier New"/>
      <w:kern w:val="2"/>
      <w:sz w:val="21"/>
    </w:rPr>
  </w:style>
  <w:style w:type="character" w:customStyle="1" w:styleId="37">
    <w:name w:val="批注框文本 Char"/>
    <w:link w:val="15"/>
    <w:qFormat/>
    <w:uiPriority w:val="0"/>
    <w:rPr>
      <w:kern w:val="2"/>
      <w:sz w:val="18"/>
      <w:szCs w:val="18"/>
    </w:rPr>
  </w:style>
  <w:style w:type="character" w:customStyle="1" w:styleId="38">
    <w:name w:val="页脚 Char"/>
    <w:link w:val="16"/>
    <w:qFormat/>
    <w:uiPriority w:val="0"/>
    <w:rPr>
      <w:kern w:val="2"/>
      <w:sz w:val="18"/>
      <w:szCs w:val="18"/>
    </w:rPr>
  </w:style>
  <w:style w:type="character" w:customStyle="1" w:styleId="39">
    <w:name w:val="页眉 Char"/>
    <w:link w:val="17"/>
    <w:qFormat/>
    <w:uiPriority w:val="0"/>
    <w:rPr>
      <w:kern w:val="2"/>
      <w:sz w:val="18"/>
      <w:szCs w:val="18"/>
    </w:rPr>
  </w:style>
  <w:style w:type="character" w:customStyle="1" w:styleId="40">
    <w:name w:val="已访问的超链接1"/>
    <w:qFormat/>
    <w:uiPriority w:val="0"/>
    <w:rPr>
      <w:color w:val="800080"/>
      <w:u w:val="single"/>
    </w:rPr>
  </w:style>
  <w:style w:type="character" w:customStyle="1" w:styleId="41">
    <w:name w:val="正文（首行缩进2字符） Char"/>
    <w:link w:val="42"/>
    <w:qFormat/>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rPr>
  </w:style>
  <w:style w:type="character" w:customStyle="1" w:styleId="43">
    <w:name w:val="段落 Char1"/>
    <w:link w:val="44"/>
    <w:qFormat/>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qFormat/>
    <w:uiPriority w:val="99"/>
  </w:style>
  <w:style w:type="character" w:customStyle="1" w:styleId="48">
    <w:name w:val="列出段落 Char"/>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lang w:val="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4"/>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6"/>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5"/>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3"/>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Char"/>
    <w:link w:val="18"/>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package" Target="embeddings/Document1.doc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6977</Words>
  <Characters>7576</Characters>
  <Lines>56</Lines>
  <Paragraphs>15</Paragraphs>
  <TotalTime>10</TotalTime>
  <ScaleCrop>false</ScaleCrop>
  <LinksUpToDate>false</LinksUpToDate>
  <CharactersWithSpaces>7617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2023-03-14T04:34:00Z</dcterms:created>
  <dc:creator>陈永辉</dc:creator>
  <cp:lastModifiedBy>Administrator</cp:lastModifiedBy>
  <dcterms:modified xsi:type="dcterms:W3CDTF">2023-03-14T12:22:24Z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80BA1A2B7200403F98AE0006F96632B7</vt:lpwstr>
  </property>
</Properties>
</file>