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200" w:afterLines="100" w:line="360" w:lineRule="auto"/>
        <w:jc w:val="center"/>
        <w:rPr>
          <w:rFonts w:ascii="宋体" w:hAnsi="宋体"/>
          <w:b/>
          <w:sz w:val="44"/>
          <w:szCs w:val="30"/>
          <w:highlight w:val="none"/>
        </w:rPr>
      </w:pPr>
      <w:r>
        <w:rPr>
          <w:rFonts w:hint="eastAsia" w:ascii="宋体" w:hAnsi="宋体"/>
          <w:b/>
          <w:sz w:val="44"/>
          <w:szCs w:val="30"/>
          <w:highlight w:val="none"/>
        </w:rPr>
        <w:t>文件安全摆渡系统采购项目(2023年)需求</w:t>
      </w:r>
    </w:p>
    <w:p>
      <w:pPr>
        <w:pStyle w:val="2"/>
        <w:numPr>
          <w:ilvl w:val="0"/>
          <w:numId w:val="3"/>
        </w:numPr>
        <w:spacing w:before="0" w:after="0"/>
        <w:rPr>
          <w:rFonts w:ascii="宋体" w:hAnsi="宋体"/>
          <w:sz w:val="32"/>
          <w:szCs w:val="32"/>
          <w:highlight w:val="none"/>
        </w:rPr>
      </w:pPr>
      <w:r>
        <w:rPr>
          <w:rFonts w:hint="eastAsia" w:ascii="宋体" w:hAnsi="宋体"/>
          <w:sz w:val="32"/>
          <w:szCs w:val="32"/>
          <w:highlight w:val="none"/>
        </w:rPr>
        <w:t>项目名称</w:t>
      </w:r>
    </w:p>
    <w:p>
      <w:pPr>
        <w:spacing w:line="360" w:lineRule="auto"/>
        <w:ind w:left="432"/>
        <w:rPr>
          <w:rFonts w:ascii="宋体" w:hAnsi="宋体"/>
          <w:sz w:val="22"/>
          <w:highlight w:val="none"/>
        </w:rPr>
      </w:pPr>
      <w:r>
        <w:rPr>
          <w:rFonts w:hint="eastAsia" w:ascii="宋体" w:hAnsi="宋体"/>
          <w:sz w:val="22"/>
          <w:highlight w:val="none"/>
        </w:rPr>
        <w:t>项目名称：文件安全摆渡系统采购项目(2023年)</w:t>
      </w:r>
    </w:p>
    <w:p>
      <w:pPr>
        <w:pStyle w:val="2"/>
        <w:numPr>
          <w:ilvl w:val="0"/>
          <w:numId w:val="3"/>
        </w:numPr>
        <w:spacing w:before="0" w:after="0"/>
        <w:rPr>
          <w:rFonts w:ascii="宋体" w:hAnsi="宋体"/>
          <w:sz w:val="32"/>
          <w:szCs w:val="32"/>
          <w:highlight w:val="none"/>
        </w:rPr>
      </w:pPr>
      <w:r>
        <w:rPr>
          <w:rFonts w:hint="eastAsia" w:ascii="宋体" w:hAnsi="宋体"/>
          <w:sz w:val="32"/>
          <w:szCs w:val="32"/>
          <w:highlight w:val="none"/>
        </w:rPr>
        <w:t>建设内容</w:t>
      </w:r>
    </w:p>
    <w:p>
      <w:pPr>
        <w:pStyle w:val="48"/>
        <w:numPr>
          <w:ilvl w:val="0"/>
          <w:numId w:val="4"/>
        </w:numPr>
        <w:ind w:firstLineChars="0"/>
        <w:rPr>
          <w:rFonts w:ascii="宋体" w:hAnsi="宋体" w:eastAsia="宋体"/>
          <w:highlight w:val="none"/>
        </w:rPr>
      </w:pPr>
      <w:r>
        <w:rPr>
          <w:rFonts w:hint="eastAsia" w:ascii="宋体" w:hAnsi="宋体" w:eastAsia="宋体"/>
          <w:highlight w:val="none"/>
        </w:rPr>
        <w:t>需求内容如下：</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4"/>
        <w:gridCol w:w="2126"/>
        <w:gridCol w:w="851"/>
        <w:gridCol w:w="53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Pr>
          <w:p>
            <w:pPr>
              <w:spacing w:line="360" w:lineRule="auto"/>
              <w:jc w:val="center"/>
              <w:rPr>
                <w:rFonts w:ascii="宋体" w:hAnsi="宋体"/>
                <w:highlight w:val="none"/>
              </w:rPr>
            </w:pPr>
            <w:r>
              <w:rPr>
                <w:rFonts w:hint="eastAsia" w:ascii="宋体" w:hAnsi="宋体"/>
                <w:highlight w:val="none"/>
              </w:rPr>
              <w:t>序号</w:t>
            </w:r>
          </w:p>
        </w:tc>
        <w:tc>
          <w:tcPr>
            <w:tcW w:w="2126" w:type="dxa"/>
          </w:tcPr>
          <w:p>
            <w:pPr>
              <w:spacing w:line="360" w:lineRule="auto"/>
              <w:jc w:val="center"/>
              <w:rPr>
                <w:rFonts w:ascii="宋体" w:hAnsi="宋体"/>
                <w:highlight w:val="none"/>
              </w:rPr>
            </w:pPr>
            <w:r>
              <w:rPr>
                <w:rFonts w:hint="eastAsia" w:ascii="宋体" w:hAnsi="宋体"/>
                <w:highlight w:val="none"/>
              </w:rPr>
              <w:t>设备名称</w:t>
            </w:r>
          </w:p>
        </w:tc>
        <w:tc>
          <w:tcPr>
            <w:tcW w:w="851" w:type="dxa"/>
          </w:tcPr>
          <w:p>
            <w:pPr>
              <w:spacing w:line="360" w:lineRule="auto"/>
              <w:jc w:val="center"/>
              <w:rPr>
                <w:rFonts w:ascii="宋体" w:hAnsi="宋体"/>
                <w:highlight w:val="none"/>
              </w:rPr>
            </w:pPr>
            <w:r>
              <w:rPr>
                <w:rFonts w:hint="eastAsia" w:ascii="宋体" w:hAnsi="宋体"/>
                <w:highlight w:val="none"/>
              </w:rPr>
              <w:t>数量</w:t>
            </w:r>
          </w:p>
        </w:tc>
        <w:tc>
          <w:tcPr>
            <w:tcW w:w="5379" w:type="dxa"/>
          </w:tcPr>
          <w:p>
            <w:pPr>
              <w:spacing w:line="360" w:lineRule="auto"/>
              <w:jc w:val="center"/>
              <w:rPr>
                <w:rFonts w:ascii="宋体" w:hAnsi="宋体"/>
                <w:highlight w:val="none"/>
              </w:rPr>
            </w:pPr>
            <w:r>
              <w:rPr>
                <w:rFonts w:hint="eastAsia" w:ascii="宋体" w:hAnsi="宋体"/>
                <w:highlight w:val="none"/>
              </w:rPr>
              <w:t>设备参数描述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Align w:val="center"/>
          </w:tcPr>
          <w:p>
            <w:pPr>
              <w:spacing w:line="360" w:lineRule="auto"/>
              <w:jc w:val="center"/>
              <w:rPr>
                <w:rFonts w:ascii="宋体" w:hAnsi="宋体"/>
                <w:highlight w:val="none"/>
              </w:rPr>
            </w:pPr>
            <w:r>
              <w:rPr>
                <w:rFonts w:ascii="宋体" w:hAnsi="宋体"/>
                <w:highlight w:val="none"/>
              </w:rPr>
              <w:t>1</w:t>
            </w:r>
          </w:p>
        </w:tc>
        <w:tc>
          <w:tcPr>
            <w:tcW w:w="2126" w:type="dxa"/>
            <w:vAlign w:val="center"/>
          </w:tcPr>
          <w:p>
            <w:pPr>
              <w:spacing w:line="360" w:lineRule="auto"/>
              <w:jc w:val="center"/>
              <w:rPr>
                <w:rFonts w:ascii="宋体" w:hAnsi="宋体"/>
                <w:highlight w:val="none"/>
              </w:rPr>
            </w:pPr>
            <w:r>
              <w:rPr>
                <w:rFonts w:hint="eastAsia" w:ascii="宋体" w:hAnsi="宋体"/>
                <w:highlight w:val="none"/>
              </w:rPr>
              <w:t>文件安全摆渡系统</w:t>
            </w:r>
          </w:p>
        </w:tc>
        <w:tc>
          <w:tcPr>
            <w:tcW w:w="851" w:type="dxa"/>
            <w:vAlign w:val="center"/>
          </w:tcPr>
          <w:p>
            <w:pPr>
              <w:spacing w:line="360" w:lineRule="auto"/>
              <w:jc w:val="center"/>
              <w:rPr>
                <w:rFonts w:ascii="宋体" w:hAnsi="宋体"/>
                <w:highlight w:val="none"/>
              </w:rPr>
            </w:pPr>
            <w:r>
              <w:rPr>
                <w:rFonts w:hint="eastAsia" w:ascii="宋体" w:hAnsi="宋体"/>
                <w:highlight w:val="none"/>
              </w:rPr>
              <w:t>1台</w:t>
            </w:r>
          </w:p>
        </w:tc>
        <w:tc>
          <w:tcPr>
            <w:tcW w:w="5379" w:type="dxa"/>
            <w:vAlign w:val="center"/>
          </w:tcPr>
          <w:p>
            <w:pPr>
              <w:spacing w:line="360" w:lineRule="auto"/>
              <w:rPr>
                <w:rFonts w:hint="eastAsia" w:ascii="宋体" w:hAnsi="宋体"/>
                <w:highlight w:val="none"/>
              </w:rPr>
            </w:pPr>
            <w:r>
              <w:rPr>
                <w:rFonts w:hint="eastAsia" w:ascii="宋体" w:hAnsi="宋体"/>
                <w:highlight w:val="none"/>
              </w:rPr>
              <w:t>冗余电源，不少于</w:t>
            </w:r>
            <w:r>
              <w:rPr>
                <w:rFonts w:ascii="宋体" w:hAnsi="宋体"/>
                <w:highlight w:val="none"/>
              </w:rPr>
              <w:t>2</w:t>
            </w:r>
            <w:r>
              <w:rPr>
                <w:rFonts w:hint="eastAsia" w:ascii="宋体" w:hAnsi="宋体"/>
                <w:highlight w:val="none"/>
              </w:rPr>
              <w:t>个千兆网口，不少于2个万兆光口，并发用户数不少于200个、注册用户数不限，支持隔离网络数不少于</w:t>
            </w:r>
            <w:r>
              <w:rPr>
                <w:rFonts w:ascii="宋体" w:hAnsi="宋体"/>
                <w:highlight w:val="none"/>
              </w:rPr>
              <w:t>4</w:t>
            </w:r>
            <w:r>
              <w:rPr>
                <w:rFonts w:hint="eastAsia" w:ascii="宋体" w:hAnsi="宋体"/>
                <w:highlight w:val="none"/>
              </w:rPr>
              <w:t>个、存储容量不少于960SSD+</w:t>
            </w:r>
            <w:r>
              <w:rPr>
                <w:rFonts w:ascii="宋体" w:hAnsi="宋体"/>
                <w:highlight w:val="none"/>
              </w:rPr>
              <w:t>12</w:t>
            </w:r>
            <w:r>
              <w:rPr>
                <w:rFonts w:hint="eastAsia" w:ascii="宋体" w:hAnsi="宋体"/>
                <w:highlight w:val="none"/>
              </w:rPr>
              <w:t>TBHDD，提供三年企业级病毒特征库升级及软、硬件维保服务。</w:t>
            </w:r>
          </w:p>
          <w:p>
            <w:pPr>
              <w:spacing w:line="360" w:lineRule="auto"/>
              <w:rPr>
                <w:rFonts w:hint="eastAsia" w:ascii="宋体" w:hAnsi="宋体"/>
                <w:highlight w:val="none"/>
                <w:lang w:val="en-US" w:eastAsia="zh-CN"/>
              </w:rPr>
            </w:pPr>
            <w:r>
              <w:rPr>
                <w:rFonts w:hint="eastAsia" w:ascii="宋体" w:hAnsi="宋体"/>
                <w:highlight w:val="none"/>
                <w:lang w:val="en-US" w:eastAsia="zh-CN"/>
              </w:rPr>
              <w:t>必须具备以下功能点：</w:t>
            </w:r>
          </w:p>
          <w:p>
            <w:pPr>
              <w:numPr>
                <w:ilvl w:val="0"/>
                <w:numId w:val="5"/>
              </w:numPr>
              <w:spacing w:line="360" w:lineRule="auto"/>
              <w:rPr>
                <w:rFonts w:hint="eastAsia" w:ascii="宋体" w:hAnsi="宋体"/>
                <w:highlight w:val="none"/>
                <w:lang w:val="en-US" w:eastAsia="zh-CN"/>
              </w:rPr>
            </w:pPr>
            <w:r>
              <w:rPr>
                <w:rFonts w:hint="eastAsia" w:ascii="宋体" w:hAnsi="宋体"/>
                <w:highlight w:val="none"/>
                <w:lang w:val="en-US" w:eastAsia="zh-CN"/>
              </w:rPr>
              <w:t>网路隔离区域文件摆渡；</w:t>
            </w:r>
          </w:p>
          <w:p>
            <w:pPr>
              <w:numPr>
                <w:ilvl w:val="0"/>
                <w:numId w:val="5"/>
              </w:numPr>
              <w:spacing w:line="360" w:lineRule="auto"/>
              <w:rPr>
                <w:rFonts w:hint="eastAsia" w:ascii="宋体" w:hAnsi="宋体"/>
                <w:highlight w:val="none"/>
                <w:lang w:val="en-US" w:eastAsia="zh-CN"/>
              </w:rPr>
            </w:pPr>
            <w:r>
              <w:rPr>
                <w:rFonts w:hint="eastAsia" w:ascii="宋体" w:hAnsi="宋体"/>
                <w:highlight w:val="none"/>
                <w:lang w:val="en-US" w:eastAsia="zh-CN"/>
              </w:rPr>
              <w:t>分级审批；</w:t>
            </w:r>
          </w:p>
          <w:p>
            <w:pPr>
              <w:numPr>
                <w:ilvl w:val="0"/>
                <w:numId w:val="5"/>
              </w:numPr>
              <w:spacing w:line="360" w:lineRule="auto"/>
              <w:rPr>
                <w:rFonts w:hint="eastAsia" w:ascii="宋体" w:hAnsi="宋体"/>
                <w:highlight w:val="none"/>
                <w:lang w:val="en-US" w:eastAsia="zh-CN"/>
              </w:rPr>
            </w:pPr>
            <w:r>
              <w:rPr>
                <w:rFonts w:hint="eastAsia" w:ascii="宋体" w:hAnsi="宋体"/>
                <w:highlight w:val="none"/>
                <w:lang w:val="en-US" w:eastAsia="zh-CN"/>
              </w:rPr>
              <w:t>操作记录审计功能；</w:t>
            </w:r>
            <w:bookmarkStart w:id="1" w:name="_GoBack"/>
            <w:bookmarkEnd w:id="1"/>
          </w:p>
          <w:p>
            <w:pPr>
              <w:numPr>
                <w:ilvl w:val="0"/>
                <w:numId w:val="5"/>
              </w:numPr>
              <w:spacing w:line="360" w:lineRule="auto"/>
              <w:rPr>
                <w:rFonts w:hint="eastAsia" w:ascii="宋体" w:hAnsi="宋体"/>
                <w:highlight w:val="none"/>
                <w:lang w:val="en-US" w:eastAsia="zh-CN"/>
              </w:rPr>
            </w:pPr>
            <w:r>
              <w:rPr>
                <w:rFonts w:hint="eastAsia" w:ascii="宋体" w:hAnsi="宋体"/>
                <w:highlight w:val="none"/>
                <w:lang w:val="en-US" w:eastAsia="zh-CN"/>
              </w:rPr>
              <w:t>企业级防病毒功能；</w:t>
            </w:r>
          </w:p>
          <w:p>
            <w:pPr>
              <w:numPr>
                <w:ilvl w:val="0"/>
                <w:numId w:val="5"/>
              </w:numPr>
              <w:spacing w:line="360" w:lineRule="auto"/>
              <w:rPr>
                <w:rFonts w:hint="default" w:ascii="宋体" w:hAnsi="宋体"/>
                <w:highlight w:val="none"/>
                <w:lang w:val="en-US" w:eastAsia="zh-CN"/>
              </w:rPr>
            </w:pPr>
            <w:r>
              <w:rPr>
                <w:rFonts w:hint="eastAsia" w:ascii="宋体" w:hAnsi="宋体"/>
                <w:highlight w:val="none"/>
                <w:lang w:val="en-US" w:eastAsia="zh-CN"/>
              </w:rPr>
              <w:t>支持网络物理或逻辑隔离；</w:t>
            </w:r>
          </w:p>
          <w:p>
            <w:pPr>
              <w:numPr>
                <w:ilvl w:val="0"/>
                <w:numId w:val="5"/>
              </w:numPr>
              <w:spacing w:line="360" w:lineRule="auto"/>
              <w:rPr>
                <w:rFonts w:hint="default" w:ascii="宋体" w:hAnsi="宋体"/>
                <w:highlight w:val="none"/>
                <w:lang w:val="en-US" w:eastAsia="zh-CN"/>
              </w:rPr>
            </w:pPr>
            <w:r>
              <w:rPr>
                <w:rFonts w:hint="eastAsia" w:ascii="宋体" w:hAnsi="宋体"/>
                <w:highlight w:val="none"/>
                <w:lang w:val="en-US" w:eastAsia="zh-CN"/>
              </w:rPr>
              <w:t>数据防泄密DLP功能。</w:t>
            </w:r>
          </w:p>
        </w:tc>
      </w:tr>
    </w:tbl>
    <w:p>
      <w:pPr>
        <w:pStyle w:val="48"/>
        <w:spacing w:line="360" w:lineRule="auto"/>
        <w:ind w:left="420" w:firstLine="0" w:firstLineChars="0"/>
        <w:rPr>
          <w:rFonts w:ascii="宋体" w:hAnsi="宋体" w:eastAsia="宋体"/>
          <w:highlight w:val="none"/>
        </w:rPr>
      </w:pPr>
    </w:p>
    <w:p>
      <w:pPr>
        <w:pStyle w:val="48"/>
        <w:numPr>
          <w:ilvl w:val="0"/>
          <w:numId w:val="4"/>
        </w:numPr>
        <w:spacing w:line="360" w:lineRule="auto"/>
        <w:ind w:firstLineChars="0"/>
        <w:rPr>
          <w:rFonts w:ascii="宋体" w:hAnsi="宋体" w:eastAsia="宋体"/>
          <w:highlight w:val="none"/>
        </w:rPr>
      </w:pPr>
      <w:r>
        <w:rPr>
          <w:rFonts w:hint="eastAsia" w:ascii="宋体" w:hAnsi="宋体" w:eastAsia="宋体"/>
          <w:highlight w:val="none"/>
        </w:rPr>
        <w:t>文件安全摆渡系统的技术指标要求：</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4"/>
        <w:gridCol w:w="8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Pr>
          <w:p>
            <w:pPr>
              <w:spacing w:line="360" w:lineRule="auto"/>
              <w:jc w:val="center"/>
              <w:rPr>
                <w:rFonts w:ascii="宋体" w:hAnsi="宋体"/>
                <w:highlight w:val="none"/>
              </w:rPr>
            </w:pPr>
            <w:r>
              <w:rPr>
                <w:rFonts w:hint="eastAsia" w:ascii="宋体" w:hAnsi="宋体"/>
                <w:highlight w:val="none"/>
              </w:rPr>
              <w:t>序号</w:t>
            </w:r>
          </w:p>
        </w:tc>
        <w:tc>
          <w:tcPr>
            <w:tcW w:w="8356" w:type="dxa"/>
          </w:tcPr>
          <w:p>
            <w:pPr>
              <w:spacing w:line="360" w:lineRule="auto"/>
              <w:jc w:val="center"/>
              <w:rPr>
                <w:rFonts w:ascii="宋体" w:hAnsi="宋体"/>
                <w:highlight w:val="none"/>
              </w:rPr>
            </w:pPr>
            <w:r>
              <w:rPr>
                <w:rFonts w:hint="eastAsia" w:ascii="宋体" w:hAnsi="宋体"/>
                <w:highlight w:val="none"/>
              </w:rPr>
              <w:t>指标要求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Align w:val="center"/>
          </w:tcPr>
          <w:p>
            <w:pPr>
              <w:spacing w:line="360" w:lineRule="auto"/>
              <w:jc w:val="center"/>
              <w:rPr>
                <w:rFonts w:ascii="宋体" w:hAnsi="宋体"/>
                <w:highlight w:val="none"/>
              </w:rPr>
            </w:pPr>
            <w:r>
              <w:rPr>
                <w:rFonts w:ascii="宋体" w:hAnsi="宋体"/>
                <w:highlight w:val="none"/>
              </w:rPr>
              <w:t>1</w:t>
            </w:r>
          </w:p>
        </w:tc>
        <w:tc>
          <w:tcPr>
            <w:tcW w:w="8356" w:type="dxa"/>
            <w:vAlign w:val="center"/>
          </w:tcPr>
          <w:p>
            <w:pPr>
              <w:spacing w:line="360" w:lineRule="auto"/>
              <w:rPr>
                <w:rFonts w:ascii="宋体" w:hAnsi="宋体"/>
                <w:highlight w:val="none"/>
              </w:rPr>
            </w:pPr>
            <w:r>
              <w:rPr>
                <w:rFonts w:hint="eastAsia" w:ascii="宋体" w:hAnsi="宋体"/>
                <w:highlight w:val="none"/>
              </w:rPr>
              <w:t>业务板端口：≥</w:t>
            </w:r>
            <w:r>
              <w:rPr>
                <w:rFonts w:ascii="宋体" w:hAnsi="宋体"/>
                <w:highlight w:val="none"/>
              </w:rPr>
              <w:t>2</w:t>
            </w:r>
            <w:r>
              <w:rPr>
                <w:rFonts w:hint="eastAsia" w:ascii="宋体" w:hAnsi="宋体"/>
                <w:highlight w:val="none"/>
              </w:rPr>
              <w:t>个千兆以太网端口，≥2个万兆光口</w:t>
            </w:r>
            <w:r>
              <w:rPr>
                <w:rFonts w:hint="eastAsia" w:ascii="宋体" w:hAnsi="宋体"/>
                <w:highlight w:val="none"/>
                <w:lang w:eastAsia="zh-CN"/>
              </w:rPr>
              <w:t>（</w:t>
            </w:r>
            <w:r>
              <w:rPr>
                <w:rFonts w:hint="eastAsia" w:ascii="宋体" w:hAnsi="宋体"/>
                <w:highlight w:val="none"/>
                <w:lang w:val="en-US" w:eastAsia="zh-CN"/>
              </w:rPr>
              <w:t>含光模块</w:t>
            </w:r>
            <w:r>
              <w:rPr>
                <w:rFonts w:hint="eastAsia" w:ascii="宋体" w:hAnsi="宋体"/>
                <w:highlight w:val="none"/>
                <w:lang w:eastAsia="zh-CN"/>
              </w:rPr>
              <w:t>）</w:t>
            </w:r>
            <w:r>
              <w:rPr>
                <w:rFonts w:hint="eastAsia" w:ascii="宋体" w:hAnsi="宋体"/>
                <w:highlight w:val="none"/>
              </w:rPr>
              <w:t>，硬盘空间≥960GB SSD+</w:t>
            </w:r>
            <w:r>
              <w:rPr>
                <w:rFonts w:ascii="宋体" w:hAnsi="宋体"/>
                <w:highlight w:val="none"/>
              </w:rPr>
              <w:t>12</w:t>
            </w:r>
            <w:r>
              <w:rPr>
                <w:rFonts w:hint="eastAsia" w:ascii="宋体" w:hAnsi="宋体"/>
                <w:highlight w:val="none"/>
              </w:rPr>
              <w:t>TB HDD。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Align w:val="center"/>
          </w:tcPr>
          <w:p>
            <w:pPr>
              <w:spacing w:line="360" w:lineRule="auto"/>
              <w:jc w:val="center"/>
              <w:rPr>
                <w:rFonts w:ascii="宋体" w:hAnsi="宋体"/>
                <w:highlight w:val="none"/>
              </w:rPr>
            </w:pPr>
            <w:r>
              <w:rPr>
                <w:rFonts w:hint="eastAsia" w:ascii="宋体" w:hAnsi="宋体"/>
                <w:highlight w:val="none"/>
              </w:rPr>
              <w:t>2</w:t>
            </w:r>
          </w:p>
        </w:tc>
        <w:tc>
          <w:tcPr>
            <w:tcW w:w="8356" w:type="dxa"/>
            <w:vAlign w:val="center"/>
          </w:tcPr>
          <w:p>
            <w:pPr>
              <w:spacing w:line="360" w:lineRule="auto"/>
              <w:rPr>
                <w:rFonts w:ascii="宋体" w:hAnsi="宋体"/>
                <w:highlight w:val="none"/>
              </w:rPr>
            </w:pPr>
            <w:r>
              <w:rPr>
                <w:rFonts w:hint="eastAsia" w:ascii="宋体" w:hAnsi="宋体"/>
                <w:highlight w:val="none"/>
              </w:rPr>
              <w:t>数据摆渡吞吐量≥800Mbps，最大用户数：无限制。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Align w:val="center"/>
          </w:tcPr>
          <w:p>
            <w:pPr>
              <w:spacing w:line="360" w:lineRule="auto"/>
              <w:jc w:val="center"/>
              <w:rPr>
                <w:rFonts w:ascii="宋体" w:hAnsi="宋体"/>
                <w:highlight w:val="none"/>
              </w:rPr>
            </w:pPr>
            <w:r>
              <w:rPr>
                <w:rFonts w:hint="eastAsia" w:ascii="宋体" w:hAnsi="宋体"/>
                <w:highlight w:val="none"/>
              </w:rPr>
              <w:t>3</w:t>
            </w:r>
          </w:p>
        </w:tc>
        <w:tc>
          <w:tcPr>
            <w:tcW w:w="8356" w:type="dxa"/>
            <w:vAlign w:val="center"/>
          </w:tcPr>
          <w:p>
            <w:pPr>
              <w:spacing w:line="360" w:lineRule="auto"/>
              <w:rPr>
                <w:rFonts w:hint="eastAsia" w:ascii="宋体" w:hAnsi="宋体"/>
                <w:highlight w:val="none"/>
              </w:rPr>
            </w:pPr>
            <w:r>
              <w:rPr>
                <w:rFonts w:hint="eastAsia" w:ascii="宋体" w:hAnsi="宋体"/>
                <w:highlight w:val="none"/>
              </w:rPr>
              <w:t>支持≥</w:t>
            </w:r>
            <w:r>
              <w:rPr>
                <w:rFonts w:ascii="宋体" w:hAnsi="宋体"/>
                <w:highlight w:val="none"/>
              </w:rPr>
              <w:t>4</w:t>
            </w:r>
            <w:r>
              <w:rPr>
                <w:rFonts w:hint="eastAsia" w:ascii="宋体" w:hAnsi="宋体"/>
                <w:highlight w:val="none"/>
              </w:rPr>
              <w:t>个不同等级域（隔离网络间），实现不同网络之间的数据摆渡。</w:t>
            </w:r>
          </w:p>
          <w:p>
            <w:pPr>
              <w:spacing w:line="360" w:lineRule="auto"/>
              <w:rPr>
                <w:rFonts w:ascii="宋体" w:hAnsi="宋体"/>
                <w:highlight w:val="none"/>
              </w:rPr>
            </w:pPr>
            <w:r>
              <w:rPr>
                <w:rFonts w:hint="eastAsia" w:ascii="宋体" w:hAnsi="宋体"/>
                <w:highlight w:val="none"/>
              </w:rPr>
              <w:t>支持基于SSL的加密传输，系统应具备加密存储能力，不以明文存储数据，防止后台恶意获取文件。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Align w:val="center"/>
          </w:tcPr>
          <w:p>
            <w:pPr>
              <w:spacing w:line="360" w:lineRule="auto"/>
              <w:jc w:val="center"/>
              <w:rPr>
                <w:rFonts w:ascii="宋体" w:hAnsi="宋体"/>
                <w:highlight w:val="none"/>
              </w:rPr>
            </w:pPr>
            <w:r>
              <w:rPr>
                <w:rFonts w:hint="eastAsia" w:ascii="宋体" w:hAnsi="宋体"/>
                <w:highlight w:val="none"/>
              </w:rPr>
              <w:t>4</w:t>
            </w:r>
          </w:p>
        </w:tc>
        <w:tc>
          <w:tcPr>
            <w:tcW w:w="8356" w:type="dxa"/>
            <w:vAlign w:val="center"/>
          </w:tcPr>
          <w:p>
            <w:pPr>
              <w:spacing w:line="360" w:lineRule="auto"/>
              <w:rPr>
                <w:rFonts w:ascii="宋体" w:hAnsi="宋体"/>
                <w:highlight w:val="none"/>
              </w:rPr>
            </w:pPr>
            <w:r>
              <w:rPr>
                <w:rFonts w:hint="eastAsia" w:ascii="宋体" w:hAnsi="宋体"/>
                <w:highlight w:val="none"/>
              </w:rPr>
              <w:t>同一时间段内，系统支持≥200个用户的并发操作（登录、上传、下载等）请求。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Align w:val="center"/>
          </w:tcPr>
          <w:p>
            <w:pPr>
              <w:spacing w:line="360" w:lineRule="auto"/>
              <w:jc w:val="center"/>
              <w:rPr>
                <w:rFonts w:ascii="宋体" w:hAnsi="宋体"/>
                <w:highlight w:val="none"/>
              </w:rPr>
            </w:pPr>
            <w:r>
              <w:rPr>
                <w:rFonts w:hint="eastAsia" w:ascii="宋体" w:hAnsi="宋体"/>
                <w:highlight w:val="none"/>
              </w:rPr>
              <w:t>5</w:t>
            </w:r>
          </w:p>
        </w:tc>
        <w:tc>
          <w:tcPr>
            <w:tcW w:w="8356" w:type="dxa"/>
            <w:vAlign w:val="center"/>
          </w:tcPr>
          <w:p>
            <w:pPr>
              <w:spacing w:line="360" w:lineRule="auto"/>
              <w:rPr>
                <w:rFonts w:ascii="宋体" w:hAnsi="宋体"/>
                <w:highlight w:val="none"/>
              </w:rPr>
            </w:pPr>
            <w:r>
              <w:rPr>
                <w:rFonts w:hint="eastAsia" w:ascii="宋体" w:hAnsi="宋体"/>
                <w:highlight w:val="none"/>
              </w:rPr>
              <w:t>内置企业级防病毒软件并可自动或手工更新病毒库，用户上传文件时，自动对文件进行防病毒扫描。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Align w:val="center"/>
          </w:tcPr>
          <w:p>
            <w:pPr>
              <w:spacing w:line="360" w:lineRule="auto"/>
              <w:jc w:val="center"/>
              <w:rPr>
                <w:rFonts w:ascii="宋体" w:hAnsi="宋体"/>
                <w:highlight w:val="none"/>
              </w:rPr>
            </w:pPr>
            <w:r>
              <w:rPr>
                <w:rFonts w:hint="eastAsia" w:ascii="宋体" w:hAnsi="宋体"/>
                <w:highlight w:val="none"/>
              </w:rPr>
              <w:t>6</w:t>
            </w:r>
          </w:p>
        </w:tc>
        <w:tc>
          <w:tcPr>
            <w:tcW w:w="8356" w:type="dxa"/>
            <w:vAlign w:val="center"/>
          </w:tcPr>
          <w:p>
            <w:pPr>
              <w:spacing w:line="360" w:lineRule="auto"/>
              <w:rPr>
                <w:rFonts w:ascii="宋体" w:hAnsi="宋体"/>
                <w:highlight w:val="none"/>
              </w:rPr>
            </w:pPr>
            <w:r>
              <w:rPr>
                <w:rFonts w:hint="eastAsia" w:ascii="宋体" w:hAnsi="宋体"/>
                <w:highlight w:val="none"/>
              </w:rPr>
              <w:t>设备保留病毒检查的历史记录，管理员可通过控制台随时查询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Align w:val="center"/>
          </w:tcPr>
          <w:p>
            <w:pPr>
              <w:spacing w:line="360" w:lineRule="auto"/>
              <w:jc w:val="center"/>
              <w:rPr>
                <w:rFonts w:ascii="宋体" w:hAnsi="宋体"/>
                <w:highlight w:val="none"/>
              </w:rPr>
            </w:pPr>
            <w:r>
              <w:rPr>
                <w:rFonts w:hint="eastAsia" w:ascii="宋体" w:hAnsi="宋体"/>
                <w:highlight w:val="none"/>
              </w:rPr>
              <w:t>7</w:t>
            </w:r>
          </w:p>
        </w:tc>
        <w:tc>
          <w:tcPr>
            <w:tcW w:w="8356" w:type="dxa"/>
            <w:vAlign w:val="center"/>
          </w:tcPr>
          <w:p>
            <w:pPr>
              <w:spacing w:line="360" w:lineRule="auto"/>
              <w:rPr>
                <w:rFonts w:hint="eastAsia" w:ascii="宋体" w:hAnsi="宋体"/>
                <w:highlight w:val="none"/>
              </w:rPr>
            </w:pPr>
            <w:r>
              <w:rPr>
                <w:rFonts w:hint="eastAsia" w:ascii="宋体" w:hAnsi="宋体"/>
                <w:highlight w:val="none"/>
              </w:rPr>
              <w:t>支持不同用户间的文件分享，可控制分享方向，即分享者可将文件分享到有效等级域，支持外链分享。</w:t>
            </w:r>
          </w:p>
          <w:p>
            <w:pPr>
              <w:spacing w:line="360" w:lineRule="auto"/>
              <w:rPr>
                <w:rFonts w:ascii="宋体" w:hAnsi="宋体"/>
                <w:highlight w:val="none"/>
              </w:rPr>
            </w:pPr>
            <w:r>
              <w:rPr>
                <w:rFonts w:hint="eastAsia" w:ascii="宋体" w:hAnsi="宋体"/>
                <w:highlight w:val="none"/>
              </w:rPr>
              <w:t>用户可以对有权限的文档进行外链分享，用户在分享时可以设置分享有效期及访问密码，设置预览、下载等权限。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Align w:val="center"/>
          </w:tcPr>
          <w:p>
            <w:pPr>
              <w:spacing w:line="360" w:lineRule="auto"/>
              <w:jc w:val="center"/>
              <w:rPr>
                <w:rFonts w:ascii="宋体" w:hAnsi="宋体"/>
                <w:highlight w:val="none"/>
              </w:rPr>
            </w:pPr>
            <w:r>
              <w:rPr>
                <w:rFonts w:hint="eastAsia" w:ascii="宋体" w:hAnsi="宋体"/>
                <w:highlight w:val="none"/>
              </w:rPr>
              <w:t>8</w:t>
            </w:r>
          </w:p>
        </w:tc>
        <w:tc>
          <w:tcPr>
            <w:tcW w:w="8356" w:type="dxa"/>
            <w:vAlign w:val="center"/>
          </w:tcPr>
          <w:p>
            <w:pPr>
              <w:spacing w:line="360" w:lineRule="auto"/>
              <w:rPr>
                <w:rFonts w:ascii="宋体" w:hAnsi="宋体"/>
                <w:highlight w:val="none"/>
              </w:rPr>
            </w:pPr>
            <w:r>
              <w:rPr>
                <w:rFonts w:hint="eastAsia" w:ascii="宋体" w:hAnsi="宋体"/>
                <w:highlight w:val="none"/>
              </w:rPr>
              <w:t>支持管理员可修改用户状态、管理员可设定用户过期时间、管理员可设定用户允许登录的范围。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4" w:type="dxa"/>
            <w:vAlign w:val="center"/>
          </w:tcPr>
          <w:p>
            <w:pPr>
              <w:spacing w:line="360" w:lineRule="auto"/>
              <w:jc w:val="center"/>
              <w:rPr>
                <w:rFonts w:ascii="宋体" w:hAnsi="宋体"/>
                <w:highlight w:val="none"/>
              </w:rPr>
            </w:pPr>
            <w:r>
              <w:rPr>
                <w:rFonts w:hint="eastAsia" w:ascii="宋体" w:hAnsi="宋体"/>
                <w:highlight w:val="none"/>
              </w:rPr>
              <w:t>9</w:t>
            </w:r>
          </w:p>
        </w:tc>
        <w:tc>
          <w:tcPr>
            <w:tcW w:w="8356" w:type="dxa"/>
            <w:vAlign w:val="center"/>
          </w:tcPr>
          <w:p>
            <w:pPr>
              <w:spacing w:line="360" w:lineRule="auto"/>
              <w:rPr>
                <w:rFonts w:ascii="宋体" w:hAnsi="宋体"/>
                <w:highlight w:val="none"/>
              </w:rPr>
            </w:pPr>
            <w:r>
              <w:rPr>
                <w:rFonts w:hint="eastAsia" w:ascii="宋体" w:hAnsi="宋体"/>
                <w:highlight w:val="none"/>
              </w:rPr>
              <w:t>支持各个隔离网络区域间进行文件摆渡，登录接口均可配置登录失败锁定策略，防止暴力破解。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Align w:val="center"/>
          </w:tcPr>
          <w:p>
            <w:pPr>
              <w:spacing w:line="360" w:lineRule="auto"/>
              <w:jc w:val="center"/>
              <w:rPr>
                <w:rFonts w:ascii="宋体" w:hAnsi="宋体"/>
                <w:highlight w:val="none"/>
              </w:rPr>
            </w:pPr>
            <w:r>
              <w:rPr>
                <w:rFonts w:hint="eastAsia" w:ascii="宋体" w:hAnsi="宋体"/>
                <w:highlight w:val="none"/>
              </w:rPr>
              <w:t>1</w:t>
            </w:r>
            <w:r>
              <w:rPr>
                <w:rFonts w:ascii="宋体" w:hAnsi="宋体"/>
                <w:highlight w:val="none"/>
              </w:rPr>
              <w:t>0</w:t>
            </w:r>
          </w:p>
        </w:tc>
        <w:tc>
          <w:tcPr>
            <w:tcW w:w="8356" w:type="dxa"/>
            <w:vAlign w:val="center"/>
          </w:tcPr>
          <w:p>
            <w:pPr>
              <w:spacing w:line="360" w:lineRule="auto"/>
              <w:rPr>
                <w:rFonts w:ascii="宋体" w:hAnsi="宋体"/>
                <w:highlight w:val="none"/>
              </w:rPr>
            </w:pPr>
            <w:r>
              <w:rPr>
                <w:rFonts w:hint="eastAsia" w:ascii="宋体" w:hAnsi="宋体"/>
                <w:highlight w:val="none"/>
              </w:rPr>
              <w:t>支持用户认证信息、文件交换信息、文档追踪审计信息、敏感文件审计信息等日志查询及审计（提供产品界面截图证明）。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Align w:val="center"/>
          </w:tcPr>
          <w:p>
            <w:pPr>
              <w:spacing w:line="360" w:lineRule="auto"/>
              <w:jc w:val="center"/>
              <w:rPr>
                <w:rFonts w:ascii="宋体" w:hAnsi="宋体"/>
                <w:highlight w:val="none"/>
              </w:rPr>
            </w:pPr>
            <w:r>
              <w:rPr>
                <w:rFonts w:hint="eastAsia" w:ascii="宋体" w:hAnsi="宋体"/>
                <w:highlight w:val="none"/>
              </w:rPr>
              <w:t>1</w:t>
            </w:r>
            <w:r>
              <w:rPr>
                <w:rFonts w:ascii="宋体" w:hAnsi="宋体"/>
                <w:highlight w:val="none"/>
              </w:rPr>
              <w:t>1</w:t>
            </w:r>
          </w:p>
        </w:tc>
        <w:tc>
          <w:tcPr>
            <w:tcW w:w="8356" w:type="dxa"/>
            <w:vAlign w:val="center"/>
          </w:tcPr>
          <w:p>
            <w:pPr>
              <w:spacing w:line="360" w:lineRule="auto"/>
              <w:rPr>
                <w:rFonts w:ascii="宋体" w:hAnsi="宋体"/>
                <w:highlight w:val="none"/>
              </w:rPr>
            </w:pPr>
            <w:r>
              <w:rPr>
                <w:rFonts w:hint="eastAsia" w:ascii="宋体" w:hAnsi="宋体"/>
                <w:highlight w:val="none"/>
              </w:rPr>
              <w:t>支持对用户上传的文件，可划分给多个管理员进行审批管理。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Align w:val="center"/>
          </w:tcPr>
          <w:p>
            <w:pPr>
              <w:spacing w:line="360" w:lineRule="auto"/>
              <w:jc w:val="center"/>
              <w:rPr>
                <w:rFonts w:ascii="宋体" w:hAnsi="宋体"/>
                <w:highlight w:val="none"/>
              </w:rPr>
            </w:pPr>
            <w:r>
              <w:rPr>
                <w:rFonts w:hint="eastAsia" w:ascii="宋体" w:hAnsi="宋体"/>
                <w:highlight w:val="none"/>
              </w:rPr>
              <w:t>1</w:t>
            </w:r>
            <w:r>
              <w:rPr>
                <w:rFonts w:ascii="宋体" w:hAnsi="宋体"/>
                <w:highlight w:val="none"/>
              </w:rPr>
              <w:t>2</w:t>
            </w:r>
          </w:p>
        </w:tc>
        <w:tc>
          <w:tcPr>
            <w:tcW w:w="8356" w:type="dxa"/>
            <w:vAlign w:val="center"/>
          </w:tcPr>
          <w:p>
            <w:pPr>
              <w:spacing w:line="360" w:lineRule="auto"/>
              <w:rPr>
                <w:rFonts w:ascii="宋体" w:hAnsi="宋体"/>
                <w:highlight w:val="none"/>
              </w:rPr>
            </w:pPr>
            <w:r>
              <w:rPr>
                <w:rFonts w:hint="eastAsia" w:ascii="宋体" w:hAnsi="宋体"/>
                <w:highlight w:val="none"/>
              </w:rPr>
              <w:t>支持可设置一个或多个审批员。任意一人同意时，流转到下一环节；任意一人拒绝时，审批结束，逐级分级审批流程。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Align w:val="center"/>
          </w:tcPr>
          <w:p>
            <w:pPr>
              <w:spacing w:line="360" w:lineRule="auto"/>
              <w:jc w:val="center"/>
              <w:rPr>
                <w:rFonts w:ascii="宋体" w:hAnsi="宋体"/>
                <w:highlight w:val="none"/>
              </w:rPr>
            </w:pPr>
            <w:r>
              <w:rPr>
                <w:rFonts w:hint="eastAsia" w:ascii="宋体" w:hAnsi="宋体"/>
                <w:highlight w:val="none"/>
              </w:rPr>
              <w:t>1</w:t>
            </w:r>
            <w:r>
              <w:rPr>
                <w:rFonts w:ascii="宋体" w:hAnsi="宋体"/>
                <w:highlight w:val="none"/>
              </w:rPr>
              <w:t>3</w:t>
            </w:r>
          </w:p>
        </w:tc>
        <w:tc>
          <w:tcPr>
            <w:tcW w:w="8356" w:type="dxa"/>
            <w:vAlign w:val="center"/>
          </w:tcPr>
          <w:p>
            <w:pPr>
              <w:spacing w:line="360" w:lineRule="auto"/>
              <w:rPr>
                <w:rFonts w:ascii="宋体" w:hAnsi="宋体"/>
                <w:highlight w:val="none"/>
              </w:rPr>
            </w:pPr>
            <w:r>
              <w:rPr>
                <w:rFonts w:hint="eastAsia" w:ascii="宋体" w:hAnsi="宋体"/>
                <w:highlight w:val="none"/>
              </w:rPr>
              <w:t>支持可一键重启宿主机，保证异常情况下的业务操作延续性。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Align w:val="center"/>
          </w:tcPr>
          <w:p>
            <w:pPr>
              <w:spacing w:line="360" w:lineRule="auto"/>
              <w:jc w:val="center"/>
              <w:rPr>
                <w:rFonts w:ascii="宋体" w:hAnsi="宋体"/>
                <w:highlight w:val="none"/>
              </w:rPr>
            </w:pPr>
            <w:r>
              <w:rPr>
                <w:rFonts w:hint="eastAsia" w:ascii="宋体" w:hAnsi="宋体"/>
                <w:highlight w:val="none"/>
              </w:rPr>
              <w:t>1</w:t>
            </w:r>
            <w:r>
              <w:rPr>
                <w:rFonts w:ascii="宋体" w:hAnsi="宋体"/>
                <w:highlight w:val="none"/>
              </w:rPr>
              <w:t>4</w:t>
            </w:r>
          </w:p>
        </w:tc>
        <w:tc>
          <w:tcPr>
            <w:tcW w:w="8356" w:type="dxa"/>
            <w:vAlign w:val="center"/>
          </w:tcPr>
          <w:p>
            <w:pPr>
              <w:spacing w:line="360" w:lineRule="auto"/>
              <w:rPr>
                <w:rFonts w:ascii="宋体" w:hAnsi="宋体"/>
                <w:highlight w:val="none"/>
              </w:rPr>
            </w:pPr>
            <w:r>
              <w:rPr>
                <w:rFonts w:hint="eastAsia" w:ascii="宋体" w:hAnsi="宋体"/>
                <w:highlight w:val="none"/>
              </w:rPr>
              <w:t>支持在外网服务器下载补丁后，通过交换系统将补丁交换到内网的指定目录，系统获取补丁。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Align w:val="center"/>
          </w:tcPr>
          <w:p>
            <w:pPr>
              <w:spacing w:line="360" w:lineRule="auto"/>
              <w:jc w:val="center"/>
              <w:rPr>
                <w:rFonts w:ascii="宋体" w:hAnsi="宋体"/>
                <w:highlight w:val="none"/>
              </w:rPr>
            </w:pPr>
            <w:r>
              <w:rPr>
                <w:rFonts w:hint="eastAsia" w:ascii="宋体" w:hAnsi="宋体"/>
                <w:highlight w:val="none"/>
              </w:rPr>
              <w:t>1</w:t>
            </w:r>
            <w:r>
              <w:rPr>
                <w:rFonts w:ascii="宋体" w:hAnsi="宋体"/>
                <w:highlight w:val="none"/>
              </w:rPr>
              <w:t>5</w:t>
            </w:r>
          </w:p>
        </w:tc>
        <w:tc>
          <w:tcPr>
            <w:tcW w:w="8356" w:type="dxa"/>
            <w:vAlign w:val="center"/>
          </w:tcPr>
          <w:p>
            <w:pPr>
              <w:spacing w:line="360" w:lineRule="auto"/>
              <w:rPr>
                <w:rFonts w:ascii="宋体" w:hAnsi="宋体"/>
                <w:highlight w:val="none"/>
              </w:rPr>
            </w:pPr>
            <w:r>
              <w:rPr>
                <w:rFonts w:hint="eastAsia" w:ascii="宋体" w:hAnsi="宋体"/>
                <w:highlight w:val="none"/>
              </w:rPr>
              <w:t>管理员可设置一个帐号，在多台终端上同时登录，实现同个账号同时多用的功能。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Align w:val="center"/>
          </w:tcPr>
          <w:p>
            <w:pPr>
              <w:spacing w:line="360" w:lineRule="auto"/>
              <w:jc w:val="center"/>
              <w:rPr>
                <w:rFonts w:ascii="宋体" w:hAnsi="宋体"/>
                <w:highlight w:val="none"/>
              </w:rPr>
            </w:pPr>
            <w:r>
              <w:rPr>
                <w:rFonts w:hint="eastAsia" w:ascii="宋体" w:hAnsi="宋体"/>
                <w:highlight w:val="none"/>
              </w:rPr>
              <w:t>1</w:t>
            </w:r>
            <w:r>
              <w:rPr>
                <w:rFonts w:ascii="宋体" w:hAnsi="宋体"/>
                <w:highlight w:val="none"/>
              </w:rPr>
              <w:t>6</w:t>
            </w:r>
          </w:p>
        </w:tc>
        <w:tc>
          <w:tcPr>
            <w:tcW w:w="8356" w:type="dxa"/>
            <w:vAlign w:val="center"/>
          </w:tcPr>
          <w:p>
            <w:pPr>
              <w:spacing w:line="360" w:lineRule="auto"/>
              <w:rPr>
                <w:rFonts w:ascii="宋体" w:hAnsi="宋体"/>
                <w:highlight w:val="none"/>
              </w:rPr>
            </w:pPr>
            <w:r>
              <w:rPr>
                <w:rFonts w:hint="eastAsia" w:ascii="宋体" w:hAnsi="宋体"/>
                <w:highlight w:val="none"/>
              </w:rPr>
              <w:t>支持管理员管控用户上传文件的源网络和目标网络、应用范围、例外对象。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Align w:val="center"/>
          </w:tcPr>
          <w:p>
            <w:pPr>
              <w:spacing w:line="360" w:lineRule="auto"/>
              <w:jc w:val="center"/>
              <w:rPr>
                <w:rFonts w:ascii="宋体" w:hAnsi="宋体"/>
                <w:highlight w:val="none"/>
              </w:rPr>
            </w:pPr>
            <w:r>
              <w:rPr>
                <w:rFonts w:hint="eastAsia" w:ascii="宋体" w:hAnsi="宋体"/>
                <w:highlight w:val="none"/>
              </w:rPr>
              <w:t>1</w:t>
            </w:r>
            <w:r>
              <w:rPr>
                <w:rFonts w:ascii="宋体" w:hAnsi="宋体"/>
                <w:highlight w:val="none"/>
              </w:rPr>
              <w:t>7</w:t>
            </w:r>
          </w:p>
        </w:tc>
        <w:tc>
          <w:tcPr>
            <w:tcW w:w="8356" w:type="dxa"/>
            <w:vAlign w:val="center"/>
          </w:tcPr>
          <w:p>
            <w:pPr>
              <w:spacing w:line="360" w:lineRule="auto"/>
              <w:rPr>
                <w:rFonts w:hint="default" w:ascii="宋体" w:hAnsi="宋体" w:eastAsia="宋体"/>
                <w:highlight w:val="none"/>
                <w:lang w:val="en-US" w:eastAsia="zh-CN"/>
              </w:rPr>
            </w:pPr>
            <w:r>
              <w:rPr>
                <w:rFonts w:hint="eastAsia" w:ascii="宋体" w:hAnsi="宋体"/>
                <w:highlight w:val="none"/>
              </w:rPr>
              <w:t>支持CS、BS客户端中文和英文版本的切换。</w:t>
            </w:r>
            <w:r>
              <w:rPr>
                <w:rFonts w:hint="eastAsia" w:ascii="宋体" w:hAnsi="宋体"/>
                <w:highlight w:val="none"/>
                <w:lang w:val="en-US" w:eastAsia="zh-CN"/>
              </w:rPr>
              <w:t>支持windows/linux/masOS等操作系统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Align w:val="center"/>
          </w:tcPr>
          <w:p>
            <w:pPr>
              <w:spacing w:line="360" w:lineRule="auto"/>
              <w:jc w:val="center"/>
              <w:rPr>
                <w:rFonts w:ascii="宋体" w:hAnsi="宋体"/>
                <w:highlight w:val="none"/>
              </w:rPr>
            </w:pPr>
            <w:r>
              <w:rPr>
                <w:rFonts w:hint="eastAsia" w:ascii="宋体" w:hAnsi="宋体"/>
                <w:highlight w:val="none"/>
              </w:rPr>
              <w:t>1</w:t>
            </w:r>
            <w:r>
              <w:rPr>
                <w:rFonts w:ascii="宋体" w:hAnsi="宋体"/>
                <w:highlight w:val="none"/>
              </w:rPr>
              <w:t>8</w:t>
            </w:r>
          </w:p>
        </w:tc>
        <w:tc>
          <w:tcPr>
            <w:tcW w:w="8356" w:type="dxa"/>
            <w:vAlign w:val="center"/>
          </w:tcPr>
          <w:p>
            <w:pPr>
              <w:spacing w:line="360" w:lineRule="auto"/>
              <w:rPr>
                <w:rFonts w:ascii="宋体" w:hAnsi="宋体"/>
                <w:highlight w:val="none"/>
              </w:rPr>
            </w:pPr>
            <w:r>
              <w:rPr>
                <w:rFonts w:hint="eastAsia" w:ascii="宋体" w:hAnsi="宋体"/>
                <w:highlight w:val="none"/>
              </w:rPr>
              <w:t>CS客户端支持断点续传功能。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Align w:val="center"/>
          </w:tcPr>
          <w:p>
            <w:pPr>
              <w:spacing w:line="360" w:lineRule="auto"/>
              <w:jc w:val="center"/>
              <w:rPr>
                <w:rFonts w:ascii="宋体" w:hAnsi="宋体"/>
                <w:highlight w:val="none"/>
              </w:rPr>
            </w:pPr>
            <w:r>
              <w:rPr>
                <w:rFonts w:hint="eastAsia" w:ascii="宋体" w:hAnsi="宋体"/>
                <w:highlight w:val="none"/>
              </w:rPr>
              <w:t>1</w:t>
            </w:r>
            <w:r>
              <w:rPr>
                <w:rFonts w:ascii="宋体" w:hAnsi="宋体"/>
                <w:highlight w:val="none"/>
              </w:rPr>
              <w:t>9</w:t>
            </w:r>
          </w:p>
        </w:tc>
        <w:tc>
          <w:tcPr>
            <w:tcW w:w="8356" w:type="dxa"/>
            <w:vAlign w:val="center"/>
          </w:tcPr>
          <w:p>
            <w:pPr>
              <w:spacing w:line="360" w:lineRule="auto"/>
              <w:rPr>
                <w:rFonts w:ascii="宋体" w:hAnsi="宋体"/>
                <w:highlight w:val="none"/>
              </w:rPr>
            </w:pPr>
            <w:r>
              <w:rPr>
                <w:rFonts w:hint="eastAsia" w:ascii="宋体" w:hAnsi="宋体"/>
                <w:highlight w:val="none"/>
              </w:rPr>
              <w:t>BS客户端在线预览及编辑。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Align w:val="center"/>
          </w:tcPr>
          <w:p>
            <w:pPr>
              <w:spacing w:line="360" w:lineRule="auto"/>
              <w:jc w:val="center"/>
              <w:rPr>
                <w:rFonts w:ascii="宋体" w:hAnsi="宋体"/>
                <w:highlight w:val="none"/>
              </w:rPr>
            </w:pPr>
            <w:r>
              <w:rPr>
                <w:rFonts w:hint="eastAsia" w:ascii="宋体" w:hAnsi="宋体"/>
                <w:highlight w:val="none"/>
              </w:rPr>
              <w:t>2</w:t>
            </w:r>
            <w:r>
              <w:rPr>
                <w:rFonts w:ascii="宋体" w:hAnsi="宋体"/>
                <w:highlight w:val="none"/>
              </w:rPr>
              <w:t>0</w:t>
            </w:r>
          </w:p>
        </w:tc>
        <w:tc>
          <w:tcPr>
            <w:tcW w:w="8356" w:type="dxa"/>
            <w:vAlign w:val="center"/>
          </w:tcPr>
          <w:p>
            <w:pPr>
              <w:spacing w:line="360" w:lineRule="auto"/>
              <w:rPr>
                <w:rFonts w:ascii="宋体" w:hAnsi="宋体"/>
                <w:highlight w:val="none"/>
              </w:rPr>
            </w:pPr>
            <w:r>
              <w:rPr>
                <w:rFonts w:hint="eastAsia" w:ascii="宋体" w:hAnsi="宋体"/>
                <w:highlight w:val="none"/>
              </w:rPr>
              <w:t>支持和现网的准入控制系统实现联动，通过准入客户端实现文件摆渡客户端的身份认证单点登录。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Align w:val="center"/>
          </w:tcPr>
          <w:p>
            <w:pPr>
              <w:spacing w:line="360" w:lineRule="auto"/>
              <w:jc w:val="center"/>
              <w:rPr>
                <w:rFonts w:ascii="宋体" w:hAnsi="宋体"/>
                <w:highlight w:val="none"/>
              </w:rPr>
            </w:pPr>
            <w:r>
              <w:rPr>
                <w:rFonts w:hint="eastAsia" w:ascii="宋体" w:hAnsi="宋体"/>
                <w:highlight w:val="none"/>
              </w:rPr>
              <w:t>2</w:t>
            </w:r>
            <w:r>
              <w:rPr>
                <w:rFonts w:ascii="宋体" w:hAnsi="宋体"/>
                <w:highlight w:val="none"/>
              </w:rPr>
              <w:t>1</w:t>
            </w:r>
          </w:p>
        </w:tc>
        <w:tc>
          <w:tcPr>
            <w:tcW w:w="8356" w:type="dxa"/>
            <w:vAlign w:val="center"/>
          </w:tcPr>
          <w:p>
            <w:pPr>
              <w:spacing w:line="360" w:lineRule="auto"/>
              <w:rPr>
                <w:rFonts w:ascii="宋体" w:hAnsi="宋体"/>
                <w:highlight w:val="none"/>
              </w:rPr>
            </w:pPr>
            <w:r>
              <w:rPr>
                <w:rFonts w:hint="eastAsia" w:ascii="宋体" w:hAnsi="宋体"/>
                <w:highlight w:val="none"/>
              </w:rPr>
              <w:t>硬件现场质保及软件升级和内置病毒库免费升级三年。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Align w:val="center"/>
          </w:tcPr>
          <w:p>
            <w:pPr>
              <w:spacing w:line="360" w:lineRule="auto"/>
              <w:jc w:val="center"/>
              <w:rPr>
                <w:rFonts w:ascii="宋体" w:hAnsi="宋体"/>
                <w:highlight w:val="none"/>
              </w:rPr>
            </w:pPr>
            <w:r>
              <w:rPr>
                <w:rFonts w:hint="eastAsia" w:ascii="宋体" w:hAnsi="宋体"/>
                <w:highlight w:val="none"/>
              </w:rPr>
              <w:t>2</w:t>
            </w:r>
            <w:r>
              <w:rPr>
                <w:rFonts w:ascii="宋体" w:hAnsi="宋体"/>
                <w:highlight w:val="none"/>
              </w:rPr>
              <w:t>2</w:t>
            </w:r>
          </w:p>
        </w:tc>
        <w:tc>
          <w:tcPr>
            <w:tcW w:w="8356" w:type="dxa"/>
            <w:vAlign w:val="center"/>
          </w:tcPr>
          <w:p>
            <w:pPr>
              <w:spacing w:line="360" w:lineRule="auto"/>
              <w:rPr>
                <w:rFonts w:ascii="宋体" w:hAnsi="宋体"/>
                <w:highlight w:val="none"/>
              </w:rPr>
            </w:pPr>
            <w:r>
              <w:rPr>
                <w:rFonts w:hint="eastAsia" w:ascii="宋体" w:hAnsi="宋体"/>
                <w:highlight w:val="none"/>
              </w:rPr>
              <w:t>支持对接企业微信</w:t>
            </w:r>
            <w:r>
              <w:rPr>
                <w:rFonts w:hint="eastAsia" w:ascii="宋体" w:hAnsi="宋体"/>
                <w:highlight w:val="none"/>
                <w:lang w:val="en-US" w:eastAsia="zh-CN"/>
              </w:rPr>
              <w:t>或移动端</w:t>
            </w:r>
            <w:r>
              <w:rPr>
                <w:rFonts w:hint="eastAsia" w:ascii="宋体" w:hAnsi="宋体"/>
                <w:highlight w:val="none"/>
              </w:rPr>
              <w:t>进行审批操作。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Align w:val="center"/>
          </w:tcPr>
          <w:p>
            <w:pPr>
              <w:spacing w:line="360" w:lineRule="auto"/>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rPr>
              <w:t>23</w:t>
            </w:r>
          </w:p>
        </w:tc>
        <w:tc>
          <w:tcPr>
            <w:tcW w:w="8356" w:type="dxa"/>
            <w:vAlign w:val="center"/>
          </w:tcPr>
          <w:p>
            <w:pPr>
              <w:spacing w:line="360" w:lineRule="auto"/>
              <w:rPr>
                <w:rFonts w:hint="default" w:ascii="宋体" w:hAnsi="宋体" w:eastAsia="宋体"/>
                <w:highlight w:val="none"/>
                <w:lang w:val="en-US" w:eastAsia="zh-CN"/>
              </w:rPr>
            </w:pPr>
            <w:r>
              <w:rPr>
                <w:rFonts w:hint="eastAsia" w:ascii="宋体" w:hAnsi="宋体"/>
                <w:highlight w:val="none"/>
                <w:lang w:val="en-US" w:eastAsia="zh-CN"/>
              </w:rPr>
              <w:t>根据用户需求，支持定制化开发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Align w:val="center"/>
          </w:tcPr>
          <w:p>
            <w:pPr>
              <w:spacing w:line="360" w:lineRule="auto"/>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rPr>
              <w:t>24</w:t>
            </w:r>
          </w:p>
        </w:tc>
        <w:tc>
          <w:tcPr>
            <w:tcW w:w="8356" w:type="dxa"/>
            <w:vAlign w:val="center"/>
          </w:tcPr>
          <w:p>
            <w:pPr>
              <w:spacing w:line="360" w:lineRule="auto"/>
              <w:rPr>
                <w:rFonts w:hint="default" w:ascii="宋体" w:hAnsi="宋体" w:eastAsia="宋体"/>
                <w:highlight w:val="none"/>
                <w:lang w:val="en-US" w:eastAsia="zh-CN"/>
              </w:rPr>
            </w:pPr>
            <w:r>
              <w:rPr>
                <w:rFonts w:hint="eastAsia" w:ascii="宋体" w:hAnsi="宋体"/>
                <w:highlight w:val="none"/>
                <w:lang w:val="en-US" w:eastAsia="zh-CN"/>
              </w:rPr>
              <w:t>满足等保安全要求，根据院方安全扫描结果定期按需修复漏洞。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Align w:val="center"/>
          </w:tcPr>
          <w:p>
            <w:pPr>
              <w:spacing w:line="360" w:lineRule="auto"/>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rPr>
              <w:t>2</w:t>
            </w:r>
            <w:r>
              <w:rPr>
                <w:rFonts w:hint="eastAsia" w:ascii="宋体" w:hAnsi="宋体"/>
                <w:highlight w:val="none"/>
                <w:lang w:val="en-US" w:eastAsia="zh-CN"/>
              </w:rPr>
              <w:t>5</w:t>
            </w:r>
          </w:p>
        </w:tc>
        <w:tc>
          <w:tcPr>
            <w:tcW w:w="8356" w:type="dxa"/>
            <w:vAlign w:val="center"/>
          </w:tcPr>
          <w:p>
            <w:pPr>
              <w:spacing w:line="360" w:lineRule="auto"/>
              <w:rPr>
                <w:rFonts w:hint="default" w:ascii="宋体" w:hAnsi="宋体" w:eastAsia="宋体"/>
                <w:highlight w:val="none"/>
                <w:lang w:val="en-US" w:eastAsia="zh-CN"/>
              </w:rPr>
            </w:pPr>
            <w:r>
              <w:rPr>
                <w:rFonts w:hint="eastAsia" w:ascii="宋体" w:hAnsi="宋体"/>
                <w:highlight w:val="none"/>
                <w:lang w:val="en-US" w:eastAsia="zh-CN"/>
              </w:rPr>
              <w:t>具有公安部颁发的《计算机信息系统安全专有产品销售许可证》（提供盖章版复印件）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Align w:val="center"/>
          </w:tcPr>
          <w:p>
            <w:pPr>
              <w:spacing w:line="360" w:lineRule="auto"/>
              <w:jc w:val="center"/>
              <w:rPr>
                <w:rFonts w:hint="eastAsia" w:ascii="宋体" w:hAnsi="宋体" w:eastAsia="宋体"/>
                <w:highlight w:val="none"/>
                <w:lang w:val="en-US" w:eastAsia="zh-CN"/>
              </w:rPr>
            </w:pPr>
            <w:r>
              <w:rPr>
                <w:rFonts w:hint="eastAsia" w:ascii="宋体" w:hAnsi="宋体"/>
                <w:highlight w:val="none"/>
              </w:rPr>
              <w:t>2</w:t>
            </w:r>
            <w:r>
              <w:rPr>
                <w:rFonts w:hint="eastAsia" w:ascii="宋体" w:hAnsi="宋体"/>
                <w:highlight w:val="none"/>
                <w:lang w:val="en-US" w:eastAsia="zh-CN"/>
              </w:rPr>
              <w:t>6</w:t>
            </w:r>
          </w:p>
        </w:tc>
        <w:tc>
          <w:tcPr>
            <w:tcW w:w="8356" w:type="dxa"/>
            <w:vAlign w:val="center"/>
          </w:tcPr>
          <w:p>
            <w:pPr>
              <w:spacing w:line="360" w:lineRule="auto"/>
              <w:rPr>
                <w:rFonts w:hint="default" w:ascii="宋体" w:hAnsi="宋体" w:eastAsia="宋体"/>
                <w:highlight w:val="none"/>
                <w:lang w:val="en-US" w:eastAsia="zh-CN"/>
              </w:rPr>
            </w:pPr>
            <w:r>
              <w:rPr>
                <w:rFonts w:hint="eastAsia" w:ascii="宋体" w:hAnsi="宋体"/>
                <w:highlight w:val="none"/>
                <w:lang w:val="en-US" w:eastAsia="zh-CN"/>
              </w:rPr>
              <w:t>具有版权局《计算机软著著作权登记证书》（提供盖章版复印件）</w:t>
            </w:r>
          </w:p>
        </w:tc>
      </w:tr>
    </w:tbl>
    <w:p>
      <w:pPr>
        <w:pStyle w:val="48"/>
        <w:keepNext/>
        <w:keepLines/>
        <w:numPr>
          <w:ilvl w:val="0"/>
          <w:numId w:val="1"/>
        </w:numPr>
        <w:spacing w:line="578" w:lineRule="auto"/>
        <w:ind w:firstLineChars="0"/>
        <w:outlineLvl w:val="0"/>
        <w:rPr>
          <w:rFonts w:ascii="宋体" w:hAnsi="宋体" w:eastAsia="宋体"/>
          <w:b/>
          <w:bCs/>
          <w:vanish/>
          <w:kern w:val="44"/>
          <w:sz w:val="44"/>
          <w:szCs w:val="44"/>
          <w:highlight w:val="none"/>
        </w:rPr>
      </w:pPr>
    </w:p>
    <w:p>
      <w:pPr>
        <w:pStyle w:val="48"/>
        <w:keepNext/>
        <w:keepLines/>
        <w:numPr>
          <w:ilvl w:val="0"/>
          <w:numId w:val="1"/>
        </w:numPr>
        <w:spacing w:line="578" w:lineRule="auto"/>
        <w:ind w:firstLineChars="0"/>
        <w:outlineLvl w:val="0"/>
        <w:rPr>
          <w:rFonts w:ascii="宋体" w:hAnsi="宋体" w:eastAsia="宋体"/>
          <w:b/>
          <w:bCs/>
          <w:vanish/>
          <w:kern w:val="44"/>
          <w:sz w:val="44"/>
          <w:szCs w:val="44"/>
          <w:highlight w:val="none"/>
        </w:rPr>
      </w:pPr>
    </w:p>
    <w:p>
      <w:pPr>
        <w:pStyle w:val="48"/>
        <w:keepNext/>
        <w:keepLines/>
        <w:numPr>
          <w:ilvl w:val="0"/>
          <w:numId w:val="1"/>
        </w:numPr>
        <w:spacing w:line="578" w:lineRule="auto"/>
        <w:ind w:firstLineChars="0"/>
        <w:outlineLvl w:val="0"/>
        <w:rPr>
          <w:rFonts w:ascii="宋体" w:hAnsi="宋体" w:eastAsia="宋体"/>
          <w:b/>
          <w:bCs/>
          <w:vanish/>
          <w:kern w:val="44"/>
          <w:sz w:val="44"/>
          <w:szCs w:val="44"/>
          <w:highlight w:val="none"/>
        </w:rPr>
      </w:pPr>
    </w:p>
    <w:p>
      <w:pPr>
        <w:pStyle w:val="48"/>
        <w:keepNext/>
        <w:keepLines/>
        <w:numPr>
          <w:ilvl w:val="1"/>
          <w:numId w:val="1"/>
        </w:numPr>
        <w:spacing w:line="578" w:lineRule="auto"/>
        <w:ind w:firstLineChars="0"/>
        <w:outlineLvl w:val="0"/>
        <w:rPr>
          <w:rFonts w:ascii="宋体" w:hAnsi="宋体" w:eastAsia="宋体"/>
          <w:b/>
          <w:bCs/>
          <w:vanish/>
          <w:kern w:val="44"/>
          <w:sz w:val="44"/>
          <w:szCs w:val="44"/>
          <w:highlight w:val="none"/>
        </w:rPr>
      </w:pPr>
    </w:p>
    <w:p>
      <w:pPr>
        <w:numPr>
          <w:ilvl w:val="0"/>
          <w:numId w:val="6"/>
        </w:numPr>
        <w:tabs>
          <w:tab w:val="left" w:pos="0"/>
          <w:tab w:val="clear" w:pos="420"/>
        </w:tabs>
        <w:spacing w:beforeLines="50" w:line="360" w:lineRule="auto"/>
        <w:ind w:left="0" w:firstLine="422" w:firstLineChars="200"/>
        <w:outlineLvl w:val="0"/>
        <w:rPr>
          <w:rFonts w:ascii="宋体" w:hAnsi="宋体"/>
          <w:b/>
          <w:szCs w:val="21"/>
          <w:highlight w:val="none"/>
        </w:rPr>
      </w:pPr>
      <w:r>
        <w:rPr>
          <w:rFonts w:hint="eastAsia" w:ascii="宋体" w:hAnsi="宋体"/>
          <w:b/>
          <w:szCs w:val="21"/>
          <w:highlight w:val="none"/>
        </w:rPr>
        <w:t>日常维护</w:t>
      </w:r>
    </w:p>
    <w:p>
      <w:pPr>
        <w:numPr>
          <w:ilvl w:val="0"/>
          <w:numId w:val="7"/>
        </w:numPr>
        <w:tabs>
          <w:tab w:val="left" w:pos="0"/>
          <w:tab w:val="clear" w:pos="720"/>
        </w:tabs>
        <w:spacing w:line="360" w:lineRule="auto"/>
        <w:ind w:left="0" w:firstLine="420" w:firstLineChars="200"/>
        <w:rPr>
          <w:rFonts w:ascii="宋体" w:hAnsi="宋体"/>
          <w:color w:val="000000"/>
          <w:szCs w:val="21"/>
          <w:highlight w:val="none"/>
        </w:rPr>
      </w:pPr>
      <w:r>
        <w:rPr>
          <w:rFonts w:hint="eastAsia" w:ascii="宋体" w:hAnsi="宋体"/>
          <w:szCs w:val="21"/>
          <w:highlight w:val="none"/>
        </w:rPr>
        <w:t>稳定运行保障：制定和调整系统检查和维护方案，根据实际使用需求适当开启文件安全摆渡系统的文件审批、文件病毒查杀等功能，保证系统能满足在三个以上的隔离网之间实现跨网文件传输与文件传输安全，承受日常办公中文件传输压力，保障系统高效、稳</w:t>
      </w:r>
      <w:r>
        <w:rPr>
          <w:rFonts w:hint="eastAsia" w:ascii="宋体" w:hAnsi="宋体"/>
          <w:color w:val="000000"/>
          <w:szCs w:val="21"/>
          <w:highlight w:val="none"/>
        </w:rPr>
        <w:t>定地</w:t>
      </w:r>
      <w:r>
        <w:rPr>
          <w:rFonts w:hint="eastAsia" w:ascii="宋体" w:hAnsi="宋体"/>
          <w:szCs w:val="21"/>
          <w:highlight w:val="none"/>
        </w:rPr>
        <w:t>运行</w:t>
      </w:r>
      <w:r>
        <w:rPr>
          <w:rFonts w:hint="eastAsia" w:ascii="宋体" w:hAnsi="宋体"/>
          <w:color w:val="000000"/>
          <w:szCs w:val="21"/>
          <w:highlight w:val="none"/>
        </w:rPr>
        <w:t>。</w:t>
      </w:r>
    </w:p>
    <w:p>
      <w:pPr>
        <w:numPr>
          <w:ilvl w:val="0"/>
          <w:numId w:val="7"/>
        </w:numPr>
        <w:tabs>
          <w:tab w:val="left" w:pos="0"/>
          <w:tab w:val="clear" w:pos="720"/>
        </w:tabs>
        <w:spacing w:line="360" w:lineRule="auto"/>
        <w:ind w:left="0" w:firstLine="420" w:firstLineChars="200"/>
        <w:rPr>
          <w:rFonts w:ascii="宋体" w:hAnsi="宋体"/>
          <w:szCs w:val="21"/>
          <w:highlight w:val="none"/>
        </w:rPr>
      </w:pPr>
      <w:r>
        <w:rPr>
          <w:rFonts w:hint="eastAsia" w:ascii="宋体" w:hAnsi="宋体"/>
          <w:szCs w:val="21"/>
          <w:highlight w:val="none"/>
        </w:rPr>
        <w:t>系统错误修复：用户在使用过程中所产生的系统故障问题，需要在</w:t>
      </w:r>
      <w:r>
        <w:rPr>
          <w:rFonts w:ascii="宋体" w:hAnsi="宋体"/>
          <w:szCs w:val="21"/>
          <w:highlight w:val="none"/>
        </w:rPr>
        <w:t>2</w:t>
      </w:r>
      <w:r>
        <w:rPr>
          <w:rFonts w:hint="eastAsia" w:ascii="宋体" w:hAnsi="宋体"/>
          <w:szCs w:val="21"/>
          <w:highlight w:val="none"/>
        </w:rPr>
        <w:t>个工作日完成系统故障修复。</w:t>
      </w:r>
    </w:p>
    <w:p>
      <w:pPr>
        <w:numPr>
          <w:ilvl w:val="0"/>
          <w:numId w:val="7"/>
        </w:numPr>
        <w:tabs>
          <w:tab w:val="left" w:pos="0"/>
          <w:tab w:val="clear" w:pos="720"/>
        </w:tabs>
        <w:spacing w:line="360" w:lineRule="auto"/>
        <w:ind w:left="0" w:firstLine="420" w:firstLineChars="200"/>
        <w:rPr>
          <w:rFonts w:ascii="宋体" w:hAnsi="宋体"/>
          <w:szCs w:val="21"/>
          <w:highlight w:val="none"/>
        </w:rPr>
      </w:pPr>
      <w:r>
        <w:rPr>
          <w:rFonts w:hint="eastAsia" w:ascii="宋体" w:hAnsi="宋体"/>
          <w:szCs w:val="21"/>
          <w:highlight w:val="none"/>
        </w:rPr>
        <w:t>系统数据修复：系统使用过程中，因用户误操作等原因导致系统数据错误，需要查明问题原因和进行数据修复。在</w:t>
      </w:r>
      <w:r>
        <w:rPr>
          <w:rFonts w:ascii="宋体" w:hAnsi="宋体"/>
          <w:szCs w:val="21"/>
          <w:highlight w:val="none"/>
        </w:rPr>
        <w:t>7</w:t>
      </w:r>
      <w:r>
        <w:rPr>
          <w:rFonts w:hint="eastAsia" w:ascii="宋体" w:hAnsi="宋体"/>
          <w:szCs w:val="21"/>
          <w:highlight w:val="none"/>
        </w:rPr>
        <w:t>个工作日完成修复。</w:t>
      </w:r>
    </w:p>
    <w:p>
      <w:pPr>
        <w:numPr>
          <w:ilvl w:val="0"/>
          <w:numId w:val="7"/>
        </w:numPr>
        <w:tabs>
          <w:tab w:val="left" w:pos="0"/>
          <w:tab w:val="clear" w:pos="720"/>
        </w:tabs>
        <w:spacing w:line="360" w:lineRule="auto"/>
        <w:ind w:left="0" w:firstLine="420" w:firstLineChars="200"/>
        <w:rPr>
          <w:rFonts w:ascii="宋体" w:hAnsi="宋体"/>
          <w:szCs w:val="21"/>
          <w:highlight w:val="none"/>
        </w:rPr>
      </w:pPr>
      <w:r>
        <w:rPr>
          <w:rFonts w:hint="eastAsia" w:ascii="宋体" w:hAnsi="宋体"/>
          <w:szCs w:val="21"/>
          <w:highlight w:val="none"/>
        </w:rPr>
        <w:t>实施培训：负责因各种原因变化增加的项目实施和人员的系统培训工作。</w:t>
      </w:r>
    </w:p>
    <w:p>
      <w:pPr>
        <w:numPr>
          <w:ilvl w:val="0"/>
          <w:numId w:val="6"/>
        </w:numPr>
        <w:tabs>
          <w:tab w:val="left" w:pos="0"/>
          <w:tab w:val="clear" w:pos="420"/>
        </w:tabs>
        <w:spacing w:beforeLines="50" w:line="360" w:lineRule="auto"/>
        <w:ind w:left="0" w:firstLine="422" w:firstLineChars="200"/>
        <w:outlineLvl w:val="0"/>
        <w:rPr>
          <w:rFonts w:ascii="宋体" w:hAnsi="宋体"/>
          <w:b/>
          <w:szCs w:val="21"/>
          <w:highlight w:val="none"/>
        </w:rPr>
      </w:pPr>
      <w:r>
        <w:rPr>
          <w:rFonts w:hint="eastAsia" w:ascii="宋体" w:hAnsi="宋体"/>
          <w:b/>
          <w:szCs w:val="21"/>
          <w:highlight w:val="none"/>
        </w:rPr>
        <w:t>修改调整</w:t>
      </w:r>
    </w:p>
    <w:p>
      <w:pPr>
        <w:spacing w:line="360" w:lineRule="auto"/>
        <w:ind w:firstLine="420" w:firstLineChars="200"/>
        <w:rPr>
          <w:rFonts w:ascii="宋体" w:hAnsi="宋体"/>
          <w:szCs w:val="21"/>
          <w:highlight w:val="none"/>
        </w:rPr>
      </w:pPr>
      <w:r>
        <w:rPr>
          <w:rFonts w:hint="eastAsia" w:ascii="宋体" w:hAnsi="宋体"/>
          <w:szCs w:val="21"/>
          <w:highlight w:val="none"/>
        </w:rPr>
        <w:t>根据院方的要求修改文件安全摆渡系统的策略配置，使其更完善、适应环境的变化，将策略变更内容进行梳理，输出系统策略变更表，便于后续开展系统维护工作。</w:t>
      </w:r>
    </w:p>
    <w:p>
      <w:pPr>
        <w:pStyle w:val="2"/>
        <w:numPr>
          <w:ilvl w:val="0"/>
          <w:numId w:val="3"/>
        </w:numPr>
        <w:spacing w:before="0" w:after="0"/>
        <w:rPr>
          <w:rFonts w:ascii="宋体" w:hAnsi="宋体"/>
          <w:sz w:val="32"/>
          <w:szCs w:val="32"/>
          <w:highlight w:val="none"/>
        </w:rPr>
      </w:pPr>
      <w:r>
        <w:rPr>
          <w:rFonts w:hint="eastAsia" w:ascii="宋体" w:hAnsi="宋体"/>
          <w:sz w:val="32"/>
          <w:szCs w:val="32"/>
          <w:highlight w:val="none"/>
        </w:rPr>
        <w:t>服务方式</w:t>
      </w:r>
    </w:p>
    <w:p>
      <w:pPr>
        <w:numPr>
          <w:ilvl w:val="0"/>
          <w:numId w:val="8"/>
        </w:numPr>
        <w:spacing w:line="360" w:lineRule="auto"/>
        <w:ind w:firstLineChars="200"/>
        <w:rPr>
          <w:rFonts w:ascii="宋体" w:hAnsi="宋体"/>
          <w:szCs w:val="21"/>
          <w:highlight w:val="none"/>
        </w:rPr>
      </w:pPr>
      <w:r>
        <w:rPr>
          <w:rFonts w:hint="eastAsia" w:ascii="宋体" w:hAnsi="宋体"/>
          <w:szCs w:val="21"/>
          <w:highlight w:val="none"/>
        </w:rPr>
        <w:t>供应商成立专门的项目组开展工作，指派专人负责，按时完成工作内容。</w:t>
      </w:r>
    </w:p>
    <w:p>
      <w:pPr>
        <w:numPr>
          <w:ilvl w:val="0"/>
          <w:numId w:val="8"/>
        </w:numPr>
        <w:spacing w:line="360" w:lineRule="auto"/>
        <w:ind w:firstLineChars="200"/>
        <w:rPr>
          <w:rFonts w:ascii="宋体" w:hAnsi="宋体"/>
          <w:szCs w:val="21"/>
          <w:highlight w:val="none"/>
        </w:rPr>
      </w:pPr>
      <w:r>
        <w:rPr>
          <w:rFonts w:hint="eastAsia" w:ascii="宋体" w:hAnsi="宋体"/>
          <w:szCs w:val="21"/>
          <w:highlight w:val="none"/>
        </w:rPr>
        <w:t>以现场服务为主，其它电话、邮件指导、远程维护、技术交流方式不限。</w:t>
      </w:r>
    </w:p>
    <w:p>
      <w:pPr>
        <w:pStyle w:val="2"/>
        <w:numPr>
          <w:ilvl w:val="0"/>
          <w:numId w:val="3"/>
        </w:numPr>
        <w:spacing w:before="0" w:after="0"/>
        <w:rPr>
          <w:rFonts w:ascii="宋体" w:hAnsi="宋体"/>
          <w:sz w:val="32"/>
          <w:szCs w:val="32"/>
          <w:highlight w:val="none"/>
        </w:rPr>
      </w:pPr>
      <w:r>
        <w:rPr>
          <w:rFonts w:hint="eastAsia" w:ascii="宋体" w:hAnsi="宋体"/>
          <w:sz w:val="32"/>
          <w:szCs w:val="32"/>
          <w:highlight w:val="none"/>
        </w:rPr>
        <w:t>服务时间</w:t>
      </w:r>
    </w:p>
    <w:p>
      <w:pPr>
        <w:tabs>
          <w:tab w:val="left" w:pos="567"/>
        </w:tabs>
        <w:spacing w:beforeLines="50" w:line="360" w:lineRule="auto"/>
        <w:ind w:firstLine="420" w:firstLineChars="200"/>
        <w:outlineLvl w:val="0"/>
        <w:rPr>
          <w:rFonts w:ascii="宋体" w:hAnsi="宋体"/>
          <w:szCs w:val="21"/>
          <w:highlight w:val="none"/>
        </w:rPr>
      </w:pPr>
      <w:r>
        <w:rPr>
          <w:rFonts w:hint="eastAsia" w:ascii="宋体" w:hAnsi="宋体"/>
          <w:szCs w:val="21"/>
          <w:highlight w:val="none"/>
        </w:rPr>
        <w:t>文件安全摆渡系统的维保期为验收后</w:t>
      </w:r>
      <w:r>
        <w:rPr>
          <w:rFonts w:ascii="宋体" w:hAnsi="宋体"/>
          <w:szCs w:val="21"/>
          <w:highlight w:val="none"/>
        </w:rPr>
        <w:t>36</w:t>
      </w:r>
      <w:r>
        <w:rPr>
          <w:rFonts w:hint="eastAsia" w:ascii="宋体" w:hAnsi="宋体"/>
          <w:szCs w:val="21"/>
          <w:highlight w:val="none"/>
        </w:rPr>
        <w:t>个月。</w:t>
      </w:r>
    </w:p>
    <w:p>
      <w:pPr>
        <w:pStyle w:val="2"/>
        <w:numPr>
          <w:ilvl w:val="0"/>
          <w:numId w:val="3"/>
        </w:numPr>
        <w:spacing w:before="0" w:after="0"/>
        <w:rPr>
          <w:rFonts w:ascii="宋体" w:hAnsi="宋体"/>
          <w:sz w:val="32"/>
          <w:szCs w:val="32"/>
          <w:highlight w:val="none"/>
        </w:rPr>
      </w:pPr>
      <w:r>
        <w:rPr>
          <w:rFonts w:hint="eastAsia" w:ascii="宋体" w:hAnsi="宋体"/>
          <w:sz w:val="32"/>
          <w:szCs w:val="32"/>
          <w:highlight w:val="none"/>
        </w:rPr>
        <w:t>服务响应要求</w:t>
      </w:r>
    </w:p>
    <w:p>
      <w:pPr>
        <w:numPr>
          <w:ilvl w:val="0"/>
          <w:numId w:val="9"/>
        </w:numPr>
        <w:tabs>
          <w:tab w:val="left" w:pos="0"/>
        </w:tabs>
        <w:spacing w:beforeLines="50" w:line="360" w:lineRule="auto"/>
        <w:ind w:firstLine="422" w:firstLineChars="200"/>
        <w:outlineLvl w:val="0"/>
        <w:rPr>
          <w:rFonts w:ascii="宋体" w:hAnsi="宋体"/>
          <w:b/>
          <w:szCs w:val="21"/>
          <w:highlight w:val="none"/>
        </w:rPr>
      </w:pPr>
      <w:r>
        <w:rPr>
          <w:rFonts w:hint="eastAsia" w:ascii="宋体" w:hAnsi="宋体"/>
          <w:b/>
          <w:szCs w:val="21"/>
          <w:highlight w:val="none"/>
        </w:rPr>
        <w:t>日常维护响应</w:t>
      </w:r>
    </w:p>
    <w:p>
      <w:pPr>
        <w:numPr>
          <w:ilvl w:val="0"/>
          <w:numId w:val="10"/>
        </w:numPr>
        <w:tabs>
          <w:tab w:val="left" w:pos="0"/>
          <w:tab w:val="left" w:pos="420"/>
        </w:tabs>
        <w:spacing w:beforeLines="50" w:line="360" w:lineRule="auto"/>
        <w:ind w:firstLine="420" w:firstLineChars="200"/>
        <w:outlineLvl w:val="0"/>
        <w:rPr>
          <w:rFonts w:ascii="宋体" w:hAnsi="宋体"/>
          <w:b/>
          <w:szCs w:val="21"/>
          <w:highlight w:val="none"/>
        </w:rPr>
      </w:pPr>
      <w:bookmarkStart w:id="0" w:name="_Hlk126330541"/>
      <w:r>
        <w:rPr>
          <w:rFonts w:hint="eastAsia" w:ascii="宋体" w:hAnsi="宋体" w:cs="宋体"/>
          <w:szCs w:val="21"/>
          <w:highlight w:val="none"/>
        </w:rPr>
        <w:t>售后服务需求发起后，供应商需要在</w:t>
      </w:r>
      <w:r>
        <w:rPr>
          <w:rFonts w:ascii="宋体" w:hAnsi="宋体"/>
          <w:szCs w:val="21"/>
          <w:highlight w:val="none"/>
        </w:rPr>
        <w:t>1</w:t>
      </w:r>
      <w:r>
        <w:rPr>
          <w:rFonts w:hint="eastAsia" w:ascii="宋体" w:hAnsi="宋体"/>
          <w:szCs w:val="21"/>
          <w:highlight w:val="none"/>
        </w:rPr>
        <w:t>小时内响应；紧急情况下，</w:t>
      </w:r>
      <w:r>
        <w:rPr>
          <w:rFonts w:ascii="宋体" w:hAnsi="宋体"/>
          <w:szCs w:val="21"/>
          <w:highlight w:val="none"/>
        </w:rPr>
        <w:t>2</w:t>
      </w:r>
      <w:r>
        <w:rPr>
          <w:rFonts w:hint="eastAsia" w:ascii="宋体" w:hAnsi="宋体"/>
          <w:szCs w:val="21"/>
          <w:highlight w:val="none"/>
        </w:rPr>
        <w:t>小时到达用户现场</w:t>
      </w:r>
      <w:bookmarkEnd w:id="0"/>
      <w:r>
        <w:rPr>
          <w:rFonts w:hint="eastAsia" w:ascii="宋体" w:hAnsi="宋体"/>
          <w:szCs w:val="21"/>
          <w:highlight w:val="none"/>
        </w:rPr>
        <w:t>。</w:t>
      </w:r>
    </w:p>
    <w:p>
      <w:pPr>
        <w:numPr>
          <w:ilvl w:val="0"/>
          <w:numId w:val="10"/>
        </w:numPr>
        <w:tabs>
          <w:tab w:val="left" w:pos="0"/>
          <w:tab w:val="left" w:pos="420"/>
        </w:tabs>
        <w:spacing w:beforeLines="50" w:line="360" w:lineRule="auto"/>
        <w:ind w:firstLine="420" w:firstLineChars="200"/>
        <w:outlineLvl w:val="0"/>
        <w:rPr>
          <w:rFonts w:ascii="宋体" w:hAnsi="宋体" w:cs="宋体"/>
          <w:szCs w:val="21"/>
          <w:highlight w:val="none"/>
        </w:rPr>
      </w:pPr>
      <w:r>
        <w:rPr>
          <w:rFonts w:hint="eastAsia" w:ascii="宋体" w:hAnsi="宋体" w:cs="宋体"/>
          <w:szCs w:val="21"/>
          <w:highlight w:val="none"/>
        </w:rPr>
        <w:t>供应商应提出故障解决方案，工作至故障完全修复且系统正常提供服务为止，修复时间不超过</w:t>
      </w:r>
      <w:r>
        <w:rPr>
          <w:rFonts w:ascii="宋体" w:hAnsi="宋体" w:cs="宋体"/>
          <w:szCs w:val="21"/>
          <w:highlight w:val="none"/>
        </w:rPr>
        <w:t>2</w:t>
      </w:r>
      <w:r>
        <w:rPr>
          <w:rFonts w:hint="eastAsia" w:ascii="宋体" w:hAnsi="宋体" w:cs="宋体"/>
          <w:szCs w:val="21"/>
          <w:highlight w:val="none"/>
        </w:rPr>
        <w:t>个工作日。</w:t>
      </w:r>
    </w:p>
    <w:p>
      <w:pPr>
        <w:numPr>
          <w:ilvl w:val="0"/>
          <w:numId w:val="9"/>
        </w:numPr>
        <w:tabs>
          <w:tab w:val="left" w:pos="0"/>
        </w:tabs>
        <w:spacing w:beforeLines="50" w:line="360" w:lineRule="auto"/>
        <w:ind w:firstLine="422" w:firstLineChars="200"/>
        <w:outlineLvl w:val="0"/>
        <w:rPr>
          <w:rFonts w:ascii="宋体" w:hAnsi="宋体"/>
          <w:b/>
          <w:szCs w:val="21"/>
          <w:highlight w:val="none"/>
        </w:rPr>
      </w:pPr>
      <w:r>
        <w:rPr>
          <w:rFonts w:hint="eastAsia" w:ascii="宋体" w:hAnsi="宋体"/>
          <w:b/>
          <w:szCs w:val="21"/>
          <w:highlight w:val="none"/>
        </w:rPr>
        <w:t>修改调整响应：</w:t>
      </w:r>
      <w:r>
        <w:rPr>
          <w:rFonts w:hint="eastAsia" w:ascii="宋体" w:hAnsi="宋体"/>
          <w:bCs/>
          <w:szCs w:val="21"/>
          <w:highlight w:val="none"/>
        </w:rPr>
        <w:t>供应商应在院方提交修改调整内容后的</w:t>
      </w:r>
      <w:r>
        <w:rPr>
          <w:rFonts w:ascii="宋体" w:hAnsi="宋体"/>
          <w:bCs/>
          <w:szCs w:val="21"/>
          <w:highlight w:val="none"/>
        </w:rPr>
        <w:t>2</w:t>
      </w:r>
      <w:r>
        <w:rPr>
          <w:rFonts w:hint="eastAsia" w:ascii="宋体" w:hAnsi="宋体"/>
          <w:bCs/>
          <w:szCs w:val="21"/>
          <w:highlight w:val="none"/>
        </w:rPr>
        <w:t>天内落实交付。</w:t>
      </w:r>
    </w:p>
    <w:p>
      <w:pPr>
        <w:tabs>
          <w:tab w:val="left" w:pos="0"/>
        </w:tabs>
        <w:spacing w:beforeLines="50" w:line="360" w:lineRule="auto"/>
        <w:ind w:firstLine="420" w:firstLineChars="200"/>
        <w:outlineLvl w:val="0"/>
        <w:rPr>
          <w:rFonts w:ascii="宋体" w:hAnsi="宋体"/>
          <w:bCs/>
          <w:szCs w:val="21"/>
          <w:highlight w:val="none"/>
        </w:rPr>
      </w:pPr>
      <w:r>
        <w:rPr>
          <w:rFonts w:hint="eastAsia" w:ascii="宋体" w:hAnsi="宋体"/>
          <w:bCs/>
          <w:szCs w:val="21"/>
          <w:highlight w:val="none"/>
        </w:rPr>
        <w:t>若供应商未能及时进行需求响应，院方有权终止维护合同。</w:t>
      </w:r>
    </w:p>
    <w:p>
      <w:pPr>
        <w:numPr>
          <w:ilvl w:val="0"/>
          <w:numId w:val="9"/>
        </w:numPr>
        <w:tabs>
          <w:tab w:val="left" w:pos="0"/>
        </w:tabs>
        <w:spacing w:beforeLines="50" w:line="360" w:lineRule="auto"/>
        <w:ind w:firstLine="422" w:firstLineChars="200"/>
        <w:outlineLvl w:val="0"/>
        <w:rPr>
          <w:rFonts w:ascii="宋体" w:hAnsi="宋体"/>
          <w:szCs w:val="21"/>
          <w:highlight w:val="none"/>
        </w:rPr>
      </w:pPr>
      <w:r>
        <w:rPr>
          <w:rFonts w:hint="eastAsia" w:ascii="宋体" w:hAnsi="宋体"/>
          <w:b/>
          <w:szCs w:val="21"/>
          <w:highlight w:val="none"/>
        </w:rPr>
        <w:t>供应商应作出无推诿承诺：</w:t>
      </w:r>
      <w:r>
        <w:rPr>
          <w:rFonts w:hint="eastAsia" w:ascii="宋体" w:hAnsi="宋体"/>
          <w:szCs w:val="21"/>
          <w:highlight w:val="none"/>
        </w:rPr>
        <w:t>即供应商在收到院方故障报修通知及要求后，须立即派技术人员到场，全力协助、使系统尽快恢复正常。</w:t>
      </w:r>
    </w:p>
    <w:p>
      <w:pPr>
        <w:numPr>
          <w:ilvl w:val="0"/>
          <w:numId w:val="9"/>
        </w:numPr>
        <w:tabs>
          <w:tab w:val="left" w:pos="0"/>
        </w:tabs>
        <w:spacing w:beforeLines="50" w:line="360" w:lineRule="auto"/>
        <w:ind w:firstLine="422" w:firstLineChars="200"/>
        <w:outlineLvl w:val="0"/>
        <w:rPr>
          <w:rFonts w:ascii="宋体" w:hAnsi="宋体"/>
          <w:b/>
          <w:szCs w:val="21"/>
          <w:highlight w:val="none"/>
        </w:rPr>
      </w:pPr>
      <w:r>
        <w:rPr>
          <w:rFonts w:hint="eastAsia" w:ascii="宋体" w:hAnsi="宋体"/>
          <w:b/>
          <w:szCs w:val="21"/>
          <w:highlight w:val="none"/>
        </w:rPr>
        <w:t>提供详细的维护人员清单</w:t>
      </w:r>
    </w:p>
    <w:p>
      <w:pPr>
        <w:tabs>
          <w:tab w:val="left" w:pos="0"/>
          <w:tab w:val="left" w:pos="210"/>
          <w:tab w:val="left" w:pos="567"/>
        </w:tabs>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供应商应有专门的维护部门并指定固定技术力量用于信息系统维护，并向用户提供详细的维护人员清单及其联系方式。</w:t>
      </w:r>
    </w:p>
    <w:p>
      <w:pPr>
        <w:numPr>
          <w:ilvl w:val="0"/>
          <w:numId w:val="9"/>
        </w:numPr>
        <w:tabs>
          <w:tab w:val="left" w:pos="0"/>
        </w:tabs>
        <w:spacing w:beforeLines="50" w:line="360" w:lineRule="auto"/>
        <w:ind w:firstLine="422" w:firstLineChars="200"/>
        <w:outlineLvl w:val="0"/>
        <w:rPr>
          <w:rFonts w:ascii="宋体" w:hAnsi="宋体"/>
          <w:b/>
          <w:szCs w:val="21"/>
          <w:highlight w:val="none"/>
        </w:rPr>
      </w:pPr>
      <w:r>
        <w:rPr>
          <w:rFonts w:hint="eastAsia" w:ascii="宋体" w:hAnsi="宋体"/>
          <w:b/>
          <w:szCs w:val="21"/>
          <w:highlight w:val="none"/>
        </w:rPr>
        <w:t>系统维护工作要求</w:t>
      </w:r>
    </w:p>
    <w:p>
      <w:pPr>
        <w:numPr>
          <w:ilvl w:val="0"/>
          <w:numId w:val="11"/>
        </w:numPr>
        <w:tabs>
          <w:tab w:val="left" w:pos="0"/>
          <w:tab w:val="left" w:pos="210"/>
          <w:tab w:val="left" w:pos="567"/>
        </w:tabs>
        <w:spacing w:line="360" w:lineRule="auto"/>
        <w:ind w:left="0" w:firstLine="420" w:firstLineChars="200"/>
        <w:rPr>
          <w:rFonts w:ascii="宋体" w:hAnsi="宋体"/>
          <w:szCs w:val="21"/>
          <w:highlight w:val="none"/>
        </w:rPr>
      </w:pPr>
      <w:r>
        <w:rPr>
          <w:rFonts w:hint="eastAsia" w:ascii="宋体" w:hAnsi="宋体"/>
          <w:szCs w:val="21"/>
          <w:highlight w:val="none"/>
        </w:rPr>
        <w:t>供应商须有完整的维护记录管理，确保所有问题提出及处理有记录，有供双方共同记录反馈的简捷的操作方式，达到经双方确认真实可信，可跟踪问题解决情况，查询所有维护记录，并可作为验收依据。</w:t>
      </w:r>
    </w:p>
    <w:p>
      <w:pPr>
        <w:numPr>
          <w:ilvl w:val="0"/>
          <w:numId w:val="11"/>
        </w:numPr>
        <w:tabs>
          <w:tab w:val="left" w:pos="0"/>
          <w:tab w:val="left" w:pos="210"/>
          <w:tab w:val="left" w:pos="567"/>
        </w:tabs>
        <w:spacing w:line="360" w:lineRule="auto"/>
        <w:ind w:left="0" w:firstLine="420" w:firstLineChars="200"/>
        <w:rPr>
          <w:rFonts w:ascii="宋体" w:hAnsi="宋体"/>
          <w:szCs w:val="21"/>
          <w:highlight w:val="none"/>
        </w:rPr>
      </w:pPr>
      <w:r>
        <w:rPr>
          <w:rFonts w:hint="eastAsia" w:ascii="宋体" w:hAnsi="宋体"/>
          <w:szCs w:val="21"/>
          <w:highlight w:val="none"/>
        </w:rPr>
        <w:t>供应商需根据院方要求，安排维护人员使用院方项目管理平台系统中的需求管理模块和缺陷（报障）管理模块，接收院方相关报障及需求信息，并反馈相应处理信息，该维护记录可作为维保履约证明。</w:t>
      </w:r>
    </w:p>
    <w:p>
      <w:pPr>
        <w:numPr>
          <w:ilvl w:val="0"/>
          <w:numId w:val="11"/>
        </w:numPr>
        <w:tabs>
          <w:tab w:val="left" w:pos="0"/>
          <w:tab w:val="left" w:pos="210"/>
          <w:tab w:val="left" w:pos="567"/>
        </w:tabs>
        <w:spacing w:line="360" w:lineRule="auto"/>
        <w:ind w:left="0" w:firstLine="420" w:firstLineChars="200"/>
        <w:rPr>
          <w:rFonts w:ascii="宋体" w:hAnsi="宋体"/>
          <w:color w:val="000000"/>
          <w:szCs w:val="21"/>
          <w:highlight w:val="none"/>
        </w:rPr>
      </w:pPr>
      <w:r>
        <w:rPr>
          <w:rFonts w:hint="eastAsia" w:ascii="宋体" w:hAnsi="宋体"/>
          <w:szCs w:val="21"/>
          <w:highlight w:val="none"/>
        </w:rPr>
        <w:t>定期每周进行系统巡检，对系统运行的软硬件情况、文件安全交换情况进行监控，并出具巡检报告，针对潜在的风险应提供解决方案并实施。</w:t>
      </w:r>
    </w:p>
    <w:p>
      <w:pPr>
        <w:tabs>
          <w:tab w:val="left" w:pos="780"/>
        </w:tabs>
        <w:spacing w:beforeLines="50" w:line="360" w:lineRule="auto"/>
        <w:ind w:firstLine="630" w:firstLineChars="300"/>
        <w:outlineLvl w:val="0"/>
        <w:rPr>
          <w:rFonts w:ascii="宋体" w:hAnsi="宋体"/>
          <w:szCs w:val="21"/>
          <w:highlight w:val="none"/>
          <w:lang w:val="zh-CN"/>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rPr>
      <w:t>2</w:t>
    </w:r>
    <w:r>
      <w:rPr>
        <w:caps/>
        <w:color w:val="5B9BD5"/>
      </w:rP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304E0"/>
    <w:multiLevelType w:val="singleLevel"/>
    <w:tmpl w:val="024304E0"/>
    <w:lvl w:ilvl="0" w:tentative="0">
      <w:start w:val="1"/>
      <w:numFmt w:val="decimal"/>
      <w:suff w:val="nothing"/>
      <w:lvlText w:val="%1．"/>
      <w:lvlJc w:val="left"/>
      <w:pPr>
        <w:ind w:left="0" w:firstLine="400"/>
      </w:pPr>
      <w:rPr>
        <w:rFonts w:hint="default"/>
        <w:b w:val="0"/>
        <w:bCs w:val="0"/>
      </w:rPr>
    </w:lvl>
  </w:abstractNum>
  <w:abstractNum w:abstractNumId="1">
    <w:nsid w:val="05734DD5"/>
    <w:multiLevelType w:val="multilevel"/>
    <w:tmpl w:val="05734DD5"/>
    <w:lvl w:ilvl="0" w:tentative="0">
      <w:start w:val="1"/>
      <w:numFmt w:val="chineseCountingThousand"/>
      <w:lvlText w:val="(%1)"/>
      <w:lvlJc w:val="left"/>
      <w:pPr>
        <w:tabs>
          <w:tab w:val="left" w:pos="420"/>
        </w:tabs>
        <w:ind w:left="420" w:hanging="420"/>
      </w:pPr>
      <w:rPr>
        <w:rFonts w:hint="default"/>
        <w:lang w:val="en-US"/>
      </w:rPr>
    </w:lvl>
    <w:lvl w:ilvl="1" w:tentative="0">
      <w:start w:val="1"/>
      <w:numFmt w:val="decimal"/>
      <w:lvlText w:val="%2."/>
      <w:lvlJc w:val="left"/>
      <w:pPr>
        <w:tabs>
          <w:tab w:val="left" w:pos="630"/>
        </w:tabs>
        <w:ind w:left="630" w:hanging="210"/>
      </w:pPr>
      <w:rPr>
        <w:rFonts w:hint="default"/>
      </w:rPr>
    </w:lvl>
    <w:lvl w:ilvl="2" w:tentative="0">
      <w:start w:val="1"/>
      <w:numFmt w:val="decimal"/>
      <w:lvlText w:val="%3、"/>
      <w:lvlJc w:val="left"/>
      <w:pPr>
        <w:tabs>
          <w:tab w:val="left" w:pos="1200"/>
        </w:tabs>
        <w:ind w:left="1200" w:hanging="360"/>
      </w:pPr>
      <w:rPr>
        <w:rFonts w:hint="default"/>
        <w:u w:val="none"/>
      </w:rPr>
    </w:lvl>
    <w:lvl w:ilvl="3" w:tentative="0">
      <w:start w:val="1"/>
      <w:numFmt w:val="decimal"/>
      <w:lvlText w:val="%4，"/>
      <w:lvlJc w:val="left"/>
      <w:pPr>
        <w:tabs>
          <w:tab w:val="left" w:pos="1620"/>
        </w:tabs>
        <w:ind w:left="1620" w:hanging="360"/>
      </w:pPr>
      <w:rPr>
        <w:rFonts w:hint="default"/>
        <w:u w:val="none"/>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371EAA0"/>
    <w:multiLevelType w:val="singleLevel"/>
    <w:tmpl w:val="1371EAA0"/>
    <w:lvl w:ilvl="0" w:tentative="0">
      <w:start w:val="1"/>
      <w:numFmt w:val="chineseCounting"/>
      <w:suff w:val="nothing"/>
      <w:lvlText w:val="（%1）"/>
      <w:lvlJc w:val="left"/>
      <w:pPr>
        <w:ind w:left="0" w:firstLine="420"/>
      </w:pPr>
      <w:rPr>
        <w:rFonts w:hint="eastAsia"/>
      </w:rPr>
    </w:lvl>
  </w:abstractNum>
  <w:abstractNum w:abstractNumId="3">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4">
    <w:nsid w:val="2D94410C"/>
    <w:multiLevelType w:val="multilevel"/>
    <w:tmpl w:val="2D94410C"/>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5">
    <w:nsid w:val="3EBB3C91"/>
    <w:multiLevelType w:val="multilevel"/>
    <w:tmpl w:val="3EBB3C91"/>
    <w:lvl w:ilvl="0" w:tentative="0">
      <w:start w:val="1"/>
      <w:numFmt w:val="decimal"/>
      <w:pStyle w:val="57"/>
      <w:lvlText w:val="%1. "/>
      <w:lvlJc w:val="left"/>
      <w:pPr>
        <w:ind w:left="420" w:hanging="420"/>
      </w:pPr>
      <w:rPr>
        <w:rFonts w:hint="default" w:ascii="Times New Roman" w:hAnsi="Times New Roman" w:eastAsia="宋体"/>
        <w:b/>
        <w:i w:val="0"/>
      </w:rPr>
    </w:lvl>
    <w:lvl w:ilvl="1" w:tentative="0">
      <w:start w:val="1"/>
      <w:numFmt w:val="decimal"/>
      <w:pStyle w:val="50"/>
      <w:isLgl/>
      <w:suff w:val="space"/>
      <w:lvlText w:val="%1.%2 "/>
      <w:lvlJc w:val="left"/>
      <w:pPr>
        <w:ind w:left="3913" w:hanging="794"/>
      </w:pPr>
      <w:rPr>
        <w:rFonts w:hint="eastAsia"/>
      </w:rPr>
    </w:lvl>
    <w:lvl w:ilvl="2" w:tentative="0">
      <w:start w:val="1"/>
      <w:numFmt w:val="decimal"/>
      <w:pStyle w:val="56"/>
      <w:isLgl/>
      <w:suff w:val="space"/>
      <w:lvlText w:val="%1.%2.%3 "/>
      <w:lvlJc w:val="left"/>
      <w:pPr>
        <w:ind w:left="907" w:hanging="907"/>
      </w:pPr>
      <w:rPr>
        <w:rFonts w:hint="eastAsia"/>
      </w:rPr>
    </w:lvl>
    <w:lvl w:ilvl="3" w:tentative="0">
      <w:start w:val="1"/>
      <w:numFmt w:val="decimal"/>
      <w:pStyle w:val="55"/>
      <w:isLgl/>
      <w:suff w:val="space"/>
      <w:lvlText w:val="%1.%2.%3.%4 "/>
      <w:lvlJc w:val="left"/>
      <w:pPr>
        <w:ind w:left="1021" w:hanging="1021"/>
      </w:pPr>
      <w:rPr>
        <w:rFonts w:hint="eastAsia"/>
      </w:rPr>
    </w:lvl>
    <w:lvl w:ilvl="4" w:tentative="0">
      <w:start w:val="1"/>
      <w:numFmt w:val="decimal"/>
      <w:pStyle w:val="60"/>
      <w:isLgl/>
      <w:suff w:val="space"/>
      <w:lvlText w:val="%1.%2.%3.%4.%5 "/>
      <w:lvlJc w:val="left"/>
      <w:pPr>
        <w:ind w:left="1134" w:hanging="1134"/>
      </w:pPr>
      <w:rPr>
        <w:rFonts w:hint="eastAsia"/>
      </w:rPr>
    </w:lvl>
    <w:lvl w:ilvl="5" w:tentative="0">
      <w:start w:val="1"/>
      <w:numFmt w:val="decimal"/>
      <w:pStyle w:val="54"/>
      <w:isLgl/>
      <w:suff w:val="space"/>
      <w:lvlText w:val="%1.%2.%3.%4.%5.%6 "/>
      <w:lvlJc w:val="left"/>
      <w:pPr>
        <w:ind w:left="1247" w:hanging="1247"/>
      </w:pPr>
      <w:rPr>
        <w:rFonts w:hint="eastAsia"/>
      </w:rPr>
    </w:lvl>
    <w:lvl w:ilvl="6" w:tentative="0">
      <w:start w:val="1"/>
      <w:numFmt w:val="decimal"/>
      <w:lvlRestart w:val="1"/>
      <w:pStyle w:val="49"/>
      <w:isLgl/>
      <w:suff w:val="space"/>
      <w:lvlText w:val="图 %1.%7 "/>
      <w:lvlJc w:val="left"/>
      <w:pPr>
        <w:ind w:left="0" w:firstLine="0"/>
      </w:pPr>
      <w:rPr>
        <w:rFonts w:hint="eastAsia"/>
      </w:rPr>
    </w:lvl>
    <w:lvl w:ilvl="7" w:tentative="0">
      <w:start w:val="1"/>
      <w:numFmt w:val="decimal"/>
      <w:lvlRestart w:val="1"/>
      <w:pStyle w:val="59"/>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7">
    <w:nsid w:val="56E26F0B"/>
    <w:multiLevelType w:val="multilevel"/>
    <w:tmpl w:val="56E26F0B"/>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2C2438C"/>
    <w:multiLevelType w:val="singleLevel"/>
    <w:tmpl w:val="72C2438C"/>
    <w:lvl w:ilvl="0" w:tentative="0">
      <w:start w:val="1"/>
      <w:numFmt w:val="chineseCounting"/>
      <w:suff w:val="nothing"/>
      <w:lvlText w:val="（%1）"/>
      <w:lvlJc w:val="left"/>
      <w:pPr>
        <w:ind w:left="0" w:firstLine="420"/>
      </w:pPr>
      <w:rPr>
        <w:rFonts w:hint="eastAsia"/>
        <w:b/>
        <w:bCs/>
      </w:rPr>
    </w:lvl>
  </w:abstractNum>
  <w:abstractNum w:abstractNumId="9">
    <w:nsid w:val="7400689C"/>
    <w:multiLevelType w:val="multilevel"/>
    <w:tmpl w:val="7400689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F3A4506"/>
    <w:multiLevelType w:val="singleLevel"/>
    <w:tmpl w:val="7F3A4506"/>
    <w:lvl w:ilvl="0" w:tentative="0">
      <w:start w:val="1"/>
      <w:numFmt w:val="decimal"/>
      <w:lvlText w:val="%1."/>
      <w:lvlJc w:val="left"/>
      <w:pPr>
        <w:tabs>
          <w:tab w:val="left" w:pos="312"/>
        </w:tabs>
      </w:pPr>
    </w:lvl>
  </w:abstractNum>
  <w:num w:numId="1">
    <w:abstractNumId w:val="3"/>
  </w:num>
  <w:num w:numId="2">
    <w:abstractNumId w:val="5"/>
  </w:num>
  <w:num w:numId="3">
    <w:abstractNumId w:val="6"/>
  </w:num>
  <w:num w:numId="4">
    <w:abstractNumId w:val="9"/>
  </w:num>
  <w:num w:numId="5">
    <w:abstractNumId w:val="10"/>
  </w:num>
  <w:num w:numId="6">
    <w:abstractNumId w:val="1"/>
  </w:num>
  <w:num w:numId="7">
    <w:abstractNumId w:val="4"/>
  </w:num>
  <w:num w:numId="8">
    <w:abstractNumId w:val="2"/>
  </w:num>
  <w:num w:numId="9">
    <w:abstractNumId w:val="8"/>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Q4OGZiZTQ0YTE3OTJkYWVhZjcyNDNjZTQ0NTkzN2IifQ=="/>
  </w:docVars>
  <w:rsids>
    <w:rsidRoot w:val="00303343"/>
    <w:rsid w:val="000051D2"/>
    <w:rsid w:val="000079DD"/>
    <w:rsid w:val="00011C24"/>
    <w:rsid w:val="00012DCC"/>
    <w:rsid w:val="00016B63"/>
    <w:rsid w:val="0004334E"/>
    <w:rsid w:val="00046B39"/>
    <w:rsid w:val="00054706"/>
    <w:rsid w:val="00065735"/>
    <w:rsid w:val="000668C4"/>
    <w:rsid w:val="00066DE7"/>
    <w:rsid w:val="00074EDD"/>
    <w:rsid w:val="0007554E"/>
    <w:rsid w:val="000757C1"/>
    <w:rsid w:val="00086AE0"/>
    <w:rsid w:val="0009064D"/>
    <w:rsid w:val="00090A18"/>
    <w:rsid w:val="000B1CFF"/>
    <w:rsid w:val="000B41B7"/>
    <w:rsid w:val="000B74E0"/>
    <w:rsid w:val="000D5317"/>
    <w:rsid w:val="000E276C"/>
    <w:rsid w:val="00106D68"/>
    <w:rsid w:val="001106CE"/>
    <w:rsid w:val="001107F8"/>
    <w:rsid w:val="001116F6"/>
    <w:rsid w:val="001161EB"/>
    <w:rsid w:val="00121E40"/>
    <w:rsid w:val="0012322D"/>
    <w:rsid w:val="00123CDF"/>
    <w:rsid w:val="00123FCC"/>
    <w:rsid w:val="00134D06"/>
    <w:rsid w:val="00135BF9"/>
    <w:rsid w:val="001365DD"/>
    <w:rsid w:val="00136606"/>
    <w:rsid w:val="00140E0C"/>
    <w:rsid w:val="0014437A"/>
    <w:rsid w:val="00147436"/>
    <w:rsid w:val="00153AB3"/>
    <w:rsid w:val="0016219D"/>
    <w:rsid w:val="00162D29"/>
    <w:rsid w:val="00164878"/>
    <w:rsid w:val="00165091"/>
    <w:rsid w:val="00171903"/>
    <w:rsid w:val="0018200C"/>
    <w:rsid w:val="001833B6"/>
    <w:rsid w:val="00190CD2"/>
    <w:rsid w:val="00194BFE"/>
    <w:rsid w:val="00196388"/>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17012"/>
    <w:rsid w:val="00220D49"/>
    <w:rsid w:val="00221F1F"/>
    <w:rsid w:val="00223E47"/>
    <w:rsid w:val="00241D77"/>
    <w:rsid w:val="002509F5"/>
    <w:rsid w:val="002515F7"/>
    <w:rsid w:val="002535AA"/>
    <w:rsid w:val="00261CBC"/>
    <w:rsid w:val="00265DE7"/>
    <w:rsid w:val="00270260"/>
    <w:rsid w:val="002722CA"/>
    <w:rsid w:val="002834D3"/>
    <w:rsid w:val="002853BF"/>
    <w:rsid w:val="00292528"/>
    <w:rsid w:val="002A01D6"/>
    <w:rsid w:val="002A4778"/>
    <w:rsid w:val="002A6B7F"/>
    <w:rsid w:val="002C0182"/>
    <w:rsid w:val="002C53D1"/>
    <w:rsid w:val="002D6BE1"/>
    <w:rsid w:val="002F31F1"/>
    <w:rsid w:val="003024F8"/>
    <w:rsid w:val="00303343"/>
    <w:rsid w:val="00303CAB"/>
    <w:rsid w:val="003042A2"/>
    <w:rsid w:val="00304636"/>
    <w:rsid w:val="00311322"/>
    <w:rsid w:val="00314487"/>
    <w:rsid w:val="00314A5A"/>
    <w:rsid w:val="00322973"/>
    <w:rsid w:val="00326223"/>
    <w:rsid w:val="00330EF9"/>
    <w:rsid w:val="003325F0"/>
    <w:rsid w:val="00341038"/>
    <w:rsid w:val="00352E7C"/>
    <w:rsid w:val="00353276"/>
    <w:rsid w:val="00360458"/>
    <w:rsid w:val="0036193C"/>
    <w:rsid w:val="00366980"/>
    <w:rsid w:val="00370A5D"/>
    <w:rsid w:val="003730FC"/>
    <w:rsid w:val="003802E2"/>
    <w:rsid w:val="00385E95"/>
    <w:rsid w:val="00385FED"/>
    <w:rsid w:val="00397B7E"/>
    <w:rsid w:val="003A6EB3"/>
    <w:rsid w:val="003A7269"/>
    <w:rsid w:val="003C0FB7"/>
    <w:rsid w:val="003C6D81"/>
    <w:rsid w:val="003D0F80"/>
    <w:rsid w:val="003D2595"/>
    <w:rsid w:val="003E7083"/>
    <w:rsid w:val="003F100F"/>
    <w:rsid w:val="003F629F"/>
    <w:rsid w:val="00403938"/>
    <w:rsid w:val="00412F7A"/>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87A14"/>
    <w:rsid w:val="00493BD4"/>
    <w:rsid w:val="00495574"/>
    <w:rsid w:val="004A44FF"/>
    <w:rsid w:val="004C2C5B"/>
    <w:rsid w:val="004E2D8F"/>
    <w:rsid w:val="004E334B"/>
    <w:rsid w:val="004E5E61"/>
    <w:rsid w:val="004F1410"/>
    <w:rsid w:val="00500264"/>
    <w:rsid w:val="00510B1E"/>
    <w:rsid w:val="005120A9"/>
    <w:rsid w:val="00517D7C"/>
    <w:rsid w:val="00520646"/>
    <w:rsid w:val="0052176F"/>
    <w:rsid w:val="0052604B"/>
    <w:rsid w:val="0053088D"/>
    <w:rsid w:val="00534BF6"/>
    <w:rsid w:val="00535840"/>
    <w:rsid w:val="00537CDE"/>
    <w:rsid w:val="005409FC"/>
    <w:rsid w:val="00544FC6"/>
    <w:rsid w:val="005563D3"/>
    <w:rsid w:val="0056057F"/>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E7C53"/>
    <w:rsid w:val="005F0356"/>
    <w:rsid w:val="005F6979"/>
    <w:rsid w:val="005F73BC"/>
    <w:rsid w:val="00600923"/>
    <w:rsid w:val="006022F8"/>
    <w:rsid w:val="006053FC"/>
    <w:rsid w:val="00612F3F"/>
    <w:rsid w:val="00620E68"/>
    <w:rsid w:val="00623637"/>
    <w:rsid w:val="006279C6"/>
    <w:rsid w:val="00644F1D"/>
    <w:rsid w:val="00646B59"/>
    <w:rsid w:val="0064787E"/>
    <w:rsid w:val="006604C2"/>
    <w:rsid w:val="006861F5"/>
    <w:rsid w:val="00694525"/>
    <w:rsid w:val="00697C03"/>
    <w:rsid w:val="00697FBB"/>
    <w:rsid w:val="006B2085"/>
    <w:rsid w:val="006B21B8"/>
    <w:rsid w:val="006B2502"/>
    <w:rsid w:val="006B7B58"/>
    <w:rsid w:val="006C36EB"/>
    <w:rsid w:val="006D4B15"/>
    <w:rsid w:val="006D59F7"/>
    <w:rsid w:val="006E5E07"/>
    <w:rsid w:val="006F0434"/>
    <w:rsid w:val="00701D12"/>
    <w:rsid w:val="0070239F"/>
    <w:rsid w:val="00722AE8"/>
    <w:rsid w:val="0072309C"/>
    <w:rsid w:val="0072695B"/>
    <w:rsid w:val="00735A4B"/>
    <w:rsid w:val="0074224C"/>
    <w:rsid w:val="00750A70"/>
    <w:rsid w:val="00752912"/>
    <w:rsid w:val="00753538"/>
    <w:rsid w:val="007556BE"/>
    <w:rsid w:val="007621CC"/>
    <w:rsid w:val="0076668A"/>
    <w:rsid w:val="00773061"/>
    <w:rsid w:val="00773560"/>
    <w:rsid w:val="00784C08"/>
    <w:rsid w:val="00785EDF"/>
    <w:rsid w:val="00786A29"/>
    <w:rsid w:val="00793302"/>
    <w:rsid w:val="00795F59"/>
    <w:rsid w:val="007C0A5B"/>
    <w:rsid w:val="007D22AB"/>
    <w:rsid w:val="007E71E6"/>
    <w:rsid w:val="007F5726"/>
    <w:rsid w:val="00802C29"/>
    <w:rsid w:val="00805369"/>
    <w:rsid w:val="008168FB"/>
    <w:rsid w:val="00822BA6"/>
    <w:rsid w:val="008419E9"/>
    <w:rsid w:val="00853DBF"/>
    <w:rsid w:val="008548FB"/>
    <w:rsid w:val="008623FD"/>
    <w:rsid w:val="00866774"/>
    <w:rsid w:val="00870E5A"/>
    <w:rsid w:val="00873B97"/>
    <w:rsid w:val="008845F5"/>
    <w:rsid w:val="008A0F4F"/>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244"/>
    <w:rsid w:val="009303FA"/>
    <w:rsid w:val="00941F0C"/>
    <w:rsid w:val="00943004"/>
    <w:rsid w:val="00955A04"/>
    <w:rsid w:val="00966A88"/>
    <w:rsid w:val="00973A47"/>
    <w:rsid w:val="00981ED8"/>
    <w:rsid w:val="009822C7"/>
    <w:rsid w:val="00982AA3"/>
    <w:rsid w:val="009863EF"/>
    <w:rsid w:val="00986A41"/>
    <w:rsid w:val="0098719A"/>
    <w:rsid w:val="00991FF2"/>
    <w:rsid w:val="0099315B"/>
    <w:rsid w:val="009949B5"/>
    <w:rsid w:val="00995DD9"/>
    <w:rsid w:val="00997A65"/>
    <w:rsid w:val="009B2BE7"/>
    <w:rsid w:val="009C1F02"/>
    <w:rsid w:val="009C3783"/>
    <w:rsid w:val="009C4E7E"/>
    <w:rsid w:val="009D0B4D"/>
    <w:rsid w:val="009D6951"/>
    <w:rsid w:val="009D7DD1"/>
    <w:rsid w:val="009E0351"/>
    <w:rsid w:val="009E214B"/>
    <w:rsid w:val="009E53AF"/>
    <w:rsid w:val="009F0270"/>
    <w:rsid w:val="009F61FA"/>
    <w:rsid w:val="00A05796"/>
    <w:rsid w:val="00A13CB0"/>
    <w:rsid w:val="00A14FD8"/>
    <w:rsid w:val="00A22CA1"/>
    <w:rsid w:val="00A35948"/>
    <w:rsid w:val="00A4595D"/>
    <w:rsid w:val="00A51146"/>
    <w:rsid w:val="00A61D3A"/>
    <w:rsid w:val="00A66833"/>
    <w:rsid w:val="00A70DCF"/>
    <w:rsid w:val="00A72437"/>
    <w:rsid w:val="00A73FDF"/>
    <w:rsid w:val="00A824B9"/>
    <w:rsid w:val="00A870DD"/>
    <w:rsid w:val="00A96157"/>
    <w:rsid w:val="00A969AF"/>
    <w:rsid w:val="00A9729E"/>
    <w:rsid w:val="00A97EE7"/>
    <w:rsid w:val="00AA1F69"/>
    <w:rsid w:val="00AB348F"/>
    <w:rsid w:val="00AB410E"/>
    <w:rsid w:val="00AB7D36"/>
    <w:rsid w:val="00AC1390"/>
    <w:rsid w:val="00AC4663"/>
    <w:rsid w:val="00AE189E"/>
    <w:rsid w:val="00AE1DD2"/>
    <w:rsid w:val="00AE4106"/>
    <w:rsid w:val="00B12138"/>
    <w:rsid w:val="00B17247"/>
    <w:rsid w:val="00B17749"/>
    <w:rsid w:val="00B17766"/>
    <w:rsid w:val="00B17AE9"/>
    <w:rsid w:val="00B17C05"/>
    <w:rsid w:val="00B20334"/>
    <w:rsid w:val="00B20819"/>
    <w:rsid w:val="00B225B9"/>
    <w:rsid w:val="00B24AB1"/>
    <w:rsid w:val="00B36BD9"/>
    <w:rsid w:val="00B41A4C"/>
    <w:rsid w:val="00B43095"/>
    <w:rsid w:val="00B446CA"/>
    <w:rsid w:val="00B46B98"/>
    <w:rsid w:val="00B5093C"/>
    <w:rsid w:val="00B51F00"/>
    <w:rsid w:val="00B54356"/>
    <w:rsid w:val="00B55FE5"/>
    <w:rsid w:val="00B62917"/>
    <w:rsid w:val="00B65E6C"/>
    <w:rsid w:val="00B74609"/>
    <w:rsid w:val="00B752B2"/>
    <w:rsid w:val="00B80E39"/>
    <w:rsid w:val="00B824A5"/>
    <w:rsid w:val="00B8588F"/>
    <w:rsid w:val="00B858F1"/>
    <w:rsid w:val="00B8684C"/>
    <w:rsid w:val="00BA3FC7"/>
    <w:rsid w:val="00BA5A2D"/>
    <w:rsid w:val="00BA5B8F"/>
    <w:rsid w:val="00BB2B54"/>
    <w:rsid w:val="00BC01C1"/>
    <w:rsid w:val="00BC3CA1"/>
    <w:rsid w:val="00BC49E5"/>
    <w:rsid w:val="00BC6DB1"/>
    <w:rsid w:val="00BD3194"/>
    <w:rsid w:val="00BD5FA8"/>
    <w:rsid w:val="00BE23E5"/>
    <w:rsid w:val="00BE31E6"/>
    <w:rsid w:val="00BF517B"/>
    <w:rsid w:val="00BF757E"/>
    <w:rsid w:val="00BF7C0E"/>
    <w:rsid w:val="00BF7F5A"/>
    <w:rsid w:val="00C17719"/>
    <w:rsid w:val="00C20730"/>
    <w:rsid w:val="00C217F7"/>
    <w:rsid w:val="00C2470A"/>
    <w:rsid w:val="00C313A9"/>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53D6"/>
    <w:rsid w:val="00CD6EDC"/>
    <w:rsid w:val="00CE1800"/>
    <w:rsid w:val="00CE2D1F"/>
    <w:rsid w:val="00CF1561"/>
    <w:rsid w:val="00CF1A40"/>
    <w:rsid w:val="00CF36EF"/>
    <w:rsid w:val="00CF4AE2"/>
    <w:rsid w:val="00D06F7C"/>
    <w:rsid w:val="00D1110F"/>
    <w:rsid w:val="00D15B10"/>
    <w:rsid w:val="00D23E20"/>
    <w:rsid w:val="00D30FA6"/>
    <w:rsid w:val="00D32842"/>
    <w:rsid w:val="00D407EB"/>
    <w:rsid w:val="00D454AB"/>
    <w:rsid w:val="00D536AB"/>
    <w:rsid w:val="00D54E0C"/>
    <w:rsid w:val="00D5537A"/>
    <w:rsid w:val="00D71136"/>
    <w:rsid w:val="00D77F36"/>
    <w:rsid w:val="00D902CC"/>
    <w:rsid w:val="00D9057D"/>
    <w:rsid w:val="00D94BB1"/>
    <w:rsid w:val="00DA026E"/>
    <w:rsid w:val="00DA2FA6"/>
    <w:rsid w:val="00DA576E"/>
    <w:rsid w:val="00DB0A86"/>
    <w:rsid w:val="00DB57B7"/>
    <w:rsid w:val="00DC33CF"/>
    <w:rsid w:val="00DC3415"/>
    <w:rsid w:val="00DD3BB4"/>
    <w:rsid w:val="00DD3DE6"/>
    <w:rsid w:val="00DD53F4"/>
    <w:rsid w:val="00DE4534"/>
    <w:rsid w:val="00DF3D3A"/>
    <w:rsid w:val="00DF4228"/>
    <w:rsid w:val="00E06670"/>
    <w:rsid w:val="00E47752"/>
    <w:rsid w:val="00E53030"/>
    <w:rsid w:val="00E56652"/>
    <w:rsid w:val="00E60BE9"/>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6E74"/>
    <w:rsid w:val="00ED73FF"/>
    <w:rsid w:val="00ED7F01"/>
    <w:rsid w:val="00EE4612"/>
    <w:rsid w:val="00EE51DE"/>
    <w:rsid w:val="00EE609F"/>
    <w:rsid w:val="00EE7144"/>
    <w:rsid w:val="00EF5E01"/>
    <w:rsid w:val="00EF6EC0"/>
    <w:rsid w:val="00F02058"/>
    <w:rsid w:val="00F0343C"/>
    <w:rsid w:val="00F04CE5"/>
    <w:rsid w:val="00F13514"/>
    <w:rsid w:val="00F1360F"/>
    <w:rsid w:val="00F16AA8"/>
    <w:rsid w:val="00F21791"/>
    <w:rsid w:val="00F31CFA"/>
    <w:rsid w:val="00F3226A"/>
    <w:rsid w:val="00F33DB0"/>
    <w:rsid w:val="00F409F2"/>
    <w:rsid w:val="00F40D30"/>
    <w:rsid w:val="00F45DB8"/>
    <w:rsid w:val="00F54D29"/>
    <w:rsid w:val="00F62BCD"/>
    <w:rsid w:val="00F74B77"/>
    <w:rsid w:val="00F764FE"/>
    <w:rsid w:val="00F80625"/>
    <w:rsid w:val="00F827B6"/>
    <w:rsid w:val="00F92BE5"/>
    <w:rsid w:val="00FA0574"/>
    <w:rsid w:val="00FB68D3"/>
    <w:rsid w:val="00FC4B75"/>
    <w:rsid w:val="00FE7554"/>
    <w:rsid w:val="00FF17FE"/>
    <w:rsid w:val="00FF3F31"/>
    <w:rsid w:val="2A985867"/>
    <w:rsid w:val="34032B08"/>
    <w:rsid w:val="42200080"/>
    <w:rsid w:val="488C513A"/>
    <w:rsid w:val="4A940F58"/>
    <w:rsid w:val="6F192E2E"/>
    <w:rsid w:val="743E4D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numPr>
        <w:ilvl w:val="0"/>
        <w:numId w:val="1"/>
      </w:numPr>
      <w:spacing w:before="340" w:after="330" w:line="578" w:lineRule="auto"/>
      <w:outlineLvl w:val="0"/>
    </w:pPr>
    <w:rPr>
      <w:b/>
      <w:bCs/>
      <w:kern w:val="44"/>
      <w:sz w:val="44"/>
      <w:szCs w:val="44"/>
      <w:lang w:val="zh-CN"/>
    </w:rPr>
  </w:style>
  <w:style w:type="paragraph" w:styleId="3">
    <w:name w:val="heading 2"/>
    <w:basedOn w:val="1"/>
    <w:next w:val="1"/>
    <w:link w:val="25"/>
    <w:qFormat/>
    <w:uiPriority w:val="0"/>
    <w:pPr>
      <w:keepNext/>
      <w:keepLines/>
      <w:spacing w:before="260" w:after="260" w:line="416" w:lineRule="auto"/>
      <w:outlineLvl w:val="1"/>
    </w:pPr>
    <w:rPr>
      <w:rFonts w:ascii="等线 Light" w:hAnsi="等线 Light" w:eastAsia="等线 Light"/>
      <w:b/>
      <w:bCs/>
      <w:sz w:val="32"/>
      <w:szCs w:val="32"/>
      <w:lang w:val="zh-CN"/>
    </w:rPr>
  </w:style>
  <w:style w:type="paragraph" w:styleId="4">
    <w:name w:val="heading 3"/>
    <w:basedOn w:val="1"/>
    <w:next w:val="1"/>
    <w:link w:val="26"/>
    <w:qFormat/>
    <w:uiPriority w:val="0"/>
    <w:pPr>
      <w:keepNext/>
      <w:keepLines/>
      <w:spacing w:before="260" w:after="260" w:line="416" w:lineRule="auto"/>
      <w:outlineLvl w:val="2"/>
    </w:pPr>
    <w:rPr>
      <w:b/>
      <w:bCs/>
      <w:sz w:val="30"/>
      <w:szCs w:val="30"/>
      <w:lang w:val="zh-CN"/>
    </w:rPr>
  </w:style>
  <w:style w:type="paragraph" w:styleId="5">
    <w:name w:val="heading 4"/>
    <w:basedOn w:val="1"/>
    <w:next w:val="1"/>
    <w:link w:val="27"/>
    <w:qFormat/>
    <w:uiPriority w:val="0"/>
    <w:pPr>
      <w:keepNext/>
      <w:keepLines/>
      <w:numPr>
        <w:ilvl w:val="3"/>
        <w:numId w:val="1"/>
      </w:numPr>
      <w:spacing w:before="280" w:after="290" w:line="376" w:lineRule="auto"/>
      <w:outlineLvl w:val="3"/>
    </w:pPr>
    <w:rPr>
      <w:rFonts w:ascii="宋体" w:hAnsi="宋体"/>
      <w:b/>
      <w:bCs/>
      <w:sz w:val="28"/>
      <w:szCs w:val="28"/>
      <w:lang w:val="zh-CN"/>
    </w:rPr>
  </w:style>
  <w:style w:type="paragraph" w:styleId="6">
    <w:name w:val="heading 5"/>
    <w:basedOn w:val="1"/>
    <w:next w:val="1"/>
    <w:link w:val="28"/>
    <w:qFormat/>
    <w:uiPriority w:val="0"/>
    <w:pPr>
      <w:keepNext/>
      <w:keepLines/>
      <w:numPr>
        <w:ilvl w:val="4"/>
        <w:numId w:val="1"/>
      </w:numPr>
      <w:spacing w:before="280" w:after="290" w:line="376" w:lineRule="auto"/>
      <w:outlineLvl w:val="4"/>
    </w:pPr>
    <w:rPr>
      <w:b/>
      <w:bCs/>
      <w:sz w:val="28"/>
      <w:szCs w:val="28"/>
      <w:lang w:val="zh-CN"/>
    </w:rPr>
  </w:style>
  <w:style w:type="paragraph" w:styleId="7">
    <w:name w:val="heading 6"/>
    <w:basedOn w:val="1"/>
    <w:next w:val="1"/>
    <w:link w:val="29"/>
    <w:qFormat/>
    <w:uiPriority w:val="0"/>
    <w:pPr>
      <w:keepNext/>
      <w:keepLines/>
      <w:numPr>
        <w:ilvl w:val="5"/>
        <w:numId w:val="1"/>
      </w:numPr>
      <w:spacing w:before="240" w:after="64" w:line="320" w:lineRule="auto"/>
      <w:outlineLvl w:val="5"/>
    </w:pPr>
    <w:rPr>
      <w:rFonts w:ascii="等线 Light" w:hAnsi="等线 Light" w:eastAsia="等线 Light"/>
      <w:b/>
      <w:bCs/>
      <w:sz w:val="24"/>
      <w:lang w:val="zh-CN"/>
    </w:rPr>
  </w:style>
  <w:style w:type="paragraph" w:styleId="8">
    <w:name w:val="heading 7"/>
    <w:basedOn w:val="1"/>
    <w:next w:val="1"/>
    <w:link w:val="30"/>
    <w:qFormat/>
    <w:uiPriority w:val="0"/>
    <w:pPr>
      <w:keepNext/>
      <w:keepLines/>
      <w:numPr>
        <w:ilvl w:val="6"/>
        <w:numId w:val="1"/>
      </w:numPr>
      <w:spacing w:before="240" w:after="64" w:line="320" w:lineRule="auto"/>
      <w:outlineLvl w:val="6"/>
    </w:pPr>
    <w:rPr>
      <w:b/>
      <w:bCs/>
      <w:sz w:val="24"/>
      <w:lang w:val="zh-CN"/>
    </w:rPr>
  </w:style>
  <w:style w:type="paragraph" w:styleId="9">
    <w:name w:val="heading 8"/>
    <w:basedOn w:val="1"/>
    <w:next w:val="1"/>
    <w:link w:val="31"/>
    <w:qFormat/>
    <w:uiPriority w:val="0"/>
    <w:pPr>
      <w:keepNext/>
      <w:keepLines/>
      <w:numPr>
        <w:ilvl w:val="7"/>
        <w:numId w:val="1"/>
      </w:numPr>
      <w:spacing w:before="240" w:after="64" w:line="320" w:lineRule="auto"/>
      <w:outlineLvl w:val="7"/>
    </w:pPr>
    <w:rPr>
      <w:rFonts w:ascii="等线 Light" w:hAnsi="等线 Light" w:eastAsia="等线 Light"/>
      <w:sz w:val="24"/>
      <w:lang w:val="zh-CN"/>
    </w:rPr>
  </w:style>
  <w:style w:type="paragraph" w:styleId="10">
    <w:name w:val="heading 9"/>
    <w:basedOn w:val="1"/>
    <w:next w:val="1"/>
    <w:link w:val="32"/>
    <w:qFormat/>
    <w:uiPriority w:val="0"/>
    <w:pPr>
      <w:keepNext/>
      <w:keepLines/>
      <w:numPr>
        <w:ilvl w:val="8"/>
        <w:numId w:val="1"/>
      </w:numPr>
      <w:spacing w:before="240" w:after="64" w:line="320" w:lineRule="auto"/>
      <w:outlineLvl w:val="8"/>
    </w:pPr>
    <w:rPr>
      <w:rFonts w:ascii="等线 Light" w:hAnsi="等线 Light" w:eastAsia="等线 Light"/>
      <w:szCs w:val="21"/>
      <w:lang w:val="zh-CN"/>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3"/>
    <w:qFormat/>
    <w:uiPriority w:val="99"/>
    <w:pPr>
      <w:spacing w:beforeLines="50" w:line="360" w:lineRule="auto"/>
      <w:ind w:firstLine="512" w:firstLineChars="200"/>
    </w:pPr>
    <w:rPr>
      <w:spacing w:val="8"/>
      <w:sz w:val="24"/>
      <w:szCs w:val="20"/>
    </w:rPr>
  </w:style>
  <w:style w:type="paragraph" w:styleId="12">
    <w:name w:val="annotation text"/>
    <w:basedOn w:val="1"/>
    <w:link w:val="34"/>
    <w:unhideWhenUsed/>
    <w:qFormat/>
    <w:uiPriority w:val="0"/>
    <w:pPr>
      <w:jc w:val="left"/>
    </w:pPr>
    <w:rPr>
      <w:kern w:val="0"/>
      <w:sz w:val="20"/>
      <w:lang w:val="zh-CN"/>
    </w:rPr>
  </w:style>
  <w:style w:type="paragraph" w:styleId="13">
    <w:name w:val="Plain Text"/>
    <w:basedOn w:val="1"/>
    <w:link w:val="35"/>
    <w:qFormat/>
    <w:uiPriority w:val="0"/>
    <w:rPr>
      <w:rFonts w:ascii="Calibri" w:hAnsi="Courier New"/>
      <w:szCs w:val="20"/>
      <w:lang w:val="zh-CN"/>
    </w:rPr>
  </w:style>
  <w:style w:type="paragraph" w:styleId="14">
    <w:name w:val="Balloon Text"/>
    <w:basedOn w:val="1"/>
    <w:link w:val="36"/>
    <w:qFormat/>
    <w:uiPriority w:val="0"/>
    <w:rPr>
      <w:sz w:val="18"/>
      <w:szCs w:val="18"/>
      <w:lang w:val="zh-CN"/>
    </w:rPr>
  </w:style>
  <w:style w:type="paragraph" w:styleId="15">
    <w:name w:val="footer"/>
    <w:basedOn w:val="1"/>
    <w:link w:val="37"/>
    <w:qFormat/>
    <w:uiPriority w:val="0"/>
    <w:pPr>
      <w:tabs>
        <w:tab w:val="center" w:pos="4153"/>
        <w:tab w:val="right" w:pos="8306"/>
      </w:tabs>
      <w:snapToGrid w:val="0"/>
      <w:jc w:val="left"/>
    </w:pPr>
    <w:rPr>
      <w:sz w:val="18"/>
      <w:szCs w:val="18"/>
      <w:lang w:val="zh-CN"/>
    </w:rPr>
  </w:style>
  <w:style w:type="paragraph" w:styleId="16">
    <w:name w:val="header"/>
    <w:basedOn w:val="1"/>
    <w:link w:val="38"/>
    <w:qFormat/>
    <w:uiPriority w:val="0"/>
    <w:pPr>
      <w:pBdr>
        <w:bottom w:val="single" w:color="auto" w:sz="6" w:space="1"/>
      </w:pBdr>
      <w:tabs>
        <w:tab w:val="center" w:pos="4153"/>
        <w:tab w:val="right" w:pos="8306"/>
      </w:tabs>
      <w:snapToGrid w:val="0"/>
      <w:jc w:val="center"/>
    </w:pPr>
    <w:rPr>
      <w:sz w:val="18"/>
      <w:szCs w:val="18"/>
      <w:lang w:val="zh-CN"/>
    </w:rPr>
  </w:style>
  <w:style w:type="paragraph" w:styleId="17">
    <w:name w:val="Subtitle"/>
    <w:basedOn w:val="1"/>
    <w:next w:val="1"/>
    <w:link w:val="63"/>
    <w:qFormat/>
    <w:uiPriority w:val="0"/>
    <w:pPr>
      <w:spacing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2">
    <w:name w:val="Hyperlink"/>
    <w:qFormat/>
    <w:uiPriority w:val="0"/>
    <w:rPr>
      <w:color w:val="0563C1"/>
      <w:u w:val="single"/>
    </w:rPr>
  </w:style>
  <w:style w:type="character" w:styleId="23">
    <w:name w:val="annotation reference"/>
    <w:unhideWhenUsed/>
    <w:qFormat/>
    <w:uiPriority w:val="99"/>
    <w:rPr>
      <w:sz w:val="21"/>
      <w:szCs w:val="21"/>
    </w:rPr>
  </w:style>
  <w:style w:type="character" w:customStyle="1" w:styleId="24">
    <w:name w:val="标题 1 Char"/>
    <w:link w:val="2"/>
    <w:qFormat/>
    <w:uiPriority w:val="0"/>
    <w:rPr>
      <w:b/>
      <w:bCs/>
      <w:kern w:val="44"/>
      <w:sz w:val="44"/>
      <w:szCs w:val="44"/>
      <w:lang w:val="zh-CN" w:eastAsia="zh-CN"/>
    </w:rPr>
  </w:style>
  <w:style w:type="character" w:customStyle="1" w:styleId="25">
    <w:name w:val="标题 2 Char"/>
    <w:link w:val="3"/>
    <w:qFormat/>
    <w:uiPriority w:val="0"/>
    <w:rPr>
      <w:rFonts w:ascii="等线 Light" w:hAnsi="等线 Light" w:eastAsia="等线 Light" w:cs="Times New Roman"/>
      <w:b/>
      <w:bCs/>
      <w:kern w:val="2"/>
      <w:sz w:val="32"/>
      <w:szCs w:val="32"/>
    </w:rPr>
  </w:style>
  <w:style w:type="character" w:customStyle="1" w:styleId="26">
    <w:name w:val="标题 3 Char"/>
    <w:link w:val="4"/>
    <w:qFormat/>
    <w:uiPriority w:val="0"/>
    <w:rPr>
      <w:b/>
      <w:bCs/>
      <w:kern w:val="2"/>
      <w:sz w:val="30"/>
      <w:szCs w:val="30"/>
    </w:rPr>
  </w:style>
  <w:style w:type="character" w:customStyle="1" w:styleId="27">
    <w:name w:val="标题 4 Char"/>
    <w:link w:val="5"/>
    <w:qFormat/>
    <w:uiPriority w:val="0"/>
    <w:rPr>
      <w:rFonts w:ascii="宋体" w:hAnsi="宋体"/>
      <w:b/>
      <w:bCs/>
      <w:kern w:val="2"/>
      <w:sz w:val="28"/>
      <w:szCs w:val="28"/>
    </w:rPr>
  </w:style>
  <w:style w:type="character" w:customStyle="1" w:styleId="28">
    <w:name w:val="标题 5 Char"/>
    <w:link w:val="6"/>
    <w:qFormat/>
    <w:uiPriority w:val="0"/>
    <w:rPr>
      <w:b/>
      <w:bCs/>
      <w:kern w:val="2"/>
      <w:sz w:val="28"/>
      <w:szCs w:val="28"/>
    </w:rPr>
  </w:style>
  <w:style w:type="character" w:customStyle="1" w:styleId="29">
    <w:name w:val="标题 6 Char"/>
    <w:link w:val="7"/>
    <w:semiHidden/>
    <w:qFormat/>
    <w:uiPriority w:val="0"/>
    <w:rPr>
      <w:rFonts w:ascii="等线 Light" w:hAnsi="等线 Light" w:eastAsia="等线 Light"/>
      <w:b/>
      <w:bCs/>
      <w:kern w:val="2"/>
      <w:sz w:val="24"/>
      <w:szCs w:val="24"/>
    </w:rPr>
  </w:style>
  <w:style w:type="character" w:customStyle="1" w:styleId="30">
    <w:name w:val="标题 7 Char"/>
    <w:link w:val="8"/>
    <w:semiHidden/>
    <w:qFormat/>
    <w:uiPriority w:val="0"/>
    <w:rPr>
      <w:b/>
      <w:bCs/>
      <w:kern w:val="2"/>
      <w:sz w:val="24"/>
      <w:szCs w:val="24"/>
    </w:rPr>
  </w:style>
  <w:style w:type="character" w:customStyle="1" w:styleId="31">
    <w:name w:val="标题 8 Char"/>
    <w:link w:val="9"/>
    <w:semiHidden/>
    <w:qFormat/>
    <w:uiPriority w:val="0"/>
    <w:rPr>
      <w:rFonts w:ascii="等线 Light" w:hAnsi="等线 Light" w:eastAsia="等线 Light"/>
      <w:kern w:val="2"/>
      <w:sz w:val="24"/>
      <w:szCs w:val="24"/>
    </w:rPr>
  </w:style>
  <w:style w:type="character" w:customStyle="1" w:styleId="32">
    <w:name w:val="标题 9 Char"/>
    <w:link w:val="10"/>
    <w:semiHidden/>
    <w:qFormat/>
    <w:uiPriority w:val="0"/>
    <w:rPr>
      <w:rFonts w:ascii="等线 Light" w:hAnsi="等线 Light" w:eastAsia="等线 Light"/>
      <w:kern w:val="2"/>
      <w:sz w:val="21"/>
      <w:szCs w:val="21"/>
    </w:rPr>
  </w:style>
  <w:style w:type="character" w:customStyle="1" w:styleId="33">
    <w:name w:val="正文缩进 Char"/>
    <w:link w:val="11"/>
    <w:qFormat/>
    <w:uiPriority w:val="99"/>
    <w:rPr>
      <w:spacing w:val="8"/>
      <w:kern w:val="2"/>
      <w:sz w:val="24"/>
      <w:lang w:val="en-US" w:eastAsia="zh-CN"/>
    </w:rPr>
  </w:style>
  <w:style w:type="character" w:customStyle="1" w:styleId="34">
    <w:name w:val="批注文字 Char"/>
    <w:link w:val="12"/>
    <w:qFormat/>
    <w:uiPriority w:val="0"/>
    <w:rPr>
      <w:szCs w:val="24"/>
    </w:rPr>
  </w:style>
  <w:style w:type="character" w:customStyle="1" w:styleId="35">
    <w:name w:val="纯文本 Char"/>
    <w:link w:val="13"/>
    <w:qFormat/>
    <w:uiPriority w:val="0"/>
    <w:rPr>
      <w:rFonts w:ascii="Calibri" w:hAnsi="Courier New"/>
      <w:kern w:val="2"/>
      <w:sz w:val="21"/>
    </w:rPr>
  </w:style>
  <w:style w:type="character" w:customStyle="1" w:styleId="36">
    <w:name w:val="批注框文本 Char"/>
    <w:link w:val="14"/>
    <w:qFormat/>
    <w:uiPriority w:val="0"/>
    <w:rPr>
      <w:kern w:val="2"/>
      <w:sz w:val="18"/>
      <w:szCs w:val="18"/>
    </w:rPr>
  </w:style>
  <w:style w:type="character" w:customStyle="1" w:styleId="37">
    <w:name w:val="页脚 Char"/>
    <w:link w:val="15"/>
    <w:qFormat/>
    <w:uiPriority w:val="0"/>
    <w:rPr>
      <w:kern w:val="2"/>
      <w:sz w:val="18"/>
      <w:szCs w:val="18"/>
    </w:rPr>
  </w:style>
  <w:style w:type="character" w:customStyle="1" w:styleId="38">
    <w:name w:val="页眉 Char"/>
    <w:link w:val="16"/>
    <w:qFormat/>
    <w:uiPriority w:val="0"/>
    <w:rPr>
      <w:kern w:val="2"/>
      <w:sz w:val="18"/>
      <w:szCs w:val="18"/>
    </w:rPr>
  </w:style>
  <w:style w:type="character" w:customStyle="1" w:styleId="39">
    <w:name w:val="已访问的超链接1"/>
    <w:qFormat/>
    <w:uiPriority w:val="0"/>
    <w:rPr>
      <w:color w:val="800080"/>
      <w:u w:val="single"/>
    </w:rPr>
  </w:style>
  <w:style w:type="character" w:customStyle="1" w:styleId="40">
    <w:name w:val="正文（首行缩进2字符） Char"/>
    <w:link w:val="41"/>
    <w:qFormat/>
    <w:uiPriority w:val="0"/>
    <w:rPr>
      <w:kern w:val="2"/>
      <w:sz w:val="24"/>
      <w:szCs w:val="24"/>
    </w:rPr>
  </w:style>
  <w:style w:type="paragraph" w:customStyle="1" w:styleId="41">
    <w:name w:val="正文（首行缩进2字符）"/>
    <w:basedOn w:val="1"/>
    <w:link w:val="40"/>
    <w:qFormat/>
    <w:uiPriority w:val="0"/>
    <w:pPr>
      <w:spacing w:line="360" w:lineRule="auto"/>
      <w:ind w:firstLine="480" w:firstLineChars="200"/>
    </w:pPr>
    <w:rPr>
      <w:sz w:val="24"/>
      <w:lang w:val="zh-CN"/>
    </w:rPr>
  </w:style>
  <w:style w:type="character" w:customStyle="1" w:styleId="42">
    <w:name w:val="段落 Char1"/>
    <w:link w:val="43"/>
    <w:qFormat/>
    <w:uiPriority w:val="0"/>
    <w:rPr>
      <w:rFonts w:eastAsia="仿宋_GB2312"/>
      <w:sz w:val="24"/>
      <w:szCs w:val="24"/>
      <w:lang w:val="en-US" w:eastAsia="zh-CN" w:bidi="ar-SA"/>
    </w:rPr>
  </w:style>
  <w:style w:type="paragraph" w:customStyle="1" w:styleId="43">
    <w:name w:val="段落"/>
    <w:link w:val="42"/>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4">
    <w:name w:val="正文（安华金和） Char"/>
    <w:link w:val="45"/>
    <w:qFormat/>
    <w:uiPriority w:val="0"/>
    <w:rPr>
      <w:rFonts w:ascii="Arial" w:hAnsi="Arial"/>
      <w:sz w:val="21"/>
      <w:szCs w:val="21"/>
      <w:lang w:val="en-US" w:eastAsia="zh-CN" w:bidi="ar-SA"/>
    </w:rPr>
  </w:style>
  <w:style w:type="paragraph" w:customStyle="1" w:styleId="45">
    <w:name w:val="正文（安华金和）"/>
    <w:link w:val="44"/>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6">
    <w:name w:val="页脚 字符"/>
    <w:qFormat/>
    <w:uiPriority w:val="99"/>
  </w:style>
  <w:style w:type="character" w:customStyle="1" w:styleId="47">
    <w:name w:val="列出段落 Char"/>
    <w:link w:val="48"/>
    <w:qFormat/>
    <w:uiPriority w:val="34"/>
    <w:rPr>
      <w:rFonts w:ascii="等线" w:hAnsi="等线" w:eastAsia="等线"/>
      <w:kern w:val="2"/>
      <w:sz w:val="21"/>
      <w:szCs w:val="22"/>
    </w:rPr>
  </w:style>
  <w:style w:type="paragraph" w:styleId="48">
    <w:name w:val="List Paragraph"/>
    <w:basedOn w:val="1"/>
    <w:link w:val="47"/>
    <w:qFormat/>
    <w:uiPriority w:val="34"/>
    <w:pPr>
      <w:ind w:firstLine="420" w:firstLineChars="200"/>
    </w:pPr>
    <w:rPr>
      <w:rFonts w:ascii="等线" w:hAnsi="等线" w:eastAsia="等线"/>
      <w:szCs w:val="22"/>
      <w:lang w:val="zh-CN"/>
    </w:rPr>
  </w:style>
  <w:style w:type="paragraph" w:customStyle="1" w:styleId="49">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0">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1">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2">
    <w:name w:val="_Style 27"/>
    <w:basedOn w:val="1"/>
    <w:next w:val="48"/>
    <w:qFormat/>
    <w:uiPriority w:val="34"/>
    <w:pPr>
      <w:widowControl/>
      <w:spacing w:line="240" w:lineRule="atLeast"/>
      <w:ind w:firstLine="420" w:firstLineChars="200"/>
    </w:pPr>
    <w:rPr>
      <w:rFonts w:ascii="Arial" w:hAnsi="Arial"/>
      <w:kern w:val="0"/>
      <w:szCs w:val="21"/>
    </w:rPr>
  </w:style>
  <w:style w:type="paragraph" w:customStyle="1" w:styleId="53">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4">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5">
    <w:name w:val="标题 4（DBSec）"/>
    <w:basedOn w:val="5"/>
    <w:next w:val="1"/>
    <w:qFormat/>
    <w:uiPriority w:val="0"/>
    <w:pPr>
      <w:widowControl/>
      <w:numPr>
        <w:numId w:val="2"/>
      </w:numPr>
      <w:spacing w:after="156"/>
      <w:ind w:left="200" w:leftChars="200"/>
      <w:jc w:val="left"/>
    </w:pPr>
    <w:rPr>
      <w:rFonts w:ascii="Arial" w:hAnsi="Arial" w:eastAsia="黑体"/>
      <w:bCs w:val="0"/>
      <w:kern w:val="0"/>
    </w:rPr>
  </w:style>
  <w:style w:type="paragraph" w:customStyle="1" w:styleId="56">
    <w:name w:val="标题 3（DBSec）"/>
    <w:basedOn w:val="4"/>
    <w:next w:val="1"/>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57">
    <w:name w:val="标题 1（DBSec）"/>
    <w:basedOn w:val="2"/>
    <w:next w:val="1"/>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rPr>
  </w:style>
  <w:style w:type="paragraph" w:customStyle="1" w:styleId="58">
    <w:name w:val="彩色列表 - 着色 11"/>
    <w:basedOn w:val="1"/>
    <w:qFormat/>
    <w:uiPriority w:val="34"/>
    <w:pPr>
      <w:spacing w:line="360" w:lineRule="auto"/>
      <w:ind w:firstLine="420" w:firstLineChars="200"/>
    </w:pPr>
    <w:rPr>
      <w:rFonts w:ascii="Arial" w:hAnsi="Arial"/>
      <w:szCs w:val="21"/>
    </w:rPr>
  </w:style>
  <w:style w:type="paragraph" w:customStyle="1" w:styleId="59">
    <w:name w:val="表格标注（安华金和）"/>
    <w:basedOn w:val="49"/>
    <w:next w:val="1"/>
    <w:qFormat/>
    <w:uiPriority w:val="0"/>
    <w:pPr>
      <w:numPr>
        <w:ilvl w:val="7"/>
      </w:numPr>
    </w:pPr>
  </w:style>
  <w:style w:type="paragraph" w:customStyle="1" w:styleId="60">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1">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2">
    <w:name w:val="批注文字 字符"/>
    <w:qFormat/>
    <w:uiPriority w:val="99"/>
    <w:rPr>
      <w:kern w:val="2"/>
      <w:sz w:val="21"/>
      <w:szCs w:val="24"/>
    </w:rPr>
  </w:style>
  <w:style w:type="character" w:customStyle="1" w:styleId="63">
    <w:name w:val="副标题 Char"/>
    <w:link w:val="17"/>
    <w:qFormat/>
    <w:uiPriority w:val="0"/>
    <w:rPr>
      <w:rFonts w:ascii="Cambria" w:hAnsi="Cambria"/>
      <w:b/>
      <w:bCs/>
      <w:kern w:val="28"/>
      <w:sz w:val="32"/>
      <w:szCs w:val="32"/>
      <w:lang w:eastAsia="en-US"/>
    </w:rPr>
  </w:style>
  <w:style w:type="paragraph" w:customStyle="1" w:styleId="64">
    <w:name w:val="0段落文字"/>
    <w:basedOn w:val="1"/>
    <w:qFormat/>
    <w:uiPriority w:val="0"/>
    <w:pPr>
      <w:spacing w:line="360" w:lineRule="auto"/>
      <w:ind w:firstLine="200" w:firstLineChars="200"/>
    </w:pPr>
    <w:rPr>
      <w:sz w:val="24"/>
      <w:szCs w:val="21"/>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2101</Words>
  <Characters>2171</Characters>
  <Lines>16</Lines>
  <Paragraphs>4</Paragraphs>
  <TotalTime>16</TotalTime>
  <ScaleCrop>false</ScaleCrop>
  <LinksUpToDate>false</LinksUpToDate>
  <CharactersWithSpaces>2173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2023-03-16T03:38:00Z</dcterms:created>
  <dc:creator>陈永辉</dc:creator>
  <cp:lastModifiedBy>信管处张芳健</cp:lastModifiedBy>
  <dcterms:modified xsi:type="dcterms:W3CDTF">2023-03-23T07:46:02Z</dcterms:modified>
  <dc:title>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E6BF652D54F944798887341195E59480</vt:lpwstr>
  </property>
</Properties>
</file>