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hint="eastAsia" w:ascii="宋体" w:hAnsi="宋体"/>
          <w:b/>
          <w:sz w:val="36"/>
          <w:szCs w:val="36"/>
        </w:rPr>
      </w:pPr>
      <w:r>
        <w:rPr>
          <w:rFonts w:hint="eastAsia" w:ascii="宋体" w:hAnsi="宋体"/>
          <w:b/>
          <w:sz w:val="36"/>
          <w:szCs w:val="36"/>
          <w:lang w:eastAsia="zh-CN"/>
        </w:rPr>
        <w:t>云WAF服务项目（2年：2023-2024年度）</w:t>
      </w:r>
      <w:r>
        <w:rPr>
          <w:rFonts w:hint="eastAsia" w:ascii="宋体" w:hAnsi="宋体"/>
          <w:b/>
          <w:sz w:val="36"/>
          <w:szCs w:val="36"/>
        </w:rPr>
        <w:t>需求书</w:t>
      </w:r>
    </w:p>
    <w:p>
      <w:pPr>
        <w:pStyle w:val="2"/>
        <w:numPr>
          <w:ilvl w:val="0"/>
          <w:numId w:val="3"/>
        </w:numPr>
        <w:rPr>
          <w:rFonts w:ascii="宋体" w:hAnsi="宋体"/>
        </w:rPr>
      </w:pPr>
      <w:r>
        <w:rPr>
          <w:rFonts w:hint="eastAsia" w:ascii="宋体" w:hAnsi="宋体"/>
        </w:rPr>
        <w:t>项目名称</w:t>
      </w:r>
    </w:p>
    <w:p>
      <w:pPr>
        <w:spacing w:line="360" w:lineRule="auto"/>
        <w:ind w:left="432"/>
        <w:rPr>
          <w:rFonts w:hint="default" w:ascii="宋体" w:hAnsi="宋体" w:eastAsia="宋体"/>
          <w:sz w:val="22"/>
          <w:lang w:val="en-US" w:eastAsia="zh-CN"/>
        </w:rPr>
      </w:pPr>
      <w:r>
        <w:rPr>
          <w:rFonts w:hint="eastAsia" w:ascii="宋体" w:hAnsi="宋体"/>
          <w:sz w:val="22"/>
        </w:rPr>
        <w:t>项目名称：</w:t>
      </w:r>
      <w:r>
        <w:rPr>
          <w:rFonts w:hint="eastAsia" w:ascii="宋体" w:hAnsi="宋体"/>
          <w:sz w:val="22"/>
          <w:lang w:eastAsia="zh-CN"/>
        </w:rPr>
        <w:t>云WAF服务项目（2年：2023-2024年度）</w:t>
      </w:r>
      <w:r>
        <w:rPr>
          <w:rFonts w:hint="eastAsia" w:ascii="宋体" w:hAnsi="宋体"/>
          <w:sz w:val="22"/>
          <w:lang w:val="en-US" w:eastAsia="zh-CN"/>
        </w:rPr>
        <w:t>项目</w:t>
      </w:r>
    </w:p>
    <w:p>
      <w:pPr>
        <w:pStyle w:val="2"/>
        <w:numPr>
          <w:ilvl w:val="0"/>
          <w:numId w:val="3"/>
        </w:numPr>
        <w:rPr>
          <w:rFonts w:hint="eastAsia" w:ascii="宋体" w:hAnsi="宋体"/>
        </w:rPr>
      </w:pPr>
      <w:r>
        <w:rPr>
          <w:rFonts w:hint="eastAsia" w:ascii="宋体" w:hAnsi="宋体"/>
        </w:rPr>
        <w:t>采购清单</w:t>
      </w:r>
    </w:p>
    <w:p>
      <w:pPr>
        <w:rPr>
          <w:rFonts w:hint="eastAsia"/>
          <w:sz w:val="24"/>
          <w:szCs w:val="24"/>
        </w:rPr>
      </w:pPr>
      <w:r>
        <w:rPr>
          <w:rFonts w:hint="eastAsia"/>
          <w:sz w:val="24"/>
          <w:szCs w:val="24"/>
        </w:rPr>
        <w:t>采购设备及数量如下：</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8"/>
        <w:gridCol w:w="2864"/>
        <w:gridCol w:w="3686"/>
        <w:gridCol w:w="1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wAfter w:w="0" w:type="auto"/>
        </w:trPr>
        <w:tc>
          <w:tcPr>
            <w:tcW w:w="788" w:type="dxa"/>
            <w:noWrap w:val="0"/>
            <w:vAlign w:val="top"/>
          </w:tcPr>
          <w:p>
            <w:pPr>
              <w:jc w:val="center"/>
              <w:rPr>
                <w:sz w:val="24"/>
                <w:szCs w:val="24"/>
              </w:rPr>
            </w:pPr>
            <w:r>
              <w:rPr>
                <w:rFonts w:hint="eastAsia"/>
                <w:sz w:val="24"/>
                <w:szCs w:val="24"/>
              </w:rPr>
              <w:t>序号</w:t>
            </w:r>
          </w:p>
        </w:tc>
        <w:tc>
          <w:tcPr>
            <w:tcW w:w="2864" w:type="dxa"/>
            <w:noWrap w:val="0"/>
            <w:vAlign w:val="top"/>
          </w:tcPr>
          <w:p>
            <w:pPr>
              <w:jc w:val="center"/>
              <w:rPr>
                <w:sz w:val="24"/>
                <w:szCs w:val="24"/>
              </w:rPr>
            </w:pPr>
            <w:r>
              <w:rPr>
                <w:rFonts w:hint="eastAsia"/>
                <w:sz w:val="24"/>
                <w:szCs w:val="24"/>
              </w:rPr>
              <w:t>名称</w:t>
            </w:r>
          </w:p>
        </w:tc>
        <w:tc>
          <w:tcPr>
            <w:tcW w:w="3686" w:type="dxa"/>
            <w:noWrap w:val="0"/>
            <w:vAlign w:val="top"/>
          </w:tcPr>
          <w:p>
            <w:pPr>
              <w:jc w:val="center"/>
              <w:rPr>
                <w:sz w:val="24"/>
                <w:szCs w:val="24"/>
              </w:rPr>
            </w:pPr>
            <w:r>
              <w:rPr>
                <w:rFonts w:hint="eastAsia"/>
                <w:sz w:val="24"/>
                <w:szCs w:val="24"/>
              </w:rPr>
              <w:t>配置描述</w:t>
            </w:r>
          </w:p>
        </w:tc>
        <w:tc>
          <w:tcPr>
            <w:tcW w:w="1948" w:type="dxa"/>
            <w:noWrap w:val="0"/>
            <w:vAlign w:val="top"/>
          </w:tcPr>
          <w:p>
            <w:pPr>
              <w:jc w:val="center"/>
              <w:rPr>
                <w:sz w:val="24"/>
                <w:szCs w:val="24"/>
              </w:rPr>
            </w:pPr>
            <w:r>
              <w:rPr>
                <w:rFonts w:hint="eastAsia"/>
                <w:sz w:val="24"/>
                <w:szCs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wAfter w:w="0" w:type="auto"/>
        </w:trPr>
        <w:tc>
          <w:tcPr>
            <w:tcW w:w="788" w:type="dxa"/>
            <w:noWrap w:val="0"/>
            <w:vAlign w:val="top"/>
          </w:tcPr>
          <w:p>
            <w:pPr>
              <w:jc w:val="center"/>
              <w:rPr>
                <w:sz w:val="24"/>
                <w:szCs w:val="24"/>
              </w:rPr>
            </w:pPr>
            <w:r>
              <w:rPr>
                <w:sz w:val="24"/>
                <w:szCs w:val="24"/>
              </w:rPr>
              <w:t>1</w:t>
            </w:r>
          </w:p>
        </w:tc>
        <w:tc>
          <w:tcPr>
            <w:tcW w:w="2864" w:type="dxa"/>
            <w:noWrap w:val="0"/>
            <w:vAlign w:val="top"/>
          </w:tcPr>
          <w:p>
            <w:pPr>
              <w:jc w:val="center"/>
              <w:rPr>
                <w:rFonts w:hint="eastAsia" w:eastAsia="宋体"/>
                <w:sz w:val="24"/>
                <w:szCs w:val="24"/>
                <w:lang w:val="en-US" w:eastAsia="zh-CN"/>
              </w:rPr>
            </w:pPr>
            <w:r>
              <w:rPr>
                <w:rFonts w:hint="eastAsia"/>
                <w:sz w:val="24"/>
                <w:szCs w:val="24"/>
              </w:rPr>
              <w:t>云</w:t>
            </w:r>
            <w:r>
              <w:rPr>
                <w:rFonts w:hint="eastAsia" w:ascii="宋体" w:hAnsi="宋体"/>
                <w:sz w:val="22"/>
                <w:lang w:eastAsia="zh-CN"/>
              </w:rPr>
              <w:t>WAF</w:t>
            </w:r>
            <w:r>
              <w:rPr>
                <w:rFonts w:hint="eastAsia"/>
                <w:sz w:val="24"/>
                <w:szCs w:val="24"/>
              </w:rPr>
              <w:t>防护</w:t>
            </w:r>
          </w:p>
        </w:tc>
        <w:tc>
          <w:tcPr>
            <w:tcW w:w="3686" w:type="dxa"/>
            <w:noWrap w:val="0"/>
            <w:vAlign w:val="top"/>
          </w:tcPr>
          <w:p>
            <w:pPr>
              <w:jc w:val="center"/>
              <w:rPr>
                <w:sz w:val="24"/>
                <w:szCs w:val="24"/>
              </w:rPr>
            </w:pPr>
            <w:r>
              <w:rPr>
                <w:rFonts w:hint="eastAsia"/>
                <w:sz w:val="24"/>
                <w:szCs w:val="24"/>
              </w:rPr>
              <w:t>配置详见3.1.1</w:t>
            </w:r>
          </w:p>
        </w:tc>
        <w:tc>
          <w:tcPr>
            <w:tcW w:w="1948" w:type="dxa"/>
            <w:noWrap w:val="0"/>
            <w:vAlign w:val="center"/>
          </w:tcPr>
          <w:p>
            <w:pPr>
              <w:jc w:val="center"/>
              <w:rPr>
                <w:color w:val="000000"/>
                <w:sz w:val="24"/>
                <w:szCs w:val="24"/>
              </w:rPr>
            </w:pPr>
            <w:r>
              <w:rPr>
                <w:rFonts w:hint="eastAsia"/>
                <w:color w:val="000000"/>
                <w:sz w:val="24"/>
                <w:szCs w:val="24"/>
              </w:rPr>
              <w:t>1</w:t>
            </w:r>
          </w:p>
        </w:tc>
      </w:tr>
    </w:tbl>
    <w:p>
      <w:pPr>
        <w:pStyle w:val="47"/>
        <w:keepNext/>
        <w:keepLines/>
        <w:numPr>
          <w:ilvl w:val="0"/>
          <w:numId w:val="1"/>
        </w:numPr>
        <w:spacing w:before="340" w:after="330" w:line="578" w:lineRule="auto"/>
        <w:ind w:firstLineChars="0"/>
        <w:outlineLvl w:val="0"/>
        <w:rPr>
          <w:rFonts w:hint="eastAsia" w:ascii="宋体" w:hAnsi="宋体" w:eastAsia="宋体"/>
          <w:b/>
          <w:bCs/>
          <w:vanish/>
          <w:kern w:val="44"/>
          <w:sz w:val="44"/>
          <w:szCs w:val="44"/>
        </w:rPr>
      </w:pPr>
    </w:p>
    <w:p>
      <w:pPr>
        <w:pStyle w:val="47"/>
        <w:keepNext/>
        <w:keepLines/>
        <w:numPr>
          <w:ilvl w:val="0"/>
          <w:numId w:val="1"/>
        </w:numPr>
        <w:spacing w:before="340" w:after="330" w:line="578" w:lineRule="auto"/>
        <w:ind w:firstLineChars="0"/>
        <w:outlineLvl w:val="0"/>
        <w:rPr>
          <w:rFonts w:hint="eastAsia" w:ascii="宋体" w:hAnsi="宋体" w:eastAsia="宋体"/>
          <w:b/>
          <w:bCs/>
          <w:vanish/>
          <w:kern w:val="44"/>
          <w:sz w:val="44"/>
          <w:szCs w:val="44"/>
        </w:rPr>
      </w:pPr>
    </w:p>
    <w:p>
      <w:pPr>
        <w:pStyle w:val="47"/>
        <w:keepNext/>
        <w:keepLines/>
        <w:numPr>
          <w:ilvl w:val="0"/>
          <w:numId w:val="1"/>
        </w:numPr>
        <w:spacing w:before="340" w:after="330" w:line="578" w:lineRule="auto"/>
        <w:ind w:firstLineChars="0"/>
        <w:outlineLvl w:val="0"/>
        <w:rPr>
          <w:rFonts w:hint="eastAsia" w:ascii="宋体" w:hAnsi="宋体" w:eastAsia="宋体"/>
          <w:b/>
          <w:bCs/>
          <w:vanish/>
          <w:kern w:val="44"/>
          <w:sz w:val="44"/>
          <w:szCs w:val="44"/>
        </w:rPr>
      </w:pPr>
    </w:p>
    <w:p>
      <w:pPr>
        <w:pStyle w:val="47"/>
        <w:keepNext/>
        <w:keepLines/>
        <w:numPr>
          <w:ilvl w:val="1"/>
          <w:numId w:val="1"/>
        </w:numPr>
        <w:spacing w:before="340" w:after="330" w:line="578" w:lineRule="auto"/>
        <w:ind w:firstLineChars="0"/>
        <w:outlineLvl w:val="0"/>
        <w:rPr>
          <w:rFonts w:hint="eastAsia" w:ascii="宋体" w:hAnsi="宋体" w:eastAsia="宋体"/>
          <w:b/>
          <w:bCs/>
          <w:vanish/>
          <w:kern w:val="44"/>
          <w:sz w:val="44"/>
          <w:szCs w:val="44"/>
        </w:rPr>
      </w:pPr>
    </w:p>
    <w:p>
      <w:pPr>
        <w:pStyle w:val="2"/>
        <w:numPr>
          <w:ilvl w:val="0"/>
          <w:numId w:val="3"/>
        </w:numPr>
        <w:rPr>
          <w:rFonts w:ascii="宋体" w:hAnsi="宋体"/>
        </w:rPr>
      </w:pPr>
      <w:r>
        <w:rPr>
          <w:rFonts w:hint="eastAsia" w:ascii="宋体" w:hAnsi="宋体"/>
        </w:rPr>
        <w:t>参数</w:t>
      </w:r>
      <w:r>
        <w:rPr>
          <w:rFonts w:hint="eastAsia" w:ascii="宋体" w:hAnsi="宋体"/>
          <w:lang w:val="en-US" w:eastAsia="zh-CN"/>
        </w:rPr>
        <w:t>要求</w:t>
      </w:r>
    </w:p>
    <w:p>
      <w:pPr>
        <w:pStyle w:val="3"/>
        <w:rPr>
          <w:rFonts w:ascii="宋体" w:hAnsi="宋体" w:eastAsia="宋体"/>
          <w:sz w:val="24"/>
          <w:szCs w:val="24"/>
          <w:lang w:eastAsia="zh-CN"/>
        </w:rPr>
      </w:pPr>
      <w:bookmarkStart w:id="0" w:name="_6.1.1、大数据服务器"/>
      <w:bookmarkEnd w:id="0"/>
      <w:r>
        <w:rPr>
          <w:rFonts w:ascii="宋体" w:hAnsi="宋体" w:eastAsia="宋体"/>
          <w:sz w:val="24"/>
          <w:szCs w:val="24"/>
        </w:rPr>
        <w:t>3.1.1</w:t>
      </w:r>
      <w:r>
        <w:rPr>
          <w:rFonts w:hint="eastAsia" w:ascii="宋体" w:hAnsi="宋体" w:eastAsia="宋体"/>
          <w:sz w:val="24"/>
          <w:szCs w:val="24"/>
        </w:rPr>
        <w:t>、</w:t>
      </w:r>
      <w:r>
        <w:rPr>
          <w:rFonts w:hint="eastAsia" w:ascii="宋体" w:hAnsi="宋体" w:eastAsia="宋体"/>
          <w:sz w:val="24"/>
          <w:szCs w:val="24"/>
          <w:lang w:eastAsia="zh-CN"/>
        </w:rPr>
        <w:t>云</w:t>
      </w:r>
      <w:r>
        <w:rPr>
          <w:rFonts w:hint="eastAsia" w:ascii="宋体" w:hAnsi="宋体" w:eastAsia="宋体"/>
          <w:sz w:val="24"/>
          <w:szCs w:val="24"/>
          <w:lang w:val="en-US" w:eastAsia="zh-CN"/>
        </w:rPr>
        <w:t>waf</w:t>
      </w:r>
      <w:r>
        <w:rPr>
          <w:rFonts w:hint="eastAsia" w:ascii="宋体" w:hAnsi="宋体" w:eastAsia="宋体"/>
          <w:sz w:val="24"/>
          <w:szCs w:val="24"/>
          <w:lang w:eastAsia="zh-CN"/>
        </w:rPr>
        <w:t>防护</w:t>
      </w:r>
    </w:p>
    <w:tbl>
      <w:tblPr>
        <w:tblStyle w:val="18"/>
        <w:tblW w:w="821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000000" w:fill="BFBFBF"/>
            <w:noWrap w:val="0"/>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1134" w:type="dxa"/>
            <w:shd w:val="clear" w:color="000000" w:fill="BFBFBF"/>
            <w:noWrap w:val="0"/>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指标项</w:t>
            </w:r>
          </w:p>
        </w:tc>
        <w:tc>
          <w:tcPr>
            <w:tcW w:w="6379" w:type="dxa"/>
            <w:shd w:val="clear" w:color="000000" w:fill="BFBFBF"/>
            <w:noWrap w:val="0"/>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具体参数要求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1</w:t>
            </w:r>
          </w:p>
        </w:tc>
        <w:tc>
          <w:tcPr>
            <w:tcW w:w="1134" w:type="dxa"/>
            <w:shd w:val="clear" w:color="auto" w:fill="auto"/>
            <w:noWrap w:val="0"/>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性能要求</w:t>
            </w:r>
          </w:p>
        </w:tc>
        <w:tc>
          <w:tcPr>
            <w:tcW w:w="6379" w:type="dxa"/>
            <w:shd w:val="clear" w:color="000000" w:fill="FFFFFF"/>
            <w:noWrap w:val="0"/>
            <w:vAlign w:val="center"/>
          </w:tcPr>
          <w:p>
            <w:pPr>
              <w:widowControl/>
              <w:spacing w:line="360" w:lineRule="auto"/>
              <w:rPr>
                <w:rFonts w:ascii="宋体" w:hAnsi="宋体" w:cs="宋体"/>
                <w:kern w:val="0"/>
                <w:szCs w:val="21"/>
              </w:rPr>
            </w:pPr>
            <w:r>
              <w:rPr>
                <w:rFonts w:hint="eastAsia" w:ascii="宋体" w:hAnsi="宋体" w:cs="宋体"/>
                <w:kern w:val="0"/>
                <w:szCs w:val="21"/>
              </w:rPr>
              <w:t>支持2年20个域名的防护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2</w:t>
            </w:r>
          </w:p>
        </w:tc>
        <w:tc>
          <w:tcPr>
            <w:tcW w:w="1134" w:type="dxa"/>
            <w:vMerge w:val="restart"/>
            <w:noWrap w:val="0"/>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服务方式</w:t>
            </w:r>
          </w:p>
        </w:tc>
        <w:tc>
          <w:tcPr>
            <w:tcW w:w="6379" w:type="dxa"/>
            <w:noWrap w:val="0"/>
            <w:vAlign w:val="center"/>
          </w:tcPr>
          <w:p>
            <w:pPr>
              <w:widowControl/>
              <w:spacing w:line="360" w:lineRule="auto"/>
              <w:rPr>
                <w:rFonts w:ascii="宋体" w:hAnsi="宋体" w:cs="宋体"/>
                <w:kern w:val="0"/>
                <w:szCs w:val="21"/>
              </w:rPr>
            </w:pPr>
            <w:r>
              <w:rPr>
                <w:rFonts w:hint="eastAsia" w:ascii="宋体" w:hAnsi="宋体" w:cs="宋体"/>
                <w:kern w:val="0"/>
                <w:szCs w:val="21"/>
              </w:rPr>
              <w:t>支持通过修改DNS CNAME解析的方式把流量牵引到云端WAF，防护后把请求指回到源站；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3</w:t>
            </w:r>
          </w:p>
        </w:tc>
        <w:tc>
          <w:tcPr>
            <w:tcW w:w="1134" w:type="dxa"/>
            <w:vMerge w:val="continue"/>
            <w:noWrap w:val="0"/>
            <w:vAlign w:val="center"/>
          </w:tcPr>
          <w:p>
            <w:pPr>
              <w:widowControl/>
              <w:spacing w:line="360" w:lineRule="auto"/>
              <w:jc w:val="center"/>
              <w:rPr>
                <w:rFonts w:ascii="宋体" w:hAnsi="宋体" w:cs="宋体"/>
                <w:b/>
                <w:bCs/>
                <w:color w:val="000000"/>
                <w:kern w:val="0"/>
                <w:szCs w:val="21"/>
              </w:rPr>
            </w:pPr>
          </w:p>
        </w:tc>
        <w:tc>
          <w:tcPr>
            <w:tcW w:w="6379" w:type="dxa"/>
            <w:noWrap w:val="0"/>
            <w:vAlign w:val="center"/>
          </w:tcPr>
          <w:p>
            <w:pPr>
              <w:widowControl/>
              <w:spacing w:line="360" w:lineRule="auto"/>
              <w:rPr>
                <w:rFonts w:ascii="宋体" w:hAnsi="宋体" w:cs="宋体"/>
                <w:kern w:val="0"/>
                <w:szCs w:val="21"/>
              </w:rPr>
            </w:pPr>
            <w:r>
              <w:rPr>
                <w:rFonts w:hint="eastAsia" w:ascii="宋体" w:hAnsi="宋体" w:cs="宋体"/>
                <w:kern w:val="0"/>
                <w:szCs w:val="21"/>
              </w:rPr>
              <w:t>支持智能DNS解析服务选择防护节点，并支持节点之间的手动切换。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4</w:t>
            </w:r>
          </w:p>
        </w:tc>
        <w:tc>
          <w:tcPr>
            <w:tcW w:w="1134" w:type="dxa"/>
            <w:vMerge w:val="restart"/>
            <w:shd w:val="clear" w:color="auto" w:fill="auto"/>
            <w:noWrap w:val="0"/>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高可用</w:t>
            </w:r>
          </w:p>
        </w:tc>
        <w:tc>
          <w:tcPr>
            <w:tcW w:w="6379" w:type="dxa"/>
            <w:shd w:val="clear" w:color="000000" w:fill="FFFFFF"/>
            <w:noWrap w:val="0"/>
            <w:vAlign w:val="center"/>
          </w:tcPr>
          <w:p>
            <w:pPr>
              <w:widowControl/>
              <w:spacing w:line="360" w:lineRule="auto"/>
              <w:rPr>
                <w:rFonts w:ascii="宋体" w:hAnsi="宋体" w:cs="宋体"/>
                <w:kern w:val="0"/>
                <w:szCs w:val="21"/>
              </w:rPr>
            </w:pPr>
            <w:r>
              <w:rPr>
                <w:rFonts w:hint="eastAsia" w:ascii="宋体" w:hAnsi="宋体" w:cs="宋体"/>
                <w:kern w:val="0"/>
                <w:szCs w:val="21"/>
              </w:rPr>
              <w:t>支持为客户配置独立的WAF防护引擎，隔离不同租户间的访问流量。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shd w:val="clear" w:color="auto" w:fill="auto"/>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5</w:t>
            </w:r>
          </w:p>
        </w:tc>
        <w:tc>
          <w:tcPr>
            <w:tcW w:w="1134" w:type="dxa"/>
            <w:vMerge w:val="continue"/>
            <w:shd w:val="clear" w:color="auto" w:fill="auto"/>
            <w:noWrap w:val="0"/>
            <w:vAlign w:val="center"/>
          </w:tcPr>
          <w:p>
            <w:pPr>
              <w:widowControl/>
              <w:spacing w:line="360" w:lineRule="auto"/>
              <w:jc w:val="center"/>
              <w:rPr>
                <w:rFonts w:ascii="宋体" w:hAnsi="宋体" w:cs="宋体"/>
                <w:b/>
                <w:bCs/>
                <w:color w:val="000000"/>
                <w:kern w:val="0"/>
                <w:szCs w:val="21"/>
              </w:rPr>
            </w:pPr>
          </w:p>
        </w:tc>
        <w:tc>
          <w:tcPr>
            <w:tcW w:w="6379" w:type="dxa"/>
            <w:shd w:val="clear" w:color="000000" w:fill="FFFFFF"/>
            <w:noWrap w:val="0"/>
            <w:vAlign w:val="center"/>
          </w:tcPr>
          <w:p>
            <w:pPr>
              <w:widowControl/>
              <w:spacing w:line="360" w:lineRule="auto"/>
              <w:rPr>
                <w:rFonts w:ascii="宋体" w:hAnsi="宋体" w:cs="宋体"/>
                <w:kern w:val="0"/>
                <w:szCs w:val="21"/>
              </w:rPr>
            </w:pPr>
            <w:r>
              <w:rPr>
                <w:rFonts w:hint="eastAsia" w:ascii="宋体" w:hAnsi="宋体" w:cs="宋体"/>
                <w:kern w:val="0"/>
                <w:szCs w:val="21"/>
              </w:rPr>
              <w:t>支持云端防护引擎的冗余部署，保障云WAF的高可用性。单台引擎出现问题的时候另一台引擎可以自动接管。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shd w:val="clear" w:color="auto" w:fill="auto"/>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6</w:t>
            </w:r>
          </w:p>
        </w:tc>
        <w:tc>
          <w:tcPr>
            <w:tcW w:w="1134" w:type="dxa"/>
            <w:vMerge w:val="continue"/>
            <w:shd w:val="clear" w:color="auto" w:fill="auto"/>
            <w:noWrap w:val="0"/>
            <w:vAlign w:val="center"/>
          </w:tcPr>
          <w:p>
            <w:pPr>
              <w:widowControl/>
              <w:spacing w:line="360" w:lineRule="auto"/>
              <w:jc w:val="center"/>
              <w:rPr>
                <w:rFonts w:ascii="宋体" w:hAnsi="宋体" w:cs="宋体"/>
                <w:b/>
                <w:bCs/>
                <w:color w:val="000000"/>
                <w:kern w:val="0"/>
                <w:szCs w:val="21"/>
              </w:rPr>
            </w:pPr>
          </w:p>
        </w:tc>
        <w:tc>
          <w:tcPr>
            <w:tcW w:w="6379" w:type="dxa"/>
            <w:shd w:val="clear" w:color="000000" w:fill="FFFFFF"/>
            <w:noWrap w:val="0"/>
            <w:vAlign w:val="center"/>
          </w:tcPr>
          <w:p>
            <w:pPr>
              <w:widowControl/>
              <w:spacing w:line="360" w:lineRule="auto"/>
              <w:rPr>
                <w:rFonts w:ascii="宋体" w:hAnsi="宋体" w:cs="宋体"/>
                <w:kern w:val="0"/>
                <w:szCs w:val="21"/>
              </w:rPr>
            </w:pPr>
            <w:r>
              <w:rPr>
                <w:rFonts w:hint="eastAsia" w:ascii="宋体" w:hAnsi="宋体" w:cs="宋体"/>
                <w:kern w:val="0"/>
                <w:szCs w:val="21"/>
              </w:rPr>
              <w:t>防护节点支持本地电信级机房、CDN、公有云部署等多种方式，保障云waf服务的稳定性和高可用。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7</w:t>
            </w:r>
          </w:p>
        </w:tc>
        <w:tc>
          <w:tcPr>
            <w:tcW w:w="1134" w:type="dxa"/>
            <w:vMerge w:val="continue"/>
            <w:shd w:val="clear" w:color="auto" w:fill="auto"/>
            <w:noWrap w:val="0"/>
            <w:vAlign w:val="center"/>
          </w:tcPr>
          <w:p>
            <w:pPr>
              <w:widowControl/>
              <w:spacing w:line="360" w:lineRule="auto"/>
              <w:jc w:val="center"/>
              <w:rPr>
                <w:rFonts w:ascii="宋体" w:hAnsi="宋体" w:cs="宋体"/>
                <w:b/>
                <w:bCs/>
                <w:color w:val="000000"/>
                <w:kern w:val="0"/>
                <w:szCs w:val="21"/>
              </w:rPr>
            </w:pPr>
          </w:p>
        </w:tc>
        <w:tc>
          <w:tcPr>
            <w:tcW w:w="6379" w:type="dxa"/>
            <w:shd w:val="clear" w:color="000000" w:fill="FFFFFF"/>
            <w:noWrap w:val="0"/>
            <w:vAlign w:val="center"/>
          </w:tcPr>
          <w:p>
            <w:pPr>
              <w:widowControl/>
              <w:spacing w:line="360" w:lineRule="auto"/>
              <w:rPr>
                <w:rFonts w:ascii="宋体" w:hAnsi="宋体" w:cs="宋体"/>
                <w:kern w:val="0"/>
                <w:szCs w:val="21"/>
              </w:rPr>
            </w:pPr>
            <w:r>
              <w:rPr>
                <w:rFonts w:hint="eastAsia" w:ascii="宋体" w:hAnsi="宋体" w:cs="宋体"/>
                <w:kern w:val="0"/>
                <w:szCs w:val="21"/>
              </w:rPr>
              <w:t>能够满足客户网站部署多线需求及防护节点省内就近防御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shd w:val="clear" w:color="auto" w:fill="auto"/>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8</w:t>
            </w:r>
          </w:p>
        </w:tc>
        <w:tc>
          <w:tcPr>
            <w:tcW w:w="1134" w:type="dxa"/>
            <w:shd w:val="clear" w:color="auto" w:fill="auto"/>
            <w:noWrap w:val="0"/>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应急响应</w:t>
            </w:r>
          </w:p>
        </w:tc>
        <w:tc>
          <w:tcPr>
            <w:tcW w:w="6379" w:type="dxa"/>
            <w:shd w:val="clear" w:color="000000" w:fill="FFFFFF"/>
            <w:noWrap w:val="0"/>
            <w:vAlign w:val="center"/>
          </w:tcPr>
          <w:p>
            <w:pPr>
              <w:widowControl/>
              <w:spacing w:line="360" w:lineRule="auto"/>
              <w:rPr>
                <w:rFonts w:ascii="宋体" w:hAnsi="宋体" w:cs="宋体"/>
                <w:kern w:val="0"/>
                <w:szCs w:val="21"/>
              </w:rPr>
            </w:pPr>
            <w:r>
              <w:rPr>
                <w:rFonts w:hint="eastAsia" w:ascii="宋体" w:hAnsi="宋体" w:cs="宋体"/>
                <w:kern w:val="0"/>
                <w:szCs w:val="21"/>
              </w:rPr>
              <w:t>重要0day漏洞出现后，能够第一时间内帮助客户确认是否存在，并能够在云WAF上进行临时封堵防护。需要提供相应证明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04" w:type="dxa"/>
            <w:shd w:val="clear" w:color="auto" w:fill="auto"/>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9</w:t>
            </w:r>
          </w:p>
        </w:tc>
        <w:tc>
          <w:tcPr>
            <w:tcW w:w="1134" w:type="dxa"/>
            <w:vMerge w:val="restart"/>
            <w:shd w:val="clear" w:color="000000" w:fill="FFFFFF"/>
            <w:noWrap w:val="0"/>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防护功能</w:t>
            </w:r>
          </w:p>
        </w:tc>
        <w:tc>
          <w:tcPr>
            <w:tcW w:w="6379" w:type="dxa"/>
            <w:noWrap w:val="0"/>
            <w:vAlign w:val="center"/>
          </w:tcPr>
          <w:p>
            <w:pPr>
              <w:widowControl/>
              <w:spacing w:line="360" w:lineRule="auto"/>
              <w:jc w:val="left"/>
              <w:rPr>
                <w:rFonts w:ascii="宋体" w:hAnsi="宋体" w:cs="宋体"/>
                <w:kern w:val="0"/>
                <w:szCs w:val="21"/>
              </w:rPr>
            </w:pPr>
            <w:r>
              <w:rPr>
                <w:rFonts w:hint="eastAsia" w:ascii="宋体" w:hAnsi="宋体" w:cs="宋体"/>
                <w:kern w:val="0"/>
                <w:szCs w:val="21"/>
              </w:rPr>
              <w:t>支持HTTP协议校验。对HTTP协议合法性进行验证，提供HTTP协议防护功能，支持对HTTP协议的URI、HOST、UA、Cookie、Referer、Content、Accept、Range、其他头部和参数在内的元素、参数进行检测与处理。且支持非法编码和解码的灵活控制与处理。提供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10</w:t>
            </w:r>
          </w:p>
        </w:tc>
        <w:tc>
          <w:tcPr>
            <w:tcW w:w="1134" w:type="dxa"/>
            <w:vMerge w:val="continue"/>
            <w:noWrap w:val="0"/>
            <w:vAlign w:val="center"/>
          </w:tcPr>
          <w:p>
            <w:pPr>
              <w:widowControl/>
              <w:spacing w:line="360" w:lineRule="auto"/>
              <w:jc w:val="center"/>
              <w:rPr>
                <w:rFonts w:ascii="宋体" w:hAnsi="宋体" w:cs="宋体"/>
                <w:b/>
                <w:bCs/>
                <w:color w:val="000000"/>
                <w:kern w:val="0"/>
                <w:szCs w:val="21"/>
              </w:rPr>
            </w:pPr>
          </w:p>
        </w:tc>
        <w:tc>
          <w:tcPr>
            <w:tcW w:w="6379" w:type="dxa"/>
            <w:noWrap w:val="0"/>
            <w:vAlign w:val="center"/>
          </w:tcPr>
          <w:p>
            <w:pPr>
              <w:widowControl/>
              <w:spacing w:line="360" w:lineRule="auto"/>
              <w:jc w:val="left"/>
              <w:rPr>
                <w:rFonts w:ascii="宋体" w:hAnsi="宋体" w:cs="宋体"/>
                <w:kern w:val="0"/>
                <w:szCs w:val="21"/>
              </w:rPr>
            </w:pPr>
            <w:r>
              <w:rPr>
                <w:rFonts w:hint="eastAsia" w:ascii="宋体" w:hAnsi="宋体" w:cs="宋体"/>
                <w:kern w:val="0"/>
                <w:szCs w:val="21"/>
              </w:rPr>
              <w:t>支持针对主流Web服务器及插件的已知漏洞防护。Web服务器应覆盖主流服务器：apache、tomcat、lightpd、NGINX、IIS等</w:t>
            </w:r>
            <w:r>
              <w:rPr>
                <w:rFonts w:hint="eastAsia" w:ascii="宋体" w:hAnsi="宋体" w:cs="宋体"/>
                <w:kern w:val="0"/>
                <w:szCs w:val="21"/>
              </w:rPr>
              <w:br w:type="textWrapping"/>
            </w:r>
            <w:r>
              <w:rPr>
                <w:rFonts w:hint="eastAsia" w:ascii="宋体" w:hAnsi="宋体" w:cs="宋体"/>
                <w:kern w:val="0"/>
                <w:szCs w:val="21"/>
              </w:rPr>
              <w:t>插件应覆盖:dedecms、phpmyadmin、PHPWind、shopex、discuz、ecshop、vbulletin、wordpress等，提供Java反序列化漏洞（Jboss）防护插件。提供配置界面截图证明。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11</w:t>
            </w:r>
          </w:p>
        </w:tc>
        <w:tc>
          <w:tcPr>
            <w:tcW w:w="1134" w:type="dxa"/>
            <w:vMerge w:val="continue"/>
            <w:noWrap w:val="0"/>
            <w:vAlign w:val="center"/>
          </w:tcPr>
          <w:p>
            <w:pPr>
              <w:widowControl/>
              <w:spacing w:line="360" w:lineRule="auto"/>
              <w:jc w:val="center"/>
              <w:rPr>
                <w:rFonts w:ascii="宋体" w:hAnsi="宋体" w:cs="宋体"/>
                <w:b/>
                <w:bCs/>
                <w:color w:val="000000"/>
                <w:kern w:val="0"/>
                <w:szCs w:val="21"/>
              </w:rPr>
            </w:pPr>
          </w:p>
        </w:tc>
        <w:tc>
          <w:tcPr>
            <w:tcW w:w="6379" w:type="dxa"/>
            <w:noWrap w:val="0"/>
            <w:vAlign w:val="center"/>
          </w:tcPr>
          <w:p>
            <w:pPr>
              <w:widowControl/>
              <w:spacing w:line="360" w:lineRule="auto"/>
              <w:jc w:val="left"/>
              <w:rPr>
                <w:rFonts w:hint="eastAsia" w:ascii="宋体" w:hAnsi="宋体" w:eastAsia="宋体" w:cs="宋体"/>
                <w:kern w:val="0"/>
                <w:szCs w:val="21"/>
                <w:lang w:eastAsia="zh-CN"/>
              </w:rPr>
            </w:pPr>
            <w:r>
              <w:rPr>
                <w:rFonts w:hint="eastAsia" w:ascii="宋体" w:hAnsi="宋体" w:cs="宋体"/>
                <w:kern w:val="0"/>
                <w:szCs w:val="21"/>
              </w:rPr>
              <w:t>支持完善的漏洞攻击防御库，应支持定期漏洞收集和挖掘升级能力，产品厂商支持获得漏洞情报的一线咨讯</w:t>
            </w:r>
            <w:r>
              <w:rPr>
                <w:rFonts w:hint="eastAsia" w:ascii="宋体" w:hAnsi="宋体" w:cs="宋体"/>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12</w:t>
            </w:r>
          </w:p>
        </w:tc>
        <w:tc>
          <w:tcPr>
            <w:tcW w:w="1134" w:type="dxa"/>
            <w:vMerge w:val="continue"/>
            <w:noWrap w:val="0"/>
            <w:vAlign w:val="center"/>
          </w:tcPr>
          <w:p>
            <w:pPr>
              <w:widowControl/>
              <w:spacing w:line="360" w:lineRule="auto"/>
              <w:jc w:val="center"/>
              <w:rPr>
                <w:rFonts w:ascii="宋体" w:hAnsi="宋体" w:cs="宋体"/>
                <w:b/>
                <w:bCs/>
                <w:color w:val="000000"/>
                <w:kern w:val="0"/>
                <w:szCs w:val="21"/>
              </w:rPr>
            </w:pPr>
          </w:p>
        </w:tc>
        <w:tc>
          <w:tcPr>
            <w:tcW w:w="6379" w:type="dxa"/>
            <w:noWrap w:val="0"/>
            <w:vAlign w:val="center"/>
          </w:tcPr>
          <w:p>
            <w:pPr>
              <w:widowControl/>
              <w:spacing w:line="360" w:lineRule="auto"/>
              <w:jc w:val="left"/>
              <w:rPr>
                <w:rFonts w:ascii="宋体" w:hAnsi="宋体" w:cs="宋体"/>
                <w:kern w:val="0"/>
                <w:szCs w:val="21"/>
              </w:rPr>
            </w:pPr>
            <w:r>
              <w:rPr>
                <w:rFonts w:hint="eastAsia" w:ascii="宋体" w:hAnsi="宋体" w:cs="宋体"/>
                <w:kern w:val="0"/>
                <w:szCs w:val="21"/>
              </w:rPr>
              <w:t>支持HTTP访问控制功能，可以提供针对HTTP元素和客户端的组合访问控制策略。支持对多种HTTP方法执行访问控制，包括：GET、POST、HEAD、PUT、DELETE、MKCOL、COPY、MOVE、OPTIONS、PROPFIND、PROPPATCH、LOCK、UNLOCK TRACE、SEARCH、CONNECT。提供配置界面截图证明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13</w:t>
            </w:r>
          </w:p>
        </w:tc>
        <w:tc>
          <w:tcPr>
            <w:tcW w:w="1134" w:type="dxa"/>
            <w:vMerge w:val="continue"/>
            <w:noWrap w:val="0"/>
            <w:vAlign w:val="center"/>
          </w:tcPr>
          <w:p>
            <w:pPr>
              <w:widowControl/>
              <w:spacing w:line="360" w:lineRule="auto"/>
              <w:jc w:val="center"/>
              <w:rPr>
                <w:rFonts w:ascii="宋体" w:hAnsi="宋体" w:cs="宋体"/>
                <w:b/>
                <w:bCs/>
                <w:color w:val="000000"/>
                <w:kern w:val="0"/>
                <w:szCs w:val="21"/>
              </w:rPr>
            </w:pPr>
          </w:p>
        </w:tc>
        <w:tc>
          <w:tcPr>
            <w:tcW w:w="6379" w:type="dxa"/>
            <w:noWrap w:val="0"/>
            <w:vAlign w:val="center"/>
          </w:tcPr>
          <w:p>
            <w:pPr>
              <w:widowControl/>
              <w:spacing w:line="360" w:lineRule="auto"/>
              <w:jc w:val="left"/>
              <w:rPr>
                <w:rFonts w:ascii="宋体" w:hAnsi="宋体" w:cs="宋体"/>
                <w:kern w:val="0"/>
                <w:szCs w:val="21"/>
              </w:rPr>
            </w:pPr>
            <w:r>
              <w:rPr>
                <w:rFonts w:hint="eastAsia" w:ascii="宋体" w:hAnsi="宋体" w:cs="宋体"/>
                <w:kern w:val="0"/>
                <w:szCs w:val="21"/>
              </w:rPr>
              <w:t>提供爬虫防护，规则库至少可以防护100种以上的爬虫。提供配置界面截图证明或者爬虫列表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14</w:t>
            </w:r>
          </w:p>
        </w:tc>
        <w:tc>
          <w:tcPr>
            <w:tcW w:w="1134" w:type="dxa"/>
            <w:vMerge w:val="continue"/>
            <w:noWrap w:val="0"/>
            <w:vAlign w:val="center"/>
          </w:tcPr>
          <w:p>
            <w:pPr>
              <w:widowControl/>
              <w:spacing w:line="360" w:lineRule="auto"/>
              <w:jc w:val="center"/>
              <w:rPr>
                <w:rFonts w:ascii="宋体" w:hAnsi="宋体" w:cs="宋体"/>
                <w:b/>
                <w:bCs/>
                <w:color w:val="000000"/>
                <w:kern w:val="0"/>
                <w:szCs w:val="21"/>
              </w:rPr>
            </w:pPr>
          </w:p>
        </w:tc>
        <w:tc>
          <w:tcPr>
            <w:tcW w:w="6379" w:type="dxa"/>
            <w:noWrap w:val="0"/>
            <w:vAlign w:val="center"/>
          </w:tcPr>
          <w:p>
            <w:pPr>
              <w:widowControl/>
              <w:spacing w:line="360" w:lineRule="auto"/>
              <w:jc w:val="left"/>
              <w:rPr>
                <w:rFonts w:ascii="宋体" w:hAnsi="宋体" w:cs="宋体"/>
                <w:kern w:val="0"/>
                <w:szCs w:val="21"/>
              </w:rPr>
            </w:pPr>
            <w:r>
              <w:rPr>
                <w:rFonts w:hint="eastAsia" w:ascii="宋体" w:hAnsi="宋体" w:cs="宋体"/>
                <w:kern w:val="0"/>
                <w:szCs w:val="21"/>
              </w:rPr>
              <w:t>提供盗链防护，应采用Referer和Cookie算法。提供配置界面截图证明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15</w:t>
            </w:r>
          </w:p>
        </w:tc>
        <w:tc>
          <w:tcPr>
            <w:tcW w:w="1134" w:type="dxa"/>
            <w:vMerge w:val="continue"/>
            <w:noWrap w:val="0"/>
            <w:vAlign w:val="center"/>
          </w:tcPr>
          <w:p>
            <w:pPr>
              <w:widowControl/>
              <w:spacing w:line="360" w:lineRule="auto"/>
              <w:jc w:val="center"/>
              <w:rPr>
                <w:rFonts w:ascii="宋体" w:hAnsi="宋体" w:cs="宋体"/>
                <w:b/>
                <w:bCs/>
                <w:color w:val="000000"/>
                <w:kern w:val="0"/>
                <w:szCs w:val="21"/>
              </w:rPr>
            </w:pPr>
          </w:p>
        </w:tc>
        <w:tc>
          <w:tcPr>
            <w:tcW w:w="6379" w:type="dxa"/>
            <w:noWrap w:val="0"/>
            <w:vAlign w:val="center"/>
          </w:tcPr>
          <w:p>
            <w:pPr>
              <w:widowControl/>
              <w:spacing w:line="360" w:lineRule="auto"/>
              <w:rPr>
                <w:rFonts w:ascii="宋体" w:hAnsi="宋体" w:cs="宋体"/>
                <w:kern w:val="0"/>
                <w:szCs w:val="21"/>
              </w:rPr>
            </w:pPr>
            <w:r>
              <w:rPr>
                <w:rFonts w:hint="eastAsia" w:ascii="宋体" w:hAnsi="宋体" w:cs="宋体"/>
                <w:kern w:val="0"/>
                <w:szCs w:val="21"/>
              </w:rPr>
              <w:t>支持对注入（包括SQL注入、LDAP注入、XPATH注入及命令行注入）、XSS、SSI指令、路径穿越、远程文件包含、WebShell防护。提供配置界面截图证明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16</w:t>
            </w:r>
          </w:p>
        </w:tc>
        <w:tc>
          <w:tcPr>
            <w:tcW w:w="1134" w:type="dxa"/>
            <w:vMerge w:val="continue"/>
            <w:noWrap w:val="0"/>
            <w:vAlign w:val="center"/>
          </w:tcPr>
          <w:p>
            <w:pPr>
              <w:widowControl/>
              <w:spacing w:line="360" w:lineRule="auto"/>
              <w:jc w:val="center"/>
              <w:rPr>
                <w:rFonts w:ascii="宋体" w:hAnsi="宋体" w:cs="宋体"/>
                <w:b/>
                <w:bCs/>
                <w:color w:val="000000"/>
                <w:kern w:val="0"/>
                <w:szCs w:val="21"/>
              </w:rPr>
            </w:pPr>
          </w:p>
        </w:tc>
        <w:tc>
          <w:tcPr>
            <w:tcW w:w="6379" w:type="dxa"/>
            <w:noWrap w:val="0"/>
            <w:vAlign w:val="center"/>
          </w:tcPr>
          <w:p>
            <w:pPr>
              <w:widowControl/>
              <w:spacing w:line="360" w:lineRule="auto"/>
              <w:jc w:val="left"/>
              <w:rPr>
                <w:rFonts w:ascii="宋体" w:hAnsi="宋体" w:cs="宋体"/>
                <w:kern w:val="0"/>
                <w:szCs w:val="21"/>
              </w:rPr>
            </w:pPr>
            <w:r>
              <w:rPr>
                <w:rFonts w:hint="eastAsia" w:ascii="宋体" w:hAnsi="宋体" w:cs="宋体"/>
                <w:kern w:val="0"/>
                <w:szCs w:val="21"/>
              </w:rPr>
              <w:t>支持CSRF（跨站请求伪造）防护。提供配置界面截图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17</w:t>
            </w:r>
          </w:p>
        </w:tc>
        <w:tc>
          <w:tcPr>
            <w:tcW w:w="1134" w:type="dxa"/>
            <w:vMerge w:val="continue"/>
            <w:noWrap w:val="0"/>
            <w:vAlign w:val="center"/>
          </w:tcPr>
          <w:p>
            <w:pPr>
              <w:widowControl/>
              <w:spacing w:line="360" w:lineRule="auto"/>
              <w:jc w:val="center"/>
              <w:rPr>
                <w:rFonts w:ascii="宋体" w:hAnsi="宋体" w:cs="宋体"/>
                <w:b/>
                <w:bCs/>
                <w:color w:val="000000"/>
                <w:kern w:val="0"/>
                <w:szCs w:val="21"/>
              </w:rPr>
            </w:pPr>
          </w:p>
        </w:tc>
        <w:tc>
          <w:tcPr>
            <w:tcW w:w="6379" w:type="dxa"/>
            <w:noWrap w:val="0"/>
            <w:vAlign w:val="center"/>
          </w:tcPr>
          <w:p>
            <w:pPr>
              <w:widowControl/>
              <w:spacing w:line="360" w:lineRule="auto"/>
              <w:jc w:val="left"/>
              <w:rPr>
                <w:rFonts w:ascii="宋体" w:hAnsi="宋体" w:cs="宋体"/>
                <w:kern w:val="0"/>
                <w:szCs w:val="21"/>
              </w:rPr>
            </w:pPr>
            <w:r>
              <w:rPr>
                <w:rFonts w:hint="eastAsia" w:ascii="宋体" w:hAnsi="宋体" w:cs="宋体"/>
                <w:kern w:val="0"/>
                <w:szCs w:val="21"/>
              </w:rPr>
              <w:t>设备的漏洞防护库应有专业漏洞挖掘团队维护，漏洞挖掘团队须有对系统漏洞进行发现、验证、以及提供应急服务的技术能力。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18</w:t>
            </w:r>
          </w:p>
        </w:tc>
        <w:tc>
          <w:tcPr>
            <w:tcW w:w="1134" w:type="dxa"/>
            <w:vMerge w:val="continue"/>
            <w:noWrap w:val="0"/>
            <w:vAlign w:val="center"/>
          </w:tcPr>
          <w:p>
            <w:pPr>
              <w:widowControl/>
              <w:spacing w:line="360" w:lineRule="auto"/>
              <w:jc w:val="center"/>
              <w:rPr>
                <w:rFonts w:ascii="宋体" w:hAnsi="宋体" w:cs="宋体"/>
                <w:b/>
                <w:bCs/>
                <w:color w:val="000000"/>
                <w:kern w:val="0"/>
                <w:szCs w:val="21"/>
              </w:rPr>
            </w:pPr>
          </w:p>
        </w:tc>
        <w:tc>
          <w:tcPr>
            <w:tcW w:w="6379" w:type="dxa"/>
            <w:noWrap w:val="0"/>
            <w:vAlign w:val="center"/>
          </w:tcPr>
          <w:p>
            <w:pPr>
              <w:widowControl/>
              <w:spacing w:line="360" w:lineRule="auto"/>
              <w:rPr>
                <w:rFonts w:ascii="宋体" w:hAnsi="宋体" w:cs="宋体"/>
                <w:kern w:val="0"/>
                <w:szCs w:val="21"/>
              </w:rPr>
            </w:pPr>
            <w:r>
              <w:rPr>
                <w:rFonts w:hint="eastAsia" w:ascii="宋体" w:hAnsi="宋体" w:cs="宋体"/>
                <w:kern w:val="0"/>
                <w:szCs w:val="21"/>
              </w:rPr>
              <w:t>支持非法文件上传防护，有效识别文件上传行为，并对上传行为的内容做安全检测，可以根据需要，禁止上传以下文件类型：PE(windows Executable File)、ELF(linux Executable File)、PHP web shell、Linux shell、Power shell(windows Script File)、Java shell、Asp shell、Perl shell、Python shell及Ruby shell。提供配置界面截图证明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19</w:t>
            </w:r>
          </w:p>
        </w:tc>
        <w:tc>
          <w:tcPr>
            <w:tcW w:w="1134" w:type="dxa"/>
            <w:vMerge w:val="continue"/>
            <w:noWrap w:val="0"/>
            <w:vAlign w:val="center"/>
          </w:tcPr>
          <w:p>
            <w:pPr>
              <w:widowControl/>
              <w:spacing w:line="360" w:lineRule="auto"/>
              <w:jc w:val="center"/>
              <w:rPr>
                <w:rFonts w:ascii="宋体" w:hAnsi="宋体" w:cs="宋体"/>
                <w:b/>
                <w:bCs/>
                <w:color w:val="000000"/>
                <w:kern w:val="0"/>
                <w:szCs w:val="21"/>
              </w:rPr>
            </w:pPr>
          </w:p>
        </w:tc>
        <w:tc>
          <w:tcPr>
            <w:tcW w:w="6379" w:type="dxa"/>
            <w:noWrap w:val="0"/>
            <w:vAlign w:val="center"/>
          </w:tcPr>
          <w:p>
            <w:pPr>
              <w:widowControl/>
              <w:spacing w:line="360" w:lineRule="auto"/>
              <w:rPr>
                <w:rFonts w:ascii="宋体" w:hAnsi="宋体" w:cs="宋体"/>
                <w:kern w:val="0"/>
                <w:szCs w:val="21"/>
              </w:rPr>
            </w:pPr>
            <w:r>
              <w:rPr>
                <w:rFonts w:hint="eastAsia" w:ascii="宋体" w:hAnsi="宋体" w:cs="宋体"/>
                <w:kern w:val="0"/>
                <w:szCs w:val="21"/>
              </w:rPr>
              <w:t>支持非法下载防护，可以根据文件大小、MIME类型及文件扩展名灵活定义下载限制策略，限制用户非法获取网站的关键数据（比如数据库文件，配置文件等），提供配置界面截图证明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20</w:t>
            </w:r>
          </w:p>
        </w:tc>
        <w:tc>
          <w:tcPr>
            <w:tcW w:w="1134" w:type="dxa"/>
            <w:vMerge w:val="continue"/>
            <w:noWrap w:val="0"/>
            <w:vAlign w:val="center"/>
          </w:tcPr>
          <w:p>
            <w:pPr>
              <w:widowControl/>
              <w:spacing w:line="360" w:lineRule="auto"/>
              <w:jc w:val="center"/>
              <w:rPr>
                <w:rFonts w:ascii="宋体" w:hAnsi="宋体" w:cs="宋体"/>
                <w:b/>
                <w:bCs/>
                <w:color w:val="000000"/>
                <w:kern w:val="0"/>
                <w:szCs w:val="21"/>
              </w:rPr>
            </w:pPr>
          </w:p>
        </w:tc>
        <w:tc>
          <w:tcPr>
            <w:tcW w:w="6379" w:type="dxa"/>
            <w:noWrap w:val="0"/>
            <w:vAlign w:val="center"/>
          </w:tcPr>
          <w:p>
            <w:pPr>
              <w:widowControl/>
              <w:spacing w:line="360" w:lineRule="auto"/>
              <w:jc w:val="left"/>
              <w:rPr>
                <w:rFonts w:ascii="宋体" w:hAnsi="宋体" w:cs="宋体"/>
                <w:kern w:val="0"/>
                <w:szCs w:val="21"/>
              </w:rPr>
            </w:pPr>
            <w:r>
              <w:rPr>
                <w:rFonts w:hint="eastAsia" w:ascii="宋体" w:hAnsi="宋体" w:cs="宋体"/>
                <w:kern w:val="0"/>
                <w:szCs w:val="21"/>
              </w:rPr>
              <w:t>支持Cookie安全机制，包括Cookie加密和Cookie签名的防护算法。支持过期兼容时间配置以及*配置。提供配置界面截图证明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21</w:t>
            </w:r>
          </w:p>
        </w:tc>
        <w:tc>
          <w:tcPr>
            <w:tcW w:w="1134" w:type="dxa"/>
            <w:vMerge w:val="continue"/>
            <w:noWrap w:val="0"/>
            <w:vAlign w:val="center"/>
          </w:tcPr>
          <w:p>
            <w:pPr>
              <w:widowControl/>
              <w:spacing w:line="360" w:lineRule="auto"/>
              <w:jc w:val="center"/>
              <w:rPr>
                <w:rFonts w:ascii="宋体" w:hAnsi="宋体" w:cs="宋体"/>
                <w:b/>
                <w:bCs/>
                <w:color w:val="000000"/>
                <w:kern w:val="0"/>
                <w:szCs w:val="21"/>
              </w:rPr>
            </w:pPr>
          </w:p>
        </w:tc>
        <w:tc>
          <w:tcPr>
            <w:tcW w:w="6379" w:type="dxa"/>
            <w:noWrap w:val="0"/>
            <w:vAlign w:val="center"/>
          </w:tcPr>
          <w:p>
            <w:pPr>
              <w:widowControl/>
              <w:spacing w:line="360" w:lineRule="auto"/>
              <w:jc w:val="left"/>
              <w:rPr>
                <w:rFonts w:ascii="宋体" w:hAnsi="宋体" w:cs="宋体"/>
                <w:kern w:val="0"/>
                <w:szCs w:val="21"/>
              </w:rPr>
            </w:pPr>
            <w:r>
              <w:rPr>
                <w:rFonts w:hint="eastAsia" w:ascii="宋体" w:hAnsi="宋体" w:cs="宋体"/>
                <w:kern w:val="0"/>
                <w:szCs w:val="21"/>
              </w:rPr>
              <w:t>支持信息泄露防护，提供针对服务器状态码进行过滤和伪装的安全策略。提供配置界面截图证明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22</w:t>
            </w:r>
          </w:p>
        </w:tc>
        <w:tc>
          <w:tcPr>
            <w:tcW w:w="1134" w:type="dxa"/>
            <w:vMerge w:val="continue"/>
            <w:noWrap w:val="0"/>
            <w:vAlign w:val="center"/>
          </w:tcPr>
          <w:p>
            <w:pPr>
              <w:widowControl/>
              <w:spacing w:line="360" w:lineRule="auto"/>
              <w:jc w:val="center"/>
              <w:rPr>
                <w:rFonts w:ascii="宋体" w:hAnsi="宋体" w:cs="宋体"/>
                <w:b/>
                <w:bCs/>
                <w:color w:val="000000"/>
                <w:kern w:val="0"/>
                <w:szCs w:val="21"/>
              </w:rPr>
            </w:pPr>
          </w:p>
        </w:tc>
        <w:tc>
          <w:tcPr>
            <w:tcW w:w="6379" w:type="dxa"/>
            <w:noWrap w:val="0"/>
            <w:vAlign w:val="center"/>
          </w:tcPr>
          <w:p>
            <w:pPr>
              <w:widowControl/>
              <w:spacing w:line="360" w:lineRule="auto"/>
              <w:jc w:val="left"/>
              <w:rPr>
                <w:rFonts w:ascii="宋体" w:hAnsi="宋体" w:cs="宋体"/>
                <w:kern w:val="0"/>
                <w:szCs w:val="21"/>
              </w:rPr>
            </w:pPr>
            <w:r>
              <w:rPr>
                <w:rFonts w:hint="eastAsia" w:ascii="宋体" w:hAnsi="宋体" w:cs="宋体"/>
                <w:kern w:val="0"/>
                <w:szCs w:val="21"/>
              </w:rPr>
              <w:t>支持暴力破解防护，可针对指定URL进行暴力破解防护，支持多种方式的登陆，支持referer检测，支持阈值和检测周期的设置。提供配置界面截图证明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23</w:t>
            </w:r>
          </w:p>
        </w:tc>
        <w:tc>
          <w:tcPr>
            <w:tcW w:w="1134" w:type="dxa"/>
            <w:vMerge w:val="continue"/>
            <w:noWrap w:val="0"/>
            <w:vAlign w:val="center"/>
          </w:tcPr>
          <w:p>
            <w:pPr>
              <w:widowControl/>
              <w:spacing w:line="360" w:lineRule="auto"/>
              <w:jc w:val="center"/>
              <w:rPr>
                <w:rFonts w:ascii="宋体" w:hAnsi="宋体" w:cs="宋体"/>
                <w:b/>
                <w:bCs/>
                <w:color w:val="000000"/>
                <w:kern w:val="0"/>
                <w:szCs w:val="21"/>
              </w:rPr>
            </w:pPr>
          </w:p>
        </w:tc>
        <w:tc>
          <w:tcPr>
            <w:tcW w:w="6379" w:type="dxa"/>
            <w:noWrap w:val="0"/>
            <w:vAlign w:val="center"/>
          </w:tcPr>
          <w:p>
            <w:pPr>
              <w:widowControl/>
              <w:spacing w:line="360" w:lineRule="auto"/>
              <w:jc w:val="left"/>
              <w:rPr>
                <w:rFonts w:ascii="宋体" w:hAnsi="宋体" w:cs="宋体"/>
                <w:kern w:val="0"/>
                <w:szCs w:val="21"/>
              </w:rPr>
            </w:pPr>
            <w:r>
              <w:rPr>
                <w:rFonts w:hint="eastAsia" w:ascii="宋体" w:hAnsi="宋体" w:cs="宋体"/>
                <w:kern w:val="0"/>
                <w:szCs w:val="21"/>
              </w:rPr>
              <w:t>支持识别判定自动扫描行为，在设定周期内采集发送端向网站服务器发送的访问请求消息和网站服务器向发送端返回的响应消息，将设定周期等分为至少两个子周期，依次统计每个子周期内访问请求消息个数，确定发送端请求可信度，判定发送端是否发生了自动扫描的行为。须提供国家权威机构（如工业和信息化部、经济和信息化委员会或国家知识产权局）证明材料，加盖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24</w:t>
            </w:r>
          </w:p>
        </w:tc>
        <w:tc>
          <w:tcPr>
            <w:tcW w:w="1134" w:type="dxa"/>
            <w:vMerge w:val="continue"/>
            <w:noWrap w:val="0"/>
            <w:vAlign w:val="center"/>
          </w:tcPr>
          <w:p>
            <w:pPr>
              <w:widowControl/>
              <w:spacing w:line="360" w:lineRule="auto"/>
              <w:jc w:val="center"/>
              <w:rPr>
                <w:rFonts w:ascii="宋体" w:hAnsi="宋体" w:cs="宋体"/>
                <w:b/>
                <w:bCs/>
                <w:color w:val="000000"/>
                <w:kern w:val="0"/>
                <w:szCs w:val="21"/>
              </w:rPr>
            </w:pPr>
          </w:p>
        </w:tc>
        <w:tc>
          <w:tcPr>
            <w:tcW w:w="6379" w:type="dxa"/>
            <w:noWrap w:val="0"/>
            <w:vAlign w:val="center"/>
          </w:tcPr>
          <w:p>
            <w:pPr>
              <w:widowControl/>
              <w:spacing w:line="360" w:lineRule="auto"/>
              <w:jc w:val="left"/>
              <w:rPr>
                <w:rFonts w:ascii="宋体" w:hAnsi="宋体" w:cs="宋体"/>
                <w:kern w:val="0"/>
                <w:szCs w:val="21"/>
              </w:rPr>
            </w:pPr>
            <w:r>
              <w:rPr>
                <w:rFonts w:hint="eastAsia" w:ascii="宋体" w:hAnsi="宋体" w:cs="宋体"/>
                <w:kern w:val="0"/>
                <w:szCs w:val="21"/>
              </w:rPr>
              <w:t>支持敏感信息过滤，对用户的个人隐私信息（信用卡卡号、手机号、身份证号码）泄露进行检测、阻断或替换。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25</w:t>
            </w:r>
          </w:p>
        </w:tc>
        <w:tc>
          <w:tcPr>
            <w:tcW w:w="1134" w:type="dxa"/>
            <w:vMerge w:val="continue"/>
            <w:noWrap w:val="0"/>
            <w:vAlign w:val="center"/>
          </w:tcPr>
          <w:p>
            <w:pPr>
              <w:widowControl/>
              <w:spacing w:line="360" w:lineRule="auto"/>
              <w:jc w:val="center"/>
              <w:rPr>
                <w:rFonts w:ascii="宋体" w:hAnsi="宋体" w:cs="宋体"/>
                <w:b/>
                <w:bCs/>
                <w:color w:val="000000"/>
                <w:kern w:val="0"/>
                <w:szCs w:val="21"/>
              </w:rPr>
            </w:pPr>
          </w:p>
        </w:tc>
        <w:tc>
          <w:tcPr>
            <w:tcW w:w="6379" w:type="dxa"/>
            <w:noWrap w:val="0"/>
            <w:vAlign w:val="center"/>
          </w:tcPr>
          <w:p>
            <w:pPr>
              <w:widowControl/>
              <w:spacing w:line="360" w:lineRule="auto"/>
              <w:jc w:val="left"/>
              <w:rPr>
                <w:rFonts w:ascii="宋体" w:hAnsi="宋体" w:cs="宋体"/>
                <w:kern w:val="0"/>
                <w:szCs w:val="21"/>
              </w:rPr>
            </w:pPr>
            <w:r>
              <w:rPr>
                <w:rFonts w:hint="eastAsia" w:ascii="宋体" w:hAnsi="宋体" w:cs="宋体"/>
                <w:kern w:val="0"/>
                <w:szCs w:val="21"/>
              </w:rPr>
              <w:t>支持XML防护，包括XML基础校验（包括最大树深度、元素名长度、元素个数、子节点个数等参数配置）、Schema校验以及SOAP校验。提供配置界面截图证明。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26</w:t>
            </w:r>
          </w:p>
        </w:tc>
        <w:tc>
          <w:tcPr>
            <w:tcW w:w="1134" w:type="dxa"/>
            <w:vMerge w:val="continue"/>
            <w:noWrap w:val="0"/>
            <w:vAlign w:val="center"/>
          </w:tcPr>
          <w:p>
            <w:pPr>
              <w:widowControl/>
              <w:spacing w:line="360" w:lineRule="auto"/>
              <w:jc w:val="center"/>
              <w:rPr>
                <w:rFonts w:ascii="宋体" w:hAnsi="宋体" w:cs="宋体"/>
                <w:b/>
                <w:bCs/>
                <w:color w:val="000000"/>
                <w:kern w:val="0"/>
                <w:szCs w:val="21"/>
              </w:rPr>
            </w:pPr>
          </w:p>
        </w:tc>
        <w:tc>
          <w:tcPr>
            <w:tcW w:w="6379" w:type="dxa"/>
            <w:noWrap w:val="0"/>
            <w:vAlign w:val="center"/>
          </w:tcPr>
          <w:p>
            <w:pPr>
              <w:widowControl/>
              <w:spacing w:line="360" w:lineRule="auto"/>
              <w:jc w:val="left"/>
              <w:rPr>
                <w:rFonts w:ascii="宋体" w:hAnsi="宋体" w:cs="宋体"/>
                <w:kern w:val="0"/>
                <w:szCs w:val="21"/>
              </w:rPr>
            </w:pPr>
            <w:r>
              <w:rPr>
                <w:rFonts w:hint="eastAsia" w:ascii="宋体" w:hAnsi="宋体" w:cs="宋体"/>
                <w:kern w:val="0"/>
                <w:szCs w:val="21"/>
              </w:rPr>
              <w:t>支持扫描防护，基于专利技术实现的Web扫描防护，支持以统计算法分析扫描行为的扫描防护。提供配置界面截图证明和专利证书复印件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shd w:val="clear" w:color="auto" w:fill="auto"/>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27</w:t>
            </w:r>
          </w:p>
        </w:tc>
        <w:tc>
          <w:tcPr>
            <w:tcW w:w="1134" w:type="dxa"/>
            <w:shd w:val="clear" w:color="000000" w:fill="FFFFFF"/>
            <w:noWrap w:val="0"/>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区域访问控制</w:t>
            </w:r>
          </w:p>
        </w:tc>
        <w:tc>
          <w:tcPr>
            <w:tcW w:w="6379" w:type="dxa"/>
            <w:noWrap w:val="0"/>
            <w:vAlign w:val="center"/>
          </w:tcPr>
          <w:p>
            <w:pPr>
              <w:widowControl/>
              <w:spacing w:line="360" w:lineRule="auto"/>
              <w:jc w:val="left"/>
              <w:rPr>
                <w:rFonts w:ascii="宋体" w:hAnsi="宋体" w:cs="宋体"/>
                <w:kern w:val="0"/>
                <w:szCs w:val="21"/>
              </w:rPr>
            </w:pPr>
            <w:r>
              <w:rPr>
                <w:rFonts w:hint="eastAsia" w:ascii="宋体" w:hAnsi="宋体" w:cs="宋体"/>
                <w:kern w:val="0"/>
                <w:szCs w:val="21"/>
              </w:rPr>
              <w:t>支持区域访问控制，用户可自助选择需要封禁的地理位置，能够封禁海外IP、国内地理位置至少需要精确到省。提供配置界面截图证明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4" w:type="dxa"/>
            <w:shd w:val="clear" w:color="auto" w:fill="auto"/>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28</w:t>
            </w:r>
          </w:p>
        </w:tc>
        <w:tc>
          <w:tcPr>
            <w:tcW w:w="1134" w:type="dxa"/>
            <w:vMerge w:val="restart"/>
            <w:shd w:val="clear" w:color="000000" w:fill="FFFFFF"/>
            <w:noWrap w:val="0"/>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IP信誉</w:t>
            </w:r>
          </w:p>
        </w:tc>
        <w:tc>
          <w:tcPr>
            <w:tcW w:w="6379" w:type="dxa"/>
            <w:noWrap w:val="0"/>
            <w:vAlign w:val="center"/>
          </w:tcPr>
          <w:p>
            <w:pPr>
              <w:widowControl/>
              <w:spacing w:line="360" w:lineRule="auto"/>
              <w:jc w:val="left"/>
              <w:rPr>
                <w:rFonts w:ascii="宋体" w:hAnsi="宋体" w:cs="宋体"/>
                <w:kern w:val="0"/>
                <w:szCs w:val="21"/>
              </w:rPr>
            </w:pPr>
            <w:r>
              <w:rPr>
                <w:rFonts w:hint="eastAsia" w:ascii="宋体" w:hAnsi="宋体" w:cs="宋体"/>
                <w:kern w:val="0"/>
                <w:szCs w:val="21"/>
              </w:rPr>
              <w:t>厂商应建立自身的恶意网站信息库，并与非盈利组织(威胁软件阻止stopbadware协会、信息安全产业RSA协会或中国区域科学协会RSAC）进行信息交换，确保恶意网站信息库的准确性，提供信息交换证明并厂商盖章。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29</w:t>
            </w:r>
          </w:p>
        </w:tc>
        <w:tc>
          <w:tcPr>
            <w:tcW w:w="1134" w:type="dxa"/>
            <w:vMerge w:val="continue"/>
            <w:noWrap w:val="0"/>
            <w:vAlign w:val="center"/>
          </w:tcPr>
          <w:p>
            <w:pPr>
              <w:widowControl/>
              <w:spacing w:line="360" w:lineRule="auto"/>
              <w:jc w:val="center"/>
              <w:rPr>
                <w:rFonts w:ascii="宋体" w:hAnsi="宋体" w:cs="宋体"/>
                <w:b/>
                <w:bCs/>
                <w:color w:val="000000"/>
                <w:kern w:val="0"/>
                <w:szCs w:val="21"/>
              </w:rPr>
            </w:pPr>
          </w:p>
        </w:tc>
        <w:tc>
          <w:tcPr>
            <w:tcW w:w="6379" w:type="dxa"/>
            <w:noWrap w:val="0"/>
            <w:vAlign w:val="center"/>
          </w:tcPr>
          <w:p>
            <w:pPr>
              <w:widowControl/>
              <w:spacing w:line="360" w:lineRule="auto"/>
              <w:jc w:val="left"/>
              <w:rPr>
                <w:rFonts w:ascii="宋体" w:hAnsi="宋体" w:cs="宋体"/>
                <w:kern w:val="0"/>
                <w:szCs w:val="21"/>
              </w:rPr>
            </w:pPr>
            <w:r>
              <w:rPr>
                <w:rFonts w:hint="eastAsia" w:ascii="宋体" w:hAnsi="宋体" w:cs="宋体"/>
                <w:kern w:val="0"/>
                <w:szCs w:val="21"/>
              </w:rPr>
              <w:t>支持威胁情报协同防护，与威胁情报强大的IP信誉库联动实现IP信誉封禁功能。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shd w:val="clear" w:color="auto" w:fill="auto"/>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30</w:t>
            </w:r>
          </w:p>
        </w:tc>
        <w:tc>
          <w:tcPr>
            <w:tcW w:w="1134" w:type="dxa"/>
            <w:shd w:val="clear" w:color="000000" w:fill="FFFFFF"/>
            <w:noWrap w:val="0"/>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IP访问控制</w:t>
            </w:r>
          </w:p>
        </w:tc>
        <w:tc>
          <w:tcPr>
            <w:tcW w:w="6379" w:type="dxa"/>
            <w:noWrap w:val="0"/>
            <w:vAlign w:val="center"/>
          </w:tcPr>
          <w:p>
            <w:pPr>
              <w:widowControl/>
              <w:spacing w:line="360" w:lineRule="auto"/>
              <w:jc w:val="left"/>
              <w:rPr>
                <w:rFonts w:ascii="宋体" w:hAnsi="宋体" w:cs="宋体"/>
                <w:kern w:val="0"/>
                <w:szCs w:val="21"/>
              </w:rPr>
            </w:pPr>
            <w:r>
              <w:rPr>
                <w:rFonts w:hint="eastAsia" w:ascii="宋体" w:hAnsi="宋体" w:cs="宋体"/>
                <w:kern w:val="0"/>
                <w:szCs w:val="21"/>
              </w:rPr>
              <w:t>支持IP访问控制，可以针对每个被防护站点限制访问IP的范围。提供配置界面截图证明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shd w:val="clear" w:color="auto" w:fill="auto"/>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31</w:t>
            </w:r>
          </w:p>
        </w:tc>
        <w:tc>
          <w:tcPr>
            <w:tcW w:w="1134" w:type="dxa"/>
            <w:shd w:val="clear" w:color="000000" w:fill="FFFFFF"/>
            <w:noWrap w:val="0"/>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一键下线</w:t>
            </w:r>
          </w:p>
        </w:tc>
        <w:tc>
          <w:tcPr>
            <w:tcW w:w="6379" w:type="dxa"/>
            <w:noWrap w:val="0"/>
            <w:vAlign w:val="center"/>
          </w:tcPr>
          <w:p>
            <w:pPr>
              <w:widowControl/>
              <w:spacing w:line="360" w:lineRule="auto"/>
              <w:jc w:val="left"/>
              <w:rPr>
                <w:rFonts w:ascii="宋体" w:hAnsi="宋体" w:cs="宋体"/>
                <w:kern w:val="0"/>
                <w:szCs w:val="21"/>
              </w:rPr>
            </w:pPr>
            <w:r>
              <w:rPr>
                <w:rFonts w:hint="eastAsia" w:ascii="宋体" w:hAnsi="宋体" w:cs="宋体"/>
                <w:kern w:val="0"/>
                <w:szCs w:val="21"/>
              </w:rPr>
              <w:t>支持一键下线功能，紧急时刻用户可以自助在门户（web门户、移动端）立刻执行被防护网站的下线动作，也可以选择“恢复上线”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shd w:val="clear" w:color="auto" w:fill="auto"/>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32</w:t>
            </w:r>
          </w:p>
        </w:tc>
        <w:tc>
          <w:tcPr>
            <w:tcW w:w="1134" w:type="dxa"/>
            <w:shd w:val="clear" w:color="000000" w:fill="FFFFFF"/>
            <w:noWrap w:val="0"/>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自助回源</w:t>
            </w:r>
          </w:p>
        </w:tc>
        <w:tc>
          <w:tcPr>
            <w:tcW w:w="6379" w:type="dxa"/>
            <w:noWrap w:val="0"/>
            <w:vAlign w:val="center"/>
          </w:tcPr>
          <w:p>
            <w:pPr>
              <w:widowControl/>
              <w:spacing w:line="360" w:lineRule="auto"/>
              <w:jc w:val="left"/>
              <w:rPr>
                <w:rFonts w:ascii="宋体" w:hAnsi="宋体" w:cs="宋体"/>
                <w:kern w:val="0"/>
                <w:szCs w:val="21"/>
              </w:rPr>
            </w:pPr>
            <w:r>
              <w:rPr>
                <w:rFonts w:hint="eastAsia" w:ascii="宋体" w:hAnsi="宋体" w:cs="宋体"/>
                <w:kern w:val="0"/>
                <w:szCs w:val="21"/>
              </w:rPr>
              <w:t>支持一键回源，用户可以自助在门户（web门户、移动端）将网站指回源站暂停防护，也可以选择指向防护节点恢复防护。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shd w:val="clear" w:color="auto" w:fill="auto"/>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33</w:t>
            </w:r>
          </w:p>
        </w:tc>
        <w:tc>
          <w:tcPr>
            <w:tcW w:w="1134" w:type="dxa"/>
            <w:shd w:val="clear" w:color="000000" w:fill="FFFFFF"/>
            <w:noWrap w:val="0"/>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永久在线</w:t>
            </w:r>
          </w:p>
        </w:tc>
        <w:tc>
          <w:tcPr>
            <w:tcW w:w="6379" w:type="dxa"/>
            <w:noWrap w:val="0"/>
            <w:vAlign w:val="center"/>
          </w:tcPr>
          <w:p>
            <w:pPr>
              <w:widowControl/>
              <w:spacing w:line="360" w:lineRule="auto"/>
              <w:jc w:val="left"/>
              <w:rPr>
                <w:rFonts w:ascii="宋体" w:hAnsi="宋体" w:cs="宋体"/>
                <w:kern w:val="0"/>
                <w:szCs w:val="21"/>
              </w:rPr>
            </w:pPr>
            <w:r>
              <w:rPr>
                <w:rFonts w:hint="eastAsia" w:ascii="宋体" w:hAnsi="宋体" w:cs="宋体"/>
                <w:kern w:val="0"/>
                <w:szCs w:val="21"/>
              </w:rPr>
              <w:t>支持永久在线，当网站出现故障或者在敏感时期，用户可切换成云防护中的缓存页面，增强网站稳定性和安全性。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34</w:t>
            </w:r>
          </w:p>
        </w:tc>
        <w:tc>
          <w:tcPr>
            <w:tcW w:w="1134" w:type="dxa"/>
            <w:noWrap w:val="0"/>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策略管理</w:t>
            </w:r>
          </w:p>
        </w:tc>
        <w:tc>
          <w:tcPr>
            <w:tcW w:w="6379" w:type="dxa"/>
            <w:noWrap w:val="0"/>
            <w:vAlign w:val="center"/>
          </w:tcPr>
          <w:p>
            <w:pPr>
              <w:widowControl/>
              <w:spacing w:line="360" w:lineRule="auto"/>
              <w:jc w:val="left"/>
              <w:rPr>
                <w:rFonts w:ascii="宋体" w:hAnsi="宋体" w:cs="宋体"/>
                <w:kern w:val="0"/>
                <w:szCs w:val="21"/>
              </w:rPr>
            </w:pPr>
            <w:r>
              <w:rPr>
                <w:rFonts w:hint="eastAsia" w:ascii="宋体" w:hAnsi="宋体" w:cs="宋体"/>
                <w:kern w:val="0"/>
                <w:szCs w:val="21"/>
              </w:rPr>
              <w:t>支持策略模板配置，至少提供4套默认策略模板，可以方便用户针对不同的场景快速切换。提供截图证明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35</w:t>
            </w:r>
          </w:p>
        </w:tc>
        <w:tc>
          <w:tcPr>
            <w:tcW w:w="1134" w:type="dxa"/>
            <w:noWrap w:val="0"/>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例外策略</w:t>
            </w:r>
          </w:p>
        </w:tc>
        <w:tc>
          <w:tcPr>
            <w:tcW w:w="6379" w:type="dxa"/>
            <w:noWrap w:val="0"/>
            <w:vAlign w:val="center"/>
          </w:tcPr>
          <w:p>
            <w:pPr>
              <w:widowControl/>
              <w:spacing w:line="360" w:lineRule="auto"/>
              <w:jc w:val="left"/>
              <w:rPr>
                <w:rFonts w:ascii="宋体" w:hAnsi="宋体" w:cs="宋体"/>
                <w:kern w:val="0"/>
                <w:szCs w:val="21"/>
              </w:rPr>
            </w:pPr>
            <w:r>
              <w:rPr>
                <w:rFonts w:hint="eastAsia" w:ascii="宋体" w:hAnsi="宋体" w:cs="宋体"/>
                <w:kern w:val="0"/>
                <w:szCs w:val="21"/>
              </w:rPr>
              <w:t>支持对安全策略的一键式例外配置，用户可以自助在用户门户上一键添加。提供配置界面截图证明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36</w:t>
            </w:r>
          </w:p>
        </w:tc>
        <w:tc>
          <w:tcPr>
            <w:tcW w:w="1134" w:type="dxa"/>
            <w:noWrap w:val="0"/>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策略优化</w:t>
            </w:r>
          </w:p>
        </w:tc>
        <w:tc>
          <w:tcPr>
            <w:tcW w:w="6379" w:type="dxa"/>
            <w:noWrap w:val="0"/>
            <w:vAlign w:val="center"/>
          </w:tcPr>
          <w:p>
            <w:pPr>
              <w:widowControl/>
              <w:spacing w:line="360" w:lineRule="auto"/>
              <w:jc w:val="left"/>
              <w:rPr>
                <w:rFonts w:ascii="宋体" w:hAnsi="宋体" w:cs="宋体"/>
                <w:kern w:val="0"/>
                <w:szCs w:val="21"/>
              </w:rPr>
            </w:pPr>
            <w:r>
              <w:rPr>
                <w:rFonts w:hint="eastAsia" w:ascii="宋体" w:hAnsi="宋体" w:cs="宋体"/>
                <w:kern w:val="0"/>
                <w:szCs w:val="21"/>
              </w:rPr>
              <w:t>支持策略优化功能，采用智能算法定期分析待优化策略配置，由运营团队定期优化策略配置从而减少误报漏报。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37</w:t>
            </w:r>
          </w:p>
        </w:tc>
        <w:tc>
          <w:tcPr>
            <w:tcW w:w="1134" w:type="dxa"/>
            <w:noWrap w:val="0"/>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分权分域</w:t>
            </w:r>
          </w:p>
        </w:tc>
        <w:tc>
          <w:tcPr>
            <w:tcW w:w="6379" w:type="dxa"/>
            <w:noWrap w:val="0"/>
            <w:vAlign w:val="center"/>
          </w:tcPr>
          <w:p>
            <w:pPr>
              <w:widowControl/>
              <w:spacing w:line="360" w:lineRule="auto"/>
              <w:rPr>
                <w:rFonts w:ascii="宋体" w:hAnsi="宋体" w:cs="宋体"/>
                <w:kern w:val="0"/>
                <w:szCs w:val="21"/>
              </w:rPr>
            </w:pPr>
            <w:r>
              <w:rPr>
                <w:rFonts w:hint="eastAsia" w:ascii="宋体" w:hAnsi="宋体" w:cs="宋体"/>
                <w:kern w:val="0"/>
                <w:szCs w:val="21"/>
              </w:rPr>
              <w:t>支持用户门户同一客户下的账号分权分域，主账号管理所有网站，多个子账号分管不同网站。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38</w:t>
            </w:r>
          </w:p>
        </w:tc>
        <w:tc>
          <w:tcPr>
            <w:tcW w:w="1134" w:type="dxa"/>
            <w:noWrap w:val="0"/>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安全风险大屏</w:t>
            </w:r>
          </w:p>
        </w:tc>
        <w:tc>
          <w:tcPr>
            <w:tcW w:w="6379" w:type="dxa"/>
            <w:noWrap w:val="0"/>
            <w:vAlign w:val="center"/>
          </w:tcPr>
          <w:p>
            <w:pPr>
              <w:widowControl/>
              <w:spacing w:line="360" w:lineRule="auto"/>
              <w:rPr>
                <w:rFonts w:ascii="宋体" w:hAnsi="宋体" w:cs="宋体"/>
                <w:kern w:val="0"/>
                <w:szCs w:val="21"/>
              </w:rPr>
            </w:pPr>
            <w:r>
              <w:rPr>
                <w:rFonts w:hint="eastAsia" w:ascii="宋体" w:hAnsi="宋体" w:cs="宋体"/>
                <w:kern w:val="0"/>
                <w:szCs w:val="21"/>
              </w:rPr>
              <w:t>展示客户所有被防护站点的整体安全态势，包括：在地图中实时展示出当前攻击情况；统计最近一段时间内访问、告警趋势；TOP5 被攻击URL；TOP5攻击源IP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39</w:t>
            </w:r>
          </w:p>
        </w:tc>
        <w:tc>
          <w:tcPr>
            <w:tcW w:w="1134" w:type="dxa"/>
            <w:vMerge w:val="restart"/>
            <w:noWrap w:val="0"/>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实时监控</w:t>
            </w:r>
          </w:p>
        </w:tc>
        <w:tc>
          <w:tcPr>
            <w:tcW w:w="6379" w:type="dxa"/>
            <w:noWrap w:val="0"/>
            <w:vAlign w:val="center"/>
          </w:tcPr>
          <w:p>
            <w:pPr>
              <w:widowControl/>
              <w:spacing w:line="360" w:lineRule="auto"/>
              <w:rPr>
                <w:rFonts w:ascii="宋体" w:hAnsi="宋体" w:cs="宋体"/>
                <w:kern w:val="0"/>
                <w:szCs w:val="21"/>
              </w:rPr>
            </w:pPr>
            <w:r>
              <w:rPr>
                <w:rFonts w:hint="eastAsia" w:ascii="宋体" w:hAnsi="宋体" w:cs="宋体"/>
                <w:kern w:val="0"/>
                <w:szCs w:val="21"/>
              </w:rPr>
              <w:t>对单个被防护站点：按年统计每天的被攻击安全情况，集中整体展示。提供截图证明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40</w:t>
            </w:r>
          </w:p>
        </w:tc>
        <w:tc>
          <w:tcPr>
            <w:tcW w:w="1134" w:type="dxa"/>
            <w:vMerge w:val="continue"/>
            <w:noWrap w:val="0"/>
            <w:vAlign w:val="center"/>
          </w:tcPr>
          <w:p>
            <w:pPr>
              <w:widowControl/>
              <w:spacing w:line="360" w:lineRule="auto"/>
              <w:jc w:val="center"/>
              <w:rPr>
                <w:rFonts w:ascii="宋体" w:hAnsi="宋体" w:cs="宋体"/>
                <w:b/>
                <w:bCs/>
                <w:color w:val="000000"/>
                <w:kern w:val="0"/>
                <w:szCs w:val="21"/>
              </w:rPr>
            </w:pPr>
          </w:p>
        </w:tc>
        <w:tc>
          <w:tcPr>
            <w:tcW w:w="6379" w:type="dxa"/>
            <w:noWrap w:val="0"/>
            <w:vAlign w:val="center"/>
          </w:tcPr>
          <w:p>
            <w:pPr>
              <w:widowControl/>
              <w:spacing w:line="360" w:lineRule="auto"/>
              <w:rPr>
                <w:rFonts w:ascii="宋体" w:hAnsi="宋体" w:cs="宋体"/>
                <w:kern w:val="0"/>
                <w:szCs w:val="21"/>
              </w:rPr>
            </w:pPr>
            <w:r>
              <w:rPr>
                <w:rFonts w:hint="eastAsia" w:ascii="宋体" w:hAnsi="宋体" w:cs="宋体"/>
                <w:kern w:val="0"/>
                <w:szCs w:val="21"/>
              </w:rPr>
              <w:t>对单个被防护站点：对被攻击TOP10 的URL进行逐层向下钻取，了解此URL下的TOP10攻击源IP，再针对其下的某个源IP，了解其主要的攻击手段。便于安全排查工作的展开，提供配置界面截图证明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41</w:t>
            </w:r>
          </w:p>
        </w:tc>
        <w:tc>
          <w:tcPr>
            <w:tcW w:w="1134" w:type="dxa"/>
            <w:vMerge w:val="continue"/>
            <w:noWrap w:val="0"/>
            <w:vAlign w:val="center"/>
          </w:tcPr>
          <w:p>
            <w:pPr>
              <w:widowControl/>
              <w:spacing w:line="360" w:lineRule="auto"/>
              <w:jc w:val="center"/>
              <w:rPr>
                <w:rFonts w:ascii="宋体" w:hAnsi="宋体" w:cs="宋体"/>
                <w:b/>
                <w:bCs/>
                <w:color w:val="000000"/>
                <w:kern w:val="0"/>
                <w:szCs w:val="21"/>
              </w:rPr>
            </w:pPr>
          </w:p>
        </w:tc>
        <w:tc>
          <w:tcPr>
            <w:tcW w:w="6379" w:type="dxa"/>
            <w:noWrap w:val="0"/>
            <w:vAlign w:val="center"/>
          </w:tcPr>
          <w:p>
            <w:pPr>
              <w:widowControl/>
              <w:spacing w:line="360" w:lineRule="auto"/>
              <w:rPr>
                <w:rFonts w:ascii="宋体" w:hAnsi="宋体" w:cs="宋体"/>
                <w:kern w:val="0"/>
                <w:szCs w:val="21"/>
              </w:rPr>
            </w:pPr>
            <w:r>
              <w:rPr>
                <w:rFonts w:hint="eastAsia" w:ascii="宋体" w:hAnsi="宋体" w:cs="宋体"/>
                <w:kern w:val="0"/>
                <w:szCs w:val="21"/>
              </w:rPr>
              <w:t>对单个被防护站点：在地图中可以整体了解攻击源IP的地理位置分布。提供截图证明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42</w:t>
            </w:r>
          </w:p>
        </w:tc>
        <w:tc>
          <w:tcPr>
            <w:tcW w:w="1134" w:type="dxa"/>
            <w:noWrap w:val="0"/>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日志源地址溯源</w:t>
            </w:r>
          </w:p>
        </w:tc>
        <w:tc>
          <w:tcPr>
            <w:tcW w:w="6379" w:type="dxa"/>
            <w:noWrap w:val="0"/>
            <w:vAlign w:val="center"/>
          </w:tcPr>
          <w:p>
            <w:pPr>
              <w:widowControl/>
              <w:spacing w:line="360" w:lineRule="auto"/>
              <w:rPr>
                <w:rFonts w:ascii="宋体" w:hAnsi="宋体" w:cs="宋体"/>
                <w:kern w:val="0"/>
                <w:szCs w:val="21"/>
              </w:rPr>
            </w:pPr>
            <w:r>
              <w:rPr>
                <w:rFonts w:hint="eastAsia" w:ascii="宋体" w:hAnsi="宋体" w:cs="宋体"/>
                <w:kern w:val="0"/>
                <w:szCs w:val="21"/>
              </w:rPr>
              <w:t>支持日志内容源地址溯源，在安全日志中带有客户端真实IP地址，便于IP溯源，并能够显示出攻击IP的地理位置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noWrap/>
            <w:vAlign w:val="center"/>
          </w:tcPr>
          <w:p>
            <w:pPr>
              <w:widowControl/>
              <w:spacing w:line="360" w:lineRule="auto"/>
              <w:jc w:val="center"/>
              <w:rPr>
                <w:rFonts w:ascii="等线" w:hAnsi="等线" w:eastAsia="等线" w:cs="宋体"/>
                <w:color w:val="000000"/>
                <w:kern w:val="0"/>
                <w:szCs w:val="21"/>
              </w:rPr>
            </w:pPr>
            <w:r>
              <w:rPr>
                <w:rFonts w:hint="eastAsia" w:ascii="等线" w:hAnsi="等线" w:eastAsia="等线" w:cs="宋体"/>
                <w:color w:val="000000"/>
                <w:kern w:val="0"/>
                <w:szCs w:val="21"/>
              </w:rPr>
              <w:t>43</w:t>
            </w:r>
          </w:p>
        </w:tc>
        <w:tc>
          <w:tcPr>
            <w:tcW w:w="1134" w:type="dxa"/>
            <w:noWrap w:val="0"/>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防护报表</w:t>
            </w:r>
          </w:p>
        </w:tc>
        <w:tc>
          <w:tcPr>
            <w:tcW w:w="6379" w:type="dxa"/>
            <w:noWrap w:val="0"/>
            <w:vAlign w:val="center"/>
          </w:tcPr>
          <w:p>
            <w:pPr>
              <w:widowControl/>
              <w:spacing w:line="360" w:lineRule="auto"/>
              <w:rPr>
                <w:rFonts w:ascii="宋体" w:hAnsi="宋体" w:cs="宋体"/>
                <w:kern w:val="0"/>
                <w:szCs w:val="21"/>
              </w:rPr>
            </w:pPr>
            <w:r>
              <w:rPr>
                <w:rFonts w:hint="eastAsia" w:ascii="宋体" w:hAnsi="宋体" w:cs="宋体"/>
                <w:kern w:val="0"/>
                <w:szCs w:val="21"/>
              </w:rPr>
              <w:t>可查看安全防护报告，能够针对每个防护站点能够提供攻击防护的周报、月报统计，并提供自定义选择时间跨度和站点生成报表。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pPr>
              <w:widowControl/>
              <w:spacing w:line="360" w:lineRule="auto"/>
              <w:jc w:val="center"/>
              <w:rPr>
                <w:rFonts w:hint="default" w:ascii="等线" w:hAnsi="等线" w:eastAsia="等线" w:cs="宋体"/>
                <w:color w:val="000000"/>
                <w:kern w:val="0"/>
                <w:szCs w:val="21"/>
                <w:lang w:val="en-US" w:eastAsia="zh-CN"/>
              </w:rPr>
            </w:pPr>
            <w:r>
              <w:rPr>
                <w:rFonts w:hint="eastAsia" w:ascii="等线" w:hAnsi="等线" w:eastAsia="等线" w:cs="宋体"/>
                <w:color w:val="000000"/>
                <w:kern w:val="0"/>
                <w:szCs w:val="21"/>
                <w:lang w:val="en-US" w:eastAsia="zh-CN"/>
              </w:rPr>
              <w:t>44</w:t>
            </w:r>
          </w:p>
        </w:tc>
        <w:tc>
          <w:tcPr>
            <w:tcW w:w="1134" w:type="dxa"/>
            <w:vMerge w:val="restart"/>
            <w:shd w:val="clear" w:color="auto" w:fill="auto"/>
            <w:noWrap w:val="0"/>
            <w:vAlign w:val="center"/>
          </w:tcPr>
          <w:p>
            <w:pPr>
              <w:widowControl/>
              <w:spacing w:line="360" w:lineRule="auto"/>
              <w:jc w:val="left"/>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资格要求</w:t>
            </w:r>
          </w:p>
        </w:tc>
        <w:tc>
          <w:tcPr>
            <w:tcW w:w="6379" w:type="dxa"/>
            <w:shd w:val="clear" w:color="000000" w:fill="FFFFFF"/>
            <w:noWrap w:val="0"/>
            <w:vAlign w:val="top"/>
          </w:tcPr>
          <w:p>
            <w:pPr>
              <w:widowControl/>
              <w:spacing w:line="360" w:lineRule="auto"/>
              <w:rPr>
                <w:rFonts w:ascii="宋体" w:hAnsi="宋体" w:cs="宋体"/>
                <w:kern w:val="0"/>
                <w:szCs w:val="21"/>
              </w:rPr>
            </w:pPr>
            <w:r>
              <w:rPr>
                <w:rFonts w:hint="eastAsia"/>
              </w:rPr>
              <w:t>厂商需具备中国信息安全测评中心颁发的信息安全服务资质证书-安全开发类二级</w:t>
            </w:r>
            <w:r>
              <w:rPr>
                <w:rFonts w:hint="eastAsia"/>
                <w:lang w:val="en-US" w:eastAsia="zh-CN"/>
              </w:rPr>
              <w:t>以上，</w:t>
            </w:r>
            <w:r>
              <w:rPr>
                <w:rFonts w:hint="eastAsia"/>
              </w:rPr>
              <w:t>提供盖章证明</w:t>
            </w:r>
            <w:r>
              <w:rPr>
                <w:rFonts w:hint="eastAsia"/>
                <w:lang w:val="en-US" w:eastAsia="zh-CN"/>
              </w:rPr>
              <w:t>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shd w:val="clear" w:color="auto" w:fill="auto"/>
            <w:noWrap/>
            <w:vAlign w:val="center"/>
          </w:tcPr>
          <w:p>
            <w:pPr>
              <w:widowControl/>
              <w:spacing w:line="360" w:lineRule="auto"/>
              <w:jc w:val="center"/>
              <w:rPr>
                <w:rFonts w:hint="eastAsia" w:ascii="等线" w:hAnsi="等线" w:eastAsia="等线" w:cs="宋体"/>
                <w:color w:val="000000"/>
                <w:kern w:val="0"/>
                <w:szCs w:val="21"/>
                <w:lang w:val="en-US" w:eastAsia="zh-CN"/>
              </w:rPr>
            </w:pPr>
            <w:r>
              <w:rPr>
                <w:rFonts w:hint="eastAsia" w:ascii="等线" w:hAnsi="等线" w:eastAsia="等线" w:cs="宋体"/>
                <w:color w:val="000000"/>
                <w:kern w:val="0"/>
                <w:szCs w:val="21"/>
              </w:rPr>
              <w:t>4</w:t>
            </w:r>
            <w:r>
              <w:rPr>
                <w:rFonts w:hint="eastAsia" w:ascii="等线" w:hAnsi="等线" w:eastAsia="等线" w:cs="宋体"/>
                <w:color w:val="000000"/>
                <w:kern w:val="0"/>
                <w:szCs w:val="21"/>
                <w:lang w:val="en-US" w:eastAsia="zh-CN"/>
              </w:rPr>
              <w:t>5</w:t>
            </w:r>
          </w:p>
        </w:tc>
        <w:tc>
          <w:tcPr>
            <w:tcW w:w="1134" w:type="dxa"/>
            <w:vMerge w:val="continue"/>
            <w:shd w:val="clear" w:color="auto" w:fill="auto"/>
            <w:noWrap w:val="0"/>
            <w:vAlign w:val="center"/>
          </w:tcPr>
          <w:p>
            <w:pPr>
              <w:widowControl/>
              <w:spacing w:line="360" w:lineRule="auto"/>
              <w:jc w:val="left"/>
              <w:rPr>
                <w:rFonts w:ascii="宋体" w:hAnsi="宋体" w:cs="宋体"/>
                <w:b/>
                <w:bCs/>
                <w:color w:val="000000"/>
                <w:kern w:val="0"/>
                <w:szCs w:val="21"/>
              </w:rPr>
            </w:pPr>
          </w:p>
        </w:tc>
        <w:tc>
          <w:tcPr>
            <w:tcW w:w="6379" w:type="dxa"/>
            <w:shd w:val="clear" w:color="000000" w:fill="FFFFFF"/>
            <w:noWrap w:val="0"/>
            <w:vAlign w:val="top"/>
          </w:tcPr>
          <w:p>
            <w:pPr>
              <w:widowControl/>
              <w:spacing w:line="360" w:lineRule="auto"/>
              <w:rPr>
                <w:rFonts w:ascii="宋体" w:hAnsi="宋体" w:cs="宋体"/>
                <w:kern w:val="0"/>
                <w:szCs w:val="21"/>
              </w:rPr>
            </w:pPr>
            <w:r>
              <w:rPr>
                <w:rFonts w:hint="eastAsia"/>
              </w:rPr>
              <w:t>厂商获得ITSS信息技术服务标准符合性证书-云服务二级</w:t>
            </w:r>
            <w:r>
              <w:rPr>
                <w:rFonts w:hint="eastAsia"/>
                <w:lang w:val="en-US" w:eastAsia="zh-CN"/>
              </w:rPr>
              <w:t>以上，</w:t>
            </w:r>
            <w:r>
              <w:rPr>
                <w:rFonts w:hint="eastAsia"/>
              </w:rPr>
              <w:t>提供盖章证明</w:t>
            </w:r>
            <w:r>
              <w:rPr>
                <w:rFonts w:hint="eastAsia"/>
                <w:lang w:val="en-US" w:eastAsia="zh-CN"/>
              </w:rPr>
              <w:t>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shd w:val="clear" w:color="auto" w:fill="auto"/>
            <w:noWrap/>
            <w:vAlign w:val="center"/>
          </w:tcPr>
          <w:p>
            <w:pPr>
              <w:widowControl/>
              <w:spacing w:line="360" w:lineRule="auto"/>
              <w:jc w:val="center"/>
              <w:rPr>
                <w:rFonts w:hint="default" w:ascii="等线" w:hAnsi="等线" w:eastAsia="等线" w:cs="宋体"/>
                <w:color w:val="000000"/>
                <w:kern w:val="0"/>
                <w:szCs w:val="21"/>
                <w:lang w:val="en-US" w:eastAsia="zh-CN"/>
              </w:rPr>
            </w:pPr>
            <w:r>
              <w:rPr>
                <w:rFonts w:hint="eastAsia" w:ascii="等线" w:hAnsi="等线" w:eastAsia="等线" w:cs="宋体"/>
                <w:color w:val="000000"/>
                <w:kern w:val="0"/>
                <w:szCs w:val="21"/>
                <w:lang w:val="en-US" w:eastAsia="zh-CN"/>
              </w:rPr>
              <w:t>46</w:t>
            </w:r>
          </w:p>
        </w:tc>
        <w:tc>
          <w:tcPr>
            <w:tcW w:w="1134" w:type="dxa"/>
            <w:vMerge w:val="continue"/>
            <w:shd w:val="clear" w:color="auto" w:fill="auto"/>
            <w:noWrap w:val="0"/>
            <w:vAlign w:val="center"/>
          </w:tcPr>
          <w:p>
            <w:pPr>
              <w:widowControl/>
              <w:spacing w:line="360" w:lineRule="auto"/>
              <w:jc w:val="left"/>
              <w:rPr>
                <w:rFonts w:ascii="宋体" w:hAnsi="宋体" w:cs="宋体"/>
                <w:b/>
                <w:bCs/>
                <w:color w:val="000000"/>
                <w:kern w:val="0"/>
                <w:szCs w:val="21"/>
              </w:rPr>
            </w:pPr>
          </w:p>
        </w:tc>
        <w:tc>
          <w:tcPr>
            <w:tcW w:w="6379" w:type="dxa"/>
            <w:shd w:val="clear" w:color="000000" w:fill="FFFFFF"/>
            <w:noWrap w:val="0"/>
            <w:vAlign w:val="top"/>
          </w:tcPr>
          <w:p>
            <w:pPr>
              <w:widowControl/>
              <w:spacing w:line="360" w:lineRule="auto"/>
              <w:rPr>
                <w:rFonts w:ascii="宋体" w:hAnsi="宋体" w:cs="宋体"/>
                <w:kern w:val="0"/>
                <w:szCs w:val="21"/>
              </w:rPr>
            </w:pPr>
            <w:r>
              <w:rPr>
                <w:rFonts w:hint="eastAsia"/>
              </w:rPr>
              <w:t>厂商通过ISO20000的安全认证，认证范围包括向外部客户提供整体安全解决方案、安全软件的设计、开发和运行维护，硬件的运行维护，安全相关的SaaS及运营服务，提供盖章证明</w:t>
            </w:r>
            <w:r>
              <w:rPr>
                <w:rFonts w:hint="eastAsia"/>
                <w:lang w:val="en-US" w:eastAsia="zh-CN"/>
              </w:rPr>
              <w:t>的证明文件</w:t>
            </w:r>
            <w:r>
              <w:rPr>
                <w:rFonts w:hint="eastAsia"/>
              </w:rPr>
              <w:t>。</w:t>
            </w:r>
          </w:p>
        </w:tc>
      </w:tr>
    </w:tbl>
    <w:p>
      <w:pPr>
        <w:pStyle w:val="2"/>
        <w:numPr>
          <w:ilvl w:val="0"/>
          <w:numId w:val="3"/>
        </w:numPr>
        <w:rPr>
          <w:rFonts w:ascii="宋体" w:hAnsi="宋体"/>
        </w:rPr>
      </w:pPr>
      <w:bookmarkStart w:id="1" w:name="_6.1.2、容器服务器"/>
      <w:bookmarkEnd w:id="1"/>
      <w:r>
        <w:rPr>
          <w:rFonts w:hint="eastAsia" w:ascii="宋体" w:hAnsi="宋体"/>
        </w:rPr>
        <w:t>实施</w:t>
      </w:r>
      <w:r>
        <w:rPr>
          <w:rFonts w:hint="eastAsia" w:ascii="宋体" w:hAnsi="宋体"/>
          <w:lang w:val="en-US" w:eastAsia="zh-CN"/>
        </w:rPr>
        <w:t>服务</w:t>
      </w:r>
      <w:r>
        <w:rPr>
          <w:rFonts w:hint="eastAsia" w:ascii="宋体" w:hAnsi="宋体"/>
        </w:rPr>
        <w:t>要求</w:t>
      </w:r>
    </w:p>
    <w:p>
      <w:pPr>
        <w:pStyle w:val="17"/>
        <w:keepNext w:val="0"/>
        <w:keepLines w:val="0"/>
        <w:widowControl/>
        <w:suppressLineNumbers w:val="0"/>
        <w:spacing w:line="240" w:lineRule="auto"/>
        <w:ind w:firstLine="540" w:firstLineChars="20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供应商需要拥有完善的服务团队、技术能力和服务管理工具，为本项目设备提供售后服务，服务内容包括：</w:t>
      </w:r>
    </w:p>
    <w:p>
      <w:pPr>
        <w:pStyle w:val="17"/>
        <w:keepNext w:val="0"/>
        <w:keepLines w:val="0"/>
        <w:widowControl/>
        <w:numPr>
          <w:ilvl w:val="0"/>
          <w:numId w:val="4"/>
        </w:numPr>
        <w:suppressLineNumbers w:val="0"/>
        <w:spacing w:line="240" w:lineRule="auto"/>
        <w:ind w:lef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提供7*24小时快速上门服务和2小时内快速响应服务</w:t>
      </w:r>
      <w:r>
        <w:rPr>
          <w:rFonts w:hint="eastAsia" w:eastAsia="宋体" w:cs="宋体"/>
          <w:i w:val="0"/>
          <w:iCs w:val="0"/>
          <w:caps w:val="0"/>
          <w:color w:val="000000"/>
          <w:spacing w:val="0"/>
          <w:sz w:val="27"/>
          <w:szCs w:val="27"/>
          <w:lang w:eastAsia="zh-CN"/>
        </w:rPr>
        <w:t>；</w:t>
      </w:r>
    </w:p>
    <w:p>
      <w:pPr>
        <w:pStyle w:val="17"/>
        <w:keepNext w:val="0"/>
        <w:keepLines w:val="0"/>
        <w:widowControl/>
        <w:numPr>
          <w:ilvl w:val="0"/>
          <w:numId w:val="4"/>
        </w:numPr>
        <w:suppressLineNumbers w:val="0"/>
        <w:spacing w:line="240" w:lineRule="auto"/>
        <w:ind w:left="0" w:firstLine="0"/>
        <w:rPr>
          <w:rFonts w:hint="eastAsia" w:ascii="宋体" w:hAnsi="宋体" w:eastAsia="宋体" w:cs="宋体"/>
          <w:i w:val="0"/>
          <w:iCs w:val="0"/>
          <w:caps w:val="0"/>
          <w:color w:val="000000"/>
          <w:spacing w:val="0"/>
          <w:sz w:val="27"/>
          <w:szCs w:val="27"/>
        </w:rPr>
      </w:pPr>
      <w:r>
        <w:rPr>
          <w:rFonts w:hint="eastAsia" w:eastAsia="宋体" w:cs="宋体"/>
          <w:i w:val="0"/>
          <w:iCs w:val="0"/>
          <w:caps w:val="0"/>
          <w:color w:val="000000"/>
          <w:spacing w:val="0"/>
          <w:sz w:val="27"/>
          <w:szCs w:val="27"/>
          <w:lang w:val="en-US" w:eastAsia="zh-CN"/>
        </w:rPr>
        <w:t>不影响原有业务运行情况，完成网站云防护迁移割接工作；</w:t>
      </w:r>
    </w:p>
    <w:p>
      <w:pPr>
        <w:pStyle w:val="17"/>
        <w:keepNext w:val="0"/>
        <w:keepLines w:val="0"/>
        <w:widowControl/>
        <w:numPr>
          <w:ilvl w:val="0"/>
          <w:numId w:val="4"/>
        </w:numPr>
        <w:suppressLineNumbers w:val="0"/>
        <w:spacing w:line="240" w:lineRule="auto"/>
        <w:ind w:lef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服务期内，免费提供网站评估监测</w:t>
      </w:r>
      <w:r>
        <w:rPr>
          <w:rFonts w:hint="eastAsia" w:eastAsia="宋体" w:cs="宋体"/>
          <w:i w:val="0"/>
          <w:iCs w:val="0"/>
          <w:caps w:val="0"/>
          <w:color w:val="000000"/>
          <w:spacing w:val="0"/>
          <w:sz w:val="27"/>
          <w:szCs w:val="27"/>
          <w:lang w:val="en-US" w:eastAsia="zh-CN"/>
        </w:rPr>
        <w:t>及</w:t>
      </w:r>
      <w:r>
        <w:rPr>
          <w:rFonts w:hint="eastAsia" w:ascii="宋体" w:hAnsi="宋体" w:eastAsia="宋体" w:cs="宋体"/>
          <w:i w:val="0"/>
          <w:iCs w:val="0"/>
          <w:caps w:val="0"/>
          <w:color w:val="000000"/>
          <w:spacing w:val="0"/>
          <w:sz w:val="27"/>
          <w:szCs w:val="27"/>
        </w:rPr>
        <w:t>网站安全应急响应</w:t>
      </w:r>
      <w:r>
        <w:rPr>
          <w:rFonts w:hint="eastAsia" w:ascii="宋体" w:hAnsi="宋体" w:eastAsia="宋体" w:cs="宋体"/>
          <w:i w:val="0"/>
          <w:iCs w:val="0"/>
          <w:caps w:val="0"/>
          <w:color w:val="000000"/>
          <w:spacing w:val="0"/>
          <w:sz w:val="27"/>
          <w:szCs w:val="27"/>
        </w:rPr>
        <w:t>服务</w:t>
      </w:r>
      <w:r>
        <w:rPr>
          <w:rFonts w:hint="eastAsia" w:eastAsia="宋体" w:cs="宋体"/>
          <w:i w:val="0"/>
          <w:iCs w:val="0"/>
          <w:caps w:val="0"/>
          <w:color w:val="000000"/>
          <w:spacing w:val="0"/>
          <w:sz w:val="27"/>
          <w:szCs w:val="27"/>
          <w:lang w:eastAsia="zh-CN"/>
        </w:rPr>
        <w:t>；</w:t>
      </w:r>
    </w:p>
    <w:p>
      <w:pPr>
        <w:pStyle w:val="17"/>
        <w:keepNext w:val="0"/>
        <w:keepLines w:val="0"/>
        <w:widowControl/>
        <w:numPr>
          <w:ilvl w:val="0"/>
          <w:numId w:val="4"/>
        </w:numPr>
        <w:suppressLineNumbers w:val="0"/>
        <w:spacing w:line="240" w:lineRule="auto"/>
        <w:ind w:lef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提供策略优化、配置调整、规则更新、问题处理、技术咨询安全事件通告等常规技术支持服务</w:t>
      </w:r>
      <w:r>
        <w:rPr>
          <w:rFonts w:hint="eastAsia" w:eastAsia="宋体" w:cs="宋体"/>
          <w:i w:val="0"/>
          <w:iCs w:val="0"/>
          <w:caps w:val="0"/>
          <w:color w:val="000000"/>
          <w:spacing w:val="0"/>
          <w:sz w:val="27"/>
          <w:szCs w:val="27"/>
          <w:lang w:eastAsia="zh-CN"/>
        </w:rPr>
        <w:t>；</w:t>
      </w:r>
    </w:p>
    <w:p>
      <w:pPr>
        <w:pStyle w:val="17"/>
        <w:keepNext w:val="0"/>
        <w:keepLines w:val="0"/>
        <w:widowControl/>
        <w:numPr>
          <w:ilvl w:val="0"/>
          <w:numId w:val="4"/>
        </w:numPr>
        <w:suppressLineNumbers w:val="0"/>
        <w:spacing w:line="240" w:lineRule="auto"/>
        <w:ind w:lef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实时监测感知持续性攻击事件，并及时响应和对抗，同时在重大节会期间提供更高级别的安全响应服务</w:t>
      </w:r>
      <w:r>
        <w:rPr>
          <w:rFonts w:hint="eastAsia" w:eastAsia="宋体" w:cs="宋体"/>
          <w:i w:val="0"/>
          <w:iCs w:val="0"/>
          <w:caps w:val="0"/>
          <w:color w:val="000000"/>
          <w:spacing w:val="0"/>
          <w:sz w:val="27"/>
          <w:szCs w:val="27"/>
          <w:lang w:eastAsia="zh-CN"/>
        </w:rPr>
        <w:t>；</w:t>
      </w:r>
    </w:p>
    <w:p>
      <w:pPr>
        <w:pStyle w:val="17"/>
        <w:keepNext w:val="0"/>
        <w:keepLines w:val="0"/>
        <w:widowControl/>
        <w:numPr>
          <w:ilvl w:val="0"/>
          <w:numId w:val="4"/>
        </w:numPr>
        <w:suppressLineNumbers w:val="0"/>
        <w:spacing w:line="240" w:lineRule="auto"/>
        <w:ind w:left="0" w:firstLine="0"/>
        <w:rPr>
          <w:rFonts w:hint="eastAsia"/>
        </w:rPr>
      </w:pPr>
      <w:r>
        <w:rPr>
          <w:rFonts w:hint="eastAsia" w:eastAsia="宋体" w:cs="宋体"/>
          <w:i w:val="0"/>
          <w:iCs w:val="0"/>
          <w:caps w:val="0"/>
          <w:color w:val="000000"/>
          <w:spacing w:val="0"/>
          <w:sz w:val="27"/>
          <w:szCs w:val="27"/>
          <w:lang w:val="en-US" w:eastAsia="zh-CN"/>
        </w:rPr>
        <w:t>按院方要求按时提供相关安全防护报表数据。</w:t>
      </w:r>
      <w:bookmarkStart w:id="2" w:name="_GoBack"/>
      <w:bookmarkEnd w:id="2"/>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1</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27E08"/>
    <w:multiLevelType w:val="singleLevel"/>
    <w:tmpl w:val="D6827E08"/>
    <w:lvl w:ilvl="0" w:tentative="0">
      <w:start w:val="1"/>
      <w:numFmt w:val="decimal"/>
      <w:suff w:val="nothing"/>
      <w:lvlText w:val="（%1）"/>
      <w:lvlJc w:val="left"/>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6"/>
      <w:lvlText w:val="%1. "/>
      <w:lvlJc w:val="left"/>
      <w:pPr>
        <w:ind w:left="420" w:hanging="420"/>
      </w:pPr>
      <w:rPr>
        <w:rFonts w:hint="default" w:ascii="Times New Roman" w:hAnsi="Times New Roman" w:eastAsia="宋体"/>
        <w:b/>
        <w:i w:val="0"/>
      </w:rPr>
    </w:lvl>
    <w:lvl w:ilvl="1" w:tentative="0">
      <w:start w:val="1"/>
      <w:numFmt w:val="decimal"/>
      <w:pStyle w:val="49"/>
      <w:isLgl/>
      <w:suff w:val="space"/>
      <w:lvlText w:val="%1.%2 "/>
      <w:lvlJc w:val="left"/>
      <w:pPr>
        <w:ind w:left="3913" w:hanging="794"/>
      </w:pPr>
      <w:rPr>
        <w:rFonts w:hint="eastAsia"/>
      </w:rPr>
    </w:lvl>
    <w:lvl w:ilvl="2" w:tentative="0">
      <w:start w:val="1"/>
      <w:numFmt w:val="decimal"/>
      <w:pStyle w:val="55"/>
      <w:isLgl/>
      <w:suff w:val="space"/>
      <w:lvlText w:val="%1.%2.%3 "/>
      <w:lvlJc w:val="left"/>
      <w:pPr>
        <w:ind w:left="907" w:hanging="907"/>
      </w:pPr>
      <w:rPr>
        <w:rFonts w:hint="eastAsia"/>
      </w:rPr>
    </w:lvl>
    <w:lvl w:ilvl="3" w:tentative="0">
      <w:start w:val="1"/>
      <w:numFmt w:val="decimal"/>
      <w:pStyle w:val="54"/>
      <w:isLgl/>
      <w:suff w:val="space"/>
      <w:lvlText w:val="%1.%2.%3.%4 "/>
      <w:lvlJc w:val="left"/>
      <w:pPr>
        <w:ind w:left="1021" w:hanging="1021"/>
      </w:pPr>
      <w:rPr>
        <w:rFonts w:hint="eastAsia"/>
      </w:rPr>
    </w:lvl>
    <w:lvl w:ilvl="4" w:tentative="0">
      <w:start w:val="1"/>
      <w:numFmt w:val="decimal"/>
      <w:pStyle w:val="59"/>
      <w:isLgl/>
      <w:suff w:val="space"/>
      <w:lvlText w:val="%1.%2.%3.%4.%5 "/>
      <w:lvlJc w:val="left"/>
      <w:pPr>
        <w:ind w:left="1134" w:hanging="1134"/>
      </w:pPr>
      <w:rPr>
        <w:rFonts w:hint="eastAsia"/>
      </w:rPr>
    </w:lvl>
    <w:lvl w:ilvl="5" w:tentative="0">
      <w:start w:val="1"/>
      <w:numFmt w:val="decimal"/>
      <w:pStyle w:val="53"/>
      <w:isLgl/>
      <w:suff w:val="space"/>
      <w:lvlText w:val="%1.%2.%3.%4.%5.%6 "/>
      <w:lvlJc w:val="left"/>
      <w:pPr>
        <w:ind w:left="1247" w:hanging="1247"/>
      </w:pPr>
      <w:rPr>
        <w:rFonts w:hint="eastAsia"/>
      </w:rPr>
    </w:lvl>
    <w:lvl w:ilvl="6" w:tentative="0">
      <w:start w:val="1"/>
      <w:numFmt w:val="decimal"/>
      <w:lvlRestart w:val="1"/>
      <w:pStyle w:val="48"/>
      <w:isLgl/>
      <w:suff w:val="space"/>
      <w:lvlText w:val="图 %1.%7 "/>
      <w:lvlJc w:val="left"/>
      <w:pPr>
        <w:ind w:left="0" w:firstLine="0"/>
      </w:pPr>
      <w:rPr>
        <w:rFonts w:hint="eastAsia"/>
      </w:rPr>
    </w:lvl>
    <w:lvl w:ilvl="7" w:tentative="0">
      <w:start w:val="1"/>
      <w:numFmt w:val="decimal"/>
      <w:lvlRestart w:val="1"/>
      <w:pStyle w:val="5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4OGZiZTQ0YTE3OTJkYWVhZjcyNDNjZTQ0NTkzN2IifQ=="/>
  </w:docVars>
  <w:rsids>
    <w:rsidRoot w:val="00303343"/>
    <w:rsid w:val="000051D2"/>
    <w:rsid w:val="000079DD"/>
    <w:rsid w:val="00012DCC"/>
    <w:rsid w:val="00016B63"/>
    <w:rsid w:val="0004334E"/>
    <w:rsid w:val="00046B39"/>
    <w:rsid w:val="00054706"/>
    <w:rsid w:val="00066DE7"/>
    <w:rsid w:val="00074EDD"/>
    <w:rsid w:val="00086AE0"/>
    <w:rsid w:val="00090A18"/>
    <w:rsid w:val="000B41B7"/>
    <w:rsid w:val="000D5317"/>
    <w:rsid w:val="000E276C"/>
    <w:rsid w:val="00106D68"/>
    <w:rsid w:val="001106CE"/>
    <w:rsid w:val="001107F8"/>
    <w:rsid w:val="001116F6"/>
    <w:rsid w:val="00121E40"/>
    <w:rsid w:val="0012322D"/>
    <w:rsid w:val="00123FCC"/>
    <w:rsid w:val="00135BF9"/>
    <w:rsid w:val="001365DD"/>
    <w:rsid w:val="00136606"/>
    <w:rsid w:val="00140E0C"/>
    <w:rsid w:val="0014437A"/>
    <w:rsid w:val="00153AB3"/>
    <w:rsid w:val="00162D29"/>
    <w:rsid w:val="00164878"/>
    <w:rsid w:val="00165091"/>
    <w:rsid w:val="00171903"/>
    <w:rsid w:val="0018200C"/>
    <w:rsid w:val="001833B6"/>
    <w:rsid w:val="00190CD2"/>
    <w:rsid w:val="001A22A1"/>
    <w:rsid w:val="001B4850"/>
    <w:rsid w:val="001B7966"/>
    <w:rsid w:val="001B7D79"/>
    <w:rsid w:val="001C23B3"/>
    <w:rsid w:val="001C7BC6"/>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A5A"/>
    <w:rsid w:val="00322973"/>
    <w:rsid w:val="003325F0"/>
    <w:rsid w:val="00341038"/>
    <w:rsid w:val="00352E7C"/>
    <w:rsid w:val="00353276"/>
    <w:rsid w:val="00366980"/>
    <w:rsid w:val="003802E2"/>
    <w:rsid w:val="00385E95"/>
    <w:rsid w:val="00385FED"/>
    <w:rsid w:val="00397B7E"/>
    <w:rsid w:val="003A7269"/>
    <w:rsid w:val="003C0FB7"/>
    <w:rsid w:val="003C6D81"/>
    <w:rsid w:val="003D0F80"/>
    <w:rsid w:val="003D2595"/>
    <w:rsid w:val="003E7083"/>
    <w:rsid w:val="003F629F"/>
    <w:rsid w:val="00403938"/>
    <w:rsid w:val="00413DA3"/>
    <w:rsid w:val="00414171"/>
    <w:rsid w:val="0041787F"/>
    <w:rsid w:val="00423450"/>
    <w:rsid w:val="0042702D"/>
    <w:rsid w:val="00435C81"/>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7C53"/>
    <w:rsid w:val="005F0356"/>
    <w:rsid w:val="005F73BC"/>
    <w:rsid w:val="00600923"/>
    <w:rsid w:val="006053FC"/>
    <w:rsid w:val="00612F3F"/>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900232"/>
    <w:rsid w:val="00900BAA"/>
    <w:rsid w:val="00903734"/>
    <w:rsid w:val="00903878"/>
    <w:rsid w:val="00903CF6"/>
    <w:rsid w:val="009052C7"/>
    <w:rsid w:val="00905FFA"/>
    <w:rsid w:val="0092017A"/>
    <w:rsid w:val="00922032"/>
    <w:rsid w:val="00925C23"/>
    <w:rsid w:val="00927E08"/>
    <w:rsid w:val="009303FA"/>
    <w:rsid w:val="00943004"/>
    <w:rsid w:val="00965C13"/>
    <w:rsid w:val="00966A88"/>
    <w:rsid w:val="00973A47"/>
    <w:rsid w:val="00981ED8"/>
    <w:rsid w:val="00982AA3"/>
    <w:rsid w:val="009863EF"/>
    <w:rsid w:val="00986A41"/>
    <w:rsid w:val="0098719A"/>
    <w:rsid w:val="00991FF2"/>
    <w:rsid w:val="0099315B"/>
    <w:rsid w:val="00995DD9"/>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70DD"/>
    <w:rsid w:val="00A96157"/>
    <w:rsid w:val="00A969AF"/>
    <w:rsid w:val="00A9729E"/>
    <w:rsid w:val="00AA1F69"/>
    <w:rsid w:val="00AB348F"/>
    <w:rsid w:val="00AB7D36"/>
    <w:rsid w:val="00AC1390"/>
    <w:rsid w:val="00AC4663"/>
    <w:rsid w:val="00AE1DD2"/>
    <w:rsid w:val="00AE4106"/>
    <w:rsid w:val="00B12138"/>
    <w:rsid w:val="00B1378D"/>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1C70"/>
    <w:rsid w:val="00BB2B54"/>
    <w:rsid w:val="00BC3CA1"/>
    <w:rsid w:val="00BC49E5"/>
    <w:rsid w:val="00BD3194"/>
    <w:rsid w:val="00BD5FA8"/>
    <w:rsid w:val="00BE23E5"/>
    <w:rsid w:val="00BE31E6"/>
    <w:rsid w:val="00BF757E"/>
    <w:rsid w:val="00BF7C0E"/>
    <w:rsid w:val="00BF7F5A"/>
    <w:rsid w:val="00C17719"/>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3E20"/>
    <w:rsid w:val="00D32842"/>
    <w:rsid w:val="00D42008"/>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F8C"/>
    <w:rsid w:val="00E85360"/>
    <w:rsid w:val="00E85641"/>
    <w:rsid w:val="00E85DA4"/>
    <w:rsid w:val="00E86B42"/>
    <w:rsid w:val="00E95892"/>
    <w:rsid w:val="00E97354"/>
    <w:rsid w:val="00EA6408"/>
    <w:rsid w:val="00EC0483"/>
    <w:rsid w:val="00ED0897"/>
    <w:rsid w:val="00ED73FF"/>
    <w:rsid w:val="00ED7F01"/>
    <w:rsid w:val="00EE51DE"/>
    <w:rsid w:val="00EF5E01"/>
    <w:rsid w:val="00EF6EC0"/>
    <w:rsid w:val="00F02058"/>
    <w:rsid w:val="00F0343C"/>
    <w:rsid w:val="00F04CE5"/>
    <w:rsid w:val="00F13514"/>
    <w:rsid w:val="00F1360F"/>
    <w:rsid w:val="00F16AA8"/>
    <w:rsid w:val="00F3226A"/>
    <w:rsid w:val="00F33DB0"/>
    <w:rsid w:val="00F45DB8"/>
    <w:rsid w:val="00F54D29"/>
    <w:rsid w:val="00F62BCD"/>
    <w:rsid w:val="00F74B77"/>
    <w:rsid w:val="00F764FE"/>
    <w:rsid w:val="00F827B6"/>
    <w:rsid w:val="00F92BE5"/>
    <w:rsid w:val="00FA0574"/>
    <w:rsid w:val="00FB68D3"/>
    <w:rsid w:val="00FC4B75"/>
    <w:rsid w:val="00FE7554"/>
    <w:rsid w:val="00FF17FE"/>
    <w:rsid w:val="0B2255F8"/>
    <w:rsid w:val="27457A1B"/>
    <w:rsid w:val="2F570CF6"/>
    <w:rsid w:val="42200080"/>
    <w:rsid w:val="465E7D59"/>
    <w:rsid w:val="488C513A"/>
    <w:rsid w:val="4E9060E1"/>
    <w:rsid w:val="543A031A"/>
    <w:rsid w:val="560D65BF"/>
    <w:rsid w:val="6AAA21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6"/>
    <w:qFormat/>
    <w:uiPriority w:val="0"/>
    <w:pPr>
      <w:keepNext/>
      <w:keepLines/>
      <w:spacing w:before="260" w:after="260" w:line="416" w:lineRule="auto"/>
      <w:outlineLvl w:val="2"/>
    </w:pPr>
    <w:rPr>
      <w:b/>
      <w:bCs/>
      <w:sz w:val="30"/>
      <w:szCs w:val="30"/>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等线 Light" w:hAnsi="等线 Light" w:eastAsia="等线 Light"/>
      <w:b/>
      <w:bCs/>
      <w:sz w:val="24"/>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20">
    <w:name w:val="Default Paragraph Font"/>
    <w:semiHidden/>
    <w:uiPriority w:val="0"/>
  </w:style>
  <w:style w:type="table" w:default="1" w:styleId="18">
    <w:name w:val="Normal Table"/>
    <w:semiHidden/>
    <w:uiPriority w:val="0"/>
    <w:tblPr>
      <w:tblStyle w:val="18"/>
      <w:tblCellMar>
        <w:top w:w="0" w:type="dxa"/>
        <w:left w:w="108" w:type="dxa"/>
        <w:bottom w:w="0" w:type="dxa"/>
        <w:right w:w="108" w:type="dxa"/>
      </w:tblCellMar>
    </w:tblPr>
  </w:style>
  <w:style w:type="paragraph" w:styleId="11">
    <w:name w:val="Normal Indent"/>
    <w:basedOn w:val="1"/>
    <w:link w:val="33"/>
    <w:qFormat/>
    <w:uiPriority w:val="99"/>
    <w:pPr>
      <w:spacing w:before="120" w:beforeLines="50" w:line="360" w:lineRule="auto"/>
      <w:ind w:firstLine="512" w:firstLineChars="200"/>
    </w:pPr>
    <w:rPr>
      <w:spacing w:val="8"/>
      <w:sz w:val="24"/>
      <w:szCs w:val="20"/>
      <w:lang/>
    </w:rPr>
  </w:style>
  <w:style w:type="paragraph" w:styleId="12">
    <w:name w:val="annotation text"/>
    <w:basedOn w:val="1"/>
    <w:link w:val="34"/>
    <w:unhideWhenUsed/>
    <w:qFormat/>
    <w:uiPriority w:val="0"/>
    <w:pPr>
      <w:jc w:val="left"/>
    </w:pPr>
    <w:rPr>
      <w:kern w:val="0"/>
      <w:sz w:val="20"/>
    </w:rPr>
  </w:style>
  <w:style w:type="paragraph" w:styleId="13">
    <w:name w:val="Plain Text"/>
    <w:basedOn w:val="1"/>
    <w:link w:val="35"/>
    <w:uiPriority w:val="0"/>
    <w:rPr>
      <w:rFonts w:ascii="Calibri" w:hAnsi="Courier New"/>
      <w:szCs w:val="20"/>
    </w:rPr>
  </w:style>
  <w:style w:type="paragraph" w:styleId="14">
    <w:name w:val="Balloon Text"/>
    <w:basedOn w:val="1"/>
    <w:link w:val="36"/>
    <w:uiPriority w:val="0"/>
    <w:rPr>
      <w:sz w:val="18"/>
      <w:szCs w:val="18"/>
    </w:rPr>
  </w:style>
  <w:style w:type="paragraph" w:styleId="15">
    <w:name w:val="footer"/>
    <w:basedOn w:val="1"/>
    <w:link w:val="37"/>
    <w:uiPriority w:val="0"/>
    <w:pPr>
      <w:tabs>
        <w:tab w:val="center" w:pos="4153"/>
        <w:tab w:val="right" w:pos="8306"/>
      </w:tabs>
      <w:snapToGrid w:val="0"/>
      <w:jc w:val="left"/>
    </w:pPr>
    <w:rPr>
      <w:sz w:val="18"/>
      <w:szCs w:val="18"/>
    </w:rPr>
  </w:style>
  <w:style w:type="paragraph" w:styleId="16">
    <w:name w:val="header"/>
    <w:basedOn w:val="1"/>
    <w:link w:val="38"/>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19">
    <w:name w:val="Table Grid"/>
    <w:basedOn w:val="18"/>
    <w:uiPriority w:val="0"/>
    <w:tblPr>
      <w:tblStyle w:val="18"/>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FollowedHyperlink"/>
    <w:uiPriority w:val="0"/>
    <w:rPr>
      <w:color w:val="800080"/>
      <w:u w:val="single"/>
    </w:rPr>
  </w:style>
  <w:style w:type="character" w:styleId="22">
    <w:name w:val="Hyperlink"/>
    <w:uiPriority w:val="0"/>
    <w:rPr>
      <w:color w:val="0563C1"/>
      <w:u w:val="single"/>
    </w:rPr>
  </w:style>
  <w:style w:type="character" w:styleId="23">
    <w:name w:val="annotation reference"/>
    <w:unhideWhenUsed/>
    <w:qFormat/>
    <w:uiPriority w:val="99"/>
    <w:rPr>
      <w:sz w:val="21"/>
      <w:szCs w:val="21"/>
    </w:rPr>
  </w:style>
  <w:style w:type="character" w:customStyle="1" w:styleId="24">
    <w:name w:val="标题 1 Char"/>
    <w:link w:val="2"/>
    <w:uiPriority w:val="0"/>
    <w:rPr>
      <w:b/>
      <w:bCs/>
      <w:kern w:val="44"/>
      <w:sz w:val="44"/>
      <w:szCs w:val="44"/>
    </w:rPr>
  </w:style>
  <w:style w:type="character" w:customStyle="1" w:styleId="25">
    <w:name w:val="标题 2 Char"/>
    <w:link w:val="3"/>
    <w:uiPriority w:val="0"/>
    <w:rPr>
      <w:rFonts w:ascii="等线 Light" w:hAnsi="等线 Light" w:eastAsia="等线 Light" w:cs="Times New Roman"/>
      <w:b/>
      <w:bCs/>
      <w:kern w:val="2"/>
      <w:sz w:val="32"/>
      <w:szCs w:val="32"/>
    </w:rPr>
  </w:style>
  <w:style w:type="character" w:customStyle="1" w:styleId="26">
    <w:name w:val="标题 3 Char"/>
    <w:link w:val="4"/>
    <w:uiPriority w:val="0"/>
    <w:rPr>
      <w:b/>
      <w:bCs/>
      <w:kern w:val="2"/>
      <w:sz w:val="30"/>
      <w:szCs w:val="30"/>
    </w:rPr>
  </w:style>
  <w:style w:type="character" w:customStyle="1" w:styleId="27">
    <w:name w:val="标题 4 Char"/>
    <w:link w:val="5"/>
    <w:uiPriority w:val="0"/>
    <w:rPr>
      <w:rFonts w:ascii="宋体" w:hAnsi="宋体"/>
      <w:b/>
      <w:bCs/>
      <w:kern w:val="2"/>
      <w:sz w:val="28"/>
      <w:szCs w:val="28"/>
    </w:rPr>
  </w:style>
  <w:style w:type="character" w:customStyle="1" w:styleId="28">
    <w:name w:val="标题 5 Char"/>
    <w:link w:val="6"/>
    <w:uiPriority w:val="0"/>
    <w:rPr>
      <w:b/>
      <w:bCs/>
      <w:kern w:val="2"/>
      <w:sz w:val="28"/>
      <w:szCs w:val="28"/>
    </w:rPr>
  </w:style>
  <w:style w:type="character" w:customStyle="1" w:styleId="29">
    <w:name w:val="标题 6 Char"/>
    <w:link w:val="7"/>
    <w:semiHidden/>
    <w:uiPriority w:val="0"/>
    <w:rPr>
      <w:rFonts w:ascii="等线 Light" w:hAnsi="等线 Light" w:eastAsia="等线 Light"/>
      <w:b/>
      <w:bCs/>
      <w:kern w:val="2"/>
      <w:sz w:val="24"/>
      <w:szCs w:val="24"/>
    </w:rPr>
  </w:style>
  <w:style w:type="character" w:customStyle="1" w:styleId="30">
    <w:name w:val="标题 7 Char"/>
    <w:link w:val="8"/>
    <w:semiHidden/>
    <w:uiPriority w:val="0"/>
    <w:rPr>
      <w:b/>
      <w:bCs/>
      <w:kern w:val="2"/>
      <w:sz w:val="24"/>
      <w:szCs w:val="24"/>
    </w:rPr>
  </w:style>
  <w:style w:type="character" w:customStyle="1" w:styleId="31">
    <w:name w:val="标题 8 Char"/>
    <w:link w:val="9"/>
    <w:semiHidden/>
    <w:uiPriority w:val="0"/>
    <w:rPr>
      <w:rFonts w:ascii="等线 Light" w:hAnsi="等线 Light" w:eastAsia="等线 Light"/>
      <w:kern w:val="2"/>
      <w:sz w:val="24"/>
      <w:szCs w:val="24"/>
    </w:rPr>
  </w:style>
  <w:style w:type="character" w:customStyle="1" w:styleId="32">
    <w:name w:val="标题 9 Char"/>
    <w:link w:val="10"/>
    <w:semiHidden/>
    <w:uiPriority w:val="0"/>
    <w:rPr>
      <w:rFonts w:ascii="等线 Light" w:hAnsi="等线 Light" w:eastAsia="等线 Light"/>
      <w:kern w:val="2"/>
      <w:sz w:val="21"/>
      <w:szCs w:val="21"/>
    </w:rPr>
  </w:style>
  <w:style w:type="character" w:customStyle="1" w:styleId="33">
    <w:name w:val="正文缩进 Char"/>
    <w:link w:val="11"/>
    <w:qFormat/>
    <w:uiPriority w:val="99"/>
    <w:rPr>
      <w:spacing w:val="8"/>
      <w:kern w:val="2"/>
      <w:sz w:val="24"/>
      <w:lang/>
    </w:rPr>
  </w:style>
  <w:style w:type="character" w:customStyle="1" w:styleId="34">
    <w:name w:val="批注文字 Char"/>
    <w:link w:val="12"/>
    <w:uiPriority w:val="0"/>
    <w:rPr>
      <w:szCs w:val="24"/>
    </w:rPr>
  </w:style>
  <w:style w:type="character" w:customStyle="1" w:styleId="35">
    <w:name w:val="纯文本 Char"/>
    <w:link w:val="13"/>
    <w:uiPriority w:val="0"/>
    <w:rPr>
      <w:rFonts w:ascii="Calibri" w:hAnsi="Courier New"/>
      <w:kern w:val="2"/>
      <w:sz w:val="21"/>
    </w:rPr>
  </w:style>
  <w:style w:type="character" w:customStyle="1" w:styleId="36">
    <w:name w:val="批注框文本 Char"/>
    <w:link w:val="14"/>
    <w:uiPriority w:val="0"/>
    <w:rPr>
      <w:kern w:val="2"/>
      <w:sz w:val="18"/>
      <w:szCs w:val="18"/>
    </w:rPr>
  </w:style>
  <w:style w:type="character" w:customStyle="1" w:styleId="37">
    <w:name w:val="页脚 Char"/>
    <w:link w:val="15"/>
    <w:uiPriority w:val="0"/>
    <w:rPr>
      <w:kern w:val="2"/>
      <w:sz w:val="18"/>
      <w:szCs w:val="18"/>
    </w:rPr>
  </w:style>
  <w:style w:type="character" w:customStyle="1" w:styleId="38">
    <w:name w:val="页眉 Char"/>
    <w:link w:val="16"/>
    <w:uiPriority w:val="0"/>
    <w:rPr>
      <w:kern w:val="2"/>
      <w:sz w:val="18"/>
      <w:szCs w:val="18"/>
    </w:rPr>
  </w:style>
  <w:style w:type="character" w:customStyle="1" w:styleId="39">
    <w:name w:val="正文（首行缩进2字符） Char"/>
    <w:link w:val="40"/>
    <w:uiPriority w:val="0"/>
    <w:rPr>
      <w:kern w:val="2"/>
      <w:sz w:val="24"/>
      <w:szCs w:val="24"/>
    </w:rPr>
  </w:style>
  <w:style w:type="paragraph" w:customStyle="1" w:styleId="40">
    <w:name w:val="正文（首行缩进2字符）"/>
    <w:basedOn w:val="1"/>
    <w:link w:val="39"/>
    <w:qFormat/>
    <w:uiPriority w:val="0"/>
    <w:pPr>
      <w:spacing w:line="360" w:lineRule="auto"/>
      <w:ind w:firstLine="480" w:firstLineChars="200"/>
    </w:pPr>
    <w:rPr>
      <w:sz w:val="24"/>
    </w:rPr>
  </w:style>
  <w:style w:type="character" w:customStyle="1" w:styleId="41">
    <w:name w:val="段落 Char1"/>
    <w:link w:val="42"/>
    <w:uiPriority w:val="0"/>
    <w:rPr>
      <w:rFonts w:eastAsia="仿宋_GB2312"/>
      <w:sz w:val="24"/>
      <w:szCs w:val="24"/>
      <w:lang w:val="en-US" w:eastAsia="zh-CN" w:bidi="ar-SA"/>
    </w:rPr>
  </w:style>
  <w:style w:type="paragraph" w:customStyle="1" w:styleId="42">
    <w:name w:val="段落"/>
    <w:link w:val="41"/>
    <w:qFormat/>
    <w:uiPriority w:val="0"/>
    <w:pPr>
      <w:adjustRightInd w:val="0"/>
      <w:snapToGrid w:val="0"/>
      <w:spacing w:before="120" w:after="120" w:line="360" w:lineRule="auto"/>
      <w:ind w:firstLine="480" w:firstLineChars="200"/>
      <w:jc w:val="both"/>
    </w:pPr>
    <w:rPr>
      <w:rFonts w:eastAsia="仿宋_GB2312"/>
      <w:sz w:val="24"/>
      <w:szCs w:val="24"/>
      <w:lang w:val="en-US" w:eastAsia="zh-CN" w:bidi="ar-SA"/>
    </w:rPr>
  </w:style>
  <w:style w:type="character" w:customStyle="1" w:styleId="43">
    <w:name w:val="正文（安华金和） Char"/>
    <w:link w:val="44"/>
    <w:qFormat/>
    <w:uiPriority w:val="0"/>
    <w:rPr>
      <w:rFonts w:ascii="Arial" w:hAnsi="Arial"/>
      <w:sz w:val="21"/>
      <w:szCs w:val="21"/>
      <w:lang w:val="en-US" w:eastAsia="zh-CN" w:bidi="ar-SA"/>
    </w:rPr>
  </w:style>
  <w:style w:type="paragraph" w:customStyle="1" w:styleId="44">
    <w:name w:val="正文（安华金和）"/>
    <w:link w:val="43"/>
    <w:qFormat/>
    <w:uiPriority w:val="0"/>
    <w:pPr>
      <w:widowControl w:val="0"/>
      <w:spacing w:line="360" w:lineRule="auto"/>
      <w:ind w:firstLine="200"/>
    </w:pPr>
    <w:rPr>
      <w:rFonts w:ascii="Arial" w:hAnsi="Arial"/>
      <w:sz w:val="21"/>
      <w:szCs w:val="21"/>
      <w:lang w:val="en-US" w:eastAsia="zh-CN" w:bidi="ar-SA"/>
    </w:rPr>
  </w:style>
  <w:style w:type="character" w:customStyle="1" w:styleId="45">
    <w:name w:val="页脚 字符"/>
    <w:uiPriority w:val="99"/>
  </w:style>
  <w:style w:type="character" w:customStyle="1" w:styleId="46">
    <w:name w:val="列出段落 Char"/>
    <w:link w:val="47"/>
    <w:qFormat/>
    <w:uiPriority w:val="34"/>
    <w:rPr>
      <w:rFonts w:ascii="等线" w:hAnsi="等线" w:eastAsia="等线"/>
      <w:kern w:val="2"/>
      <w:sz w:val="21"/>
      <w:szCs w:val="22"/>
    </w:rPr>
  </w:style>
  <w:style w:type="paragraph" w:styleId="47">
    <w:name w:val="List Paragraph"/>
    <w:basedOn w:val="1"/>
    <w:link w:val="46"/>
    <w:qFormat/>
    <w:uiPriority w:val="34"/>
    <w:pPr>
      <w:ind w:firstLine="420" w:firstLineChars="200"/>
    </w:pPr>
    <w:rPr>
      <w:rFonts w:ascii="等线" w:hAnsi="等线" w:eastAsia="等线"/>
      <w:szCs w:val="22"/>
    </w:rPr>
  </w:style>
  <w:style w:type="paragraph" w:customStyle="1" w:styleId="48">
    <w:name w:val="插图标注（安华金和）"/>
    <w:next w:val="1"/>
    <w:qFormat/>
    <w:uiPriority w:val="0"/>
    <w:pPr>
      <w:numPr>
        <w:ilvl w:val="6"/>
        <w:numId w:val="2"/>
      </w:numPr>
      <w:spacing w:after="156"/>
      <w:jc w:val="center"/>
    </w:pPr>
    <w:rPr>
      <w:rFonts w:ascii="Arial" w:hAnsi="Arial" w:cs="Arial"/>
      <w:sz w:val="21"/>
      <w:szCs w:val="21"/>
      <w:lang w:val="en-US" w:eastAsia="zh-CN" w:bidi="ar-SA"/>
    </w:rPr>
  </w:style>
  <w:style w:type="paragraph" w:customStyle="1" w:styleId="49">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0">
    <w:name w:val="Default"/>
    <w:qFormat/>
    <w:uiPriority w:val="0"/>
    <w:pPr>
      <w:widowControl w:val="0"/>
      <w:autoSpaceDE w:val="0"/>
      <w:autoSpaceDN w:val="0"/>
      <w:adjustRightInd w:val="0"/>
    </w:pPr>
    <w:rPr>
      <w:rFonts w:ascii="微软雅黑" w:eastAsia="微软雅黑" w:cs="微软雅黑"/>
      <w:color w:val="000000"/>
      <w:sz w:val="24"/>
      <w:szCs w:val="24"/>
      <w:lang w:val="en-US" w:eastAsia="zh-CN" w:bidi="ar-SA"/>
    </w:rPr>
  </w:style>
  <w:style w:type="paragraph" w:customStyle="1" w:styleId="51">
    <w:name w:val="_Style 27"/>
    <w:basedOn w:val="1"/>
    <w:next w:val="47"/>
    <w:qFormat/>
    <w:uiPriority w:val="34"/>
    <w:pPr>
      <w:widowControl/>
      <w:spacing w:line="240" w:lineRule="atLeast"/>
      <w:ind w:firstLine="420" w:firstLineChars="200"/>
    </w:pPr>
    <w:rPr>
      <w:rFonts w:ascii="Arial" w:hAnsi="Arial"/>
      <w:kern w:val="0"/>
      <w:szCs w:val="21"/>
    </w:rPr>
  </w:style>
  <w:style w:type="paragraph" w:customStyle="1" w:styleId="52">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3">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4">
    <w:name w:val="标题 4（DBSec）"/>
    <w:basedOn w:val="5"/>
    <w:next w:val="1"/>
    <w:qFormat/>
    <w:uiPriority w:val="0"/>
    <w:pPr>
      <w:widowControl/>
      <w:numPr>
        <w:ilvl w:val="3"/>
        <w:numId w:val="2"/>
      </w:numPr>
      <w:spacing w:after="156"/>
      <w:ind w:leftChars="200"/>
      <w:jc w:val="left"/>
    </w:pPr>
    <w:rPr>
      <w:rFonts w:ascii="Arial" w:hAnsi="Arial" w:eastAsia="黑体"/>
      <w:bCs w:val="0"/>
      <w:kern w:val="0"/>
    </w:rPr>
  </w:style>
  <w:style w:type="paragraph" w:customStyle="1" w:styleId="55">
    <w:name w:val="标题 3（DBSec）"/>
    <w:basedOn w:val="4"/>
    <w:next w:val="1"/>
    <w:qFormat/>
    <w:uiPriority w:val="0"/>
    <w:pPr>
      <w:numPr>
        <w:ilvl w:val="2"/>
        <w:numId w:val="2"/>
      </w:numPr>
      <w:tabs>
        <w:tab w:val="left" w:pos="960"/>
      </w:tabs>
      <w:spacing w:line="415" w:lineRule="auto"/>
      <w:ind w:leftChars="200"/>
      <w:jc w:val="left"/>
    </w:pPr>
    <w:rPr>
      <w:rFonts w:ascii="Arial" w:hAnsi="Arial" w:eastAsia="黑体"/>
      <w:bCs w:val="0"/>
      <w:kern w:val="0"/>
      <w:sz w:val="30"/>
      <w:szCs w:val="30"/>
    </w:rPr>
  </w:style>
  <w:style w:type="paragraph" w:customStyle="1" w:styleId="56">
    <w:name w:val="标题 1（DBSec）"/>
    <w:basedOn w:val="2"/>
    <w:next w:val="1"/>
    <w:qFormat/>
    <w:uiPriority w:val="0"/>
    <w:pPr>
      <w:pageBreakBefore/>
      <w:numPr>
        <w:ilvl w:val="0"/>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57">
    <w:name w:val="彩色列表 - 着色 11"/>
    <w:basedOn w:val="1"/>
    <w:qFormat/>
    <w:uiPriority w:val="34"/>
    <w:pPr>
      <w:spacing w:line="360" w:lineRule="auto"/>
      <w:ind w:firstLine="420" w:firstLineChars="200"/>
    </w:pPr>
    <w:rPr>
      <w:rFonts w:ascii="Arial" w:hAnsi="Arial"/>
      <w:szCs w:val="21"/>
    </w:rPr>
  </w:style>
  <w:style w:type="paragraph" w:customStyle="1" w:styleId="58">
    <w:name w:val="表格标注（安华金和）"/>
    <w:basedOn w:val="48"/>
    <w:next w:val="1"/>
    <w:qFormat/>
    <w:uiPriority w:val="0"/>
    <w:pPr>
      <w:numPr>
        <w:ilvl w:val="7"/>
        <w:numId w:val="2"/>
      </w:numPr>
    </w:pPr>
  </w:style>
  <w:style w:type="paragraph" w:customStyle="1" w:styleId="59">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0">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1">
    <w:name w:val="批注文字 字符"/>
    <w:qFormat/>
    <w:uiPriority w:val="99"/>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2939</Words>
  <Characters>3508</Characters>
  <Lines>34</Lines>
  <Paragraphs>9</Paragraphs>
  <TotalTime>4</TotalTime>
  <ScaleCrop>false</ScaleCrop>
  <LinksUpToDate>false</LinksUpToDate>
  <CharactersWithSpaces>3527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2023-03-26T11:52:00Z</dcterms:created>
  <dc:creator>陈永辉</dc:creator>
  <cp:lastModifiedBy>信管处张芳健</cp:lastModifiedBy>
  <dcterms:modified xsi:type="dcterms:W3CDTF">2023-03-29T08:12:20Z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ED67D35503C4494AA655503C4BBCB927</vt:lpwstr>
  </property>
</Properties>
</file>