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AB" w:rsidRDefault="00987C93">
      <w:pPr>
        <w:spacing w:beforeLines="200" w:before="624" w:afterLines="100" w:after="312" w:line="360" w:lineRule="auto"/>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广东省人民医院</w:t>
      </w:r>
      <w:r>
        <w:rPr>
          <w:rFonts w:ascii="微软雅黑" w:eastAsia="微软雅黑" w:hAnsi="微软雅黑" w:cs="微软雅黑" w:hint="eastAsia"/>
          <w:b/>
          <w:sz w:val="36"/>
          <w:szCs w:val="36"/>
        </w:rPr>
        <w:t>PET</w:t>
      </w:r>
      <w:r>
        <w:rPr>
          <w:rFonts w:ascii="微软雅黑" w:eastAsia="微软雅黑" w:hAnsi="微软雅黑" w:cs="微软雅黑" w:hint="eastAsia"/>
          <w:b/>
          <w:sz w:val="36"/>
          <w:szCs w:val="36"/>
        </w:rPr>
        <w:t>中心影像处理软件项目</w:t>
      </w:r>
      <w:r>
        <w:rPr>
          <w:rFonts w:ascii="微软雅黑" w:eastAsia="微软雅黑" w:hAnsi="微软雅黑" w:cs="微软雅黑" w:hint="eastAsia"/>
          <w:b/>
          <w:sz w:val="36"/>
          <w:szCs w:val="36"/>
        </w:rPr>
        <w:t>需求</w:t>
      </w:r>
    </w:p>
    <w:p w:rsidR="007034AB" w:rsidRDefault="00987C93">
      <w:pPr>
        <w:pStyle w:val="1"/>
        <w:numPr>
          <w:ilvl w:val="0"/>
          <w:numId w:val="3"/>
        </w:numPr>
        <w:spacing w:before="0" w:after="0"/>
        <w:rPr>
          <w:rFonts w:ascii="微软雅黑" w:eastAsia="微软雅黑" w:hAnsi="微软雅黑" w:cs="微软雅黑"/>
          <w:sz w:val="32"/>
          <w:szCs w:val="32"/>
        </w:rPr>
      </w:pPr>
      <w:r>
        <w:rPr>
          <w:rFonts w:ascii="微软雅黑" w:eastAsia="微软雅黑" w:hAnsi="微软雅黑" w:cs="微软雅黑" w:hint="eastAsia"/>
          <w:sz w:val="32"/>
          <w:szCs w:val="32"/>
        </w:rPr>
        <w:t>项目名称</w:t>
      </w:r>
    </w:p>
    <w:p w:rsidR="007034AB" w:rsidRDefault="00987C93">
      <w:pPr>
        <w:spacing w:line="360" w:lineRule="auto"/>
        <w:ind w:left="432"/>
        <w:rPr>
          <w:rFonts w:ascii="微软雅黑" w:eastAsia="微软雅黑" w:hAnsi="微软雅黑" w:cs="微软雅黑"/>
          <w:sz w:val="22"/>
        </w:rPr>
      </w:pPr>
      <w:r>
        <w:rPr>
          <w:rFonts w:ascii="微软雅黑" w:eastAsia="微软雅黑" w:hAnsi="微软雅黑" w:cs="微软雅黑" w:hint="eastAsia"/>
          <w:sz w:val="22"/>
        </w:rPr>
        <w:t>项目名称：</w:t>
      </w:r>
      <w:r>
        <w:rPr>
          <w:rFonts w:ascii="微软雅黑" w:eastAsia="微软雅黑" w:hAnsi="微软雅黑" w:cs="微软雅黑" w:hint="eastAsia"/>
          <w:sz w:val="22"/>
        </w:rPr>
        <w:t>PET</w:t>
      </w:r>
      <w:r>
        <w:rPr>
          <w:rFonts w:ascii="微软雅黑" w:eastAsia="微软雅黑" w:hAnsi="微软雅黑" w:cs="微软雅黑" w:hint="eastAsia"/>
          <w:sz w:val="22"/>
        </w:rPr>
        <w:t>中心影像处理软件项目</w:t>
      </w:r>
    </w:p>
    <w:p w:rsidR="007034AB" w:rsidRDefault="007034AB">
      <w:pPr>
        <w:spacing w:line="360" w:lineRule="auto"/>
        <w:ind w:left="432"/>
        <w:rPr>
          <w:rFonts w:ascii="微软雅黑" w:eastAsia="微软雅黑" w:hAnsi="微软雅黑" w:cs="微软雅黑"/>
          <w:sz w:val="22"/>
        </w:rPr>
      </w:pPr>
    </w:p>
    <w:p w:rsidR="007034AB" w:rsidRDefault="00987C93">
      <w:pPr>
        <w:pStyle w:val="1"/>
        <w:numPr>
          <w:ilvl w:val="0"/>
          <w:numId w:val="3"/>
        </w:numPr>
        <w:spacing w:before="0" w:after="0"/>
        <w:rPr>
          <w:rFonts w:ascii="微软雅黑" w:eastAsia="微软雅黑" w:hAnsi="微软雅黑" w:cs="微软雅黑"/>
          <w:sz w:val="32"/>
          <w:szCs w:val="32"/>
        </w:rPr>
      </w:pPr>
      <w:r>
        <w:rPr>
          <w:rFonts w:ascii="微软雅黑" w:eastAsia="微软雅黑" w:hAnsi="微软雅黑" w:cs="微软雅黑" w:hint="eastAsia"/>
          <w:sz w:val="32"/>
          <w:szCs w:val="32"/>
        </w:rPr>
        <w:t>采购清</w:t>
      </w:r>
      <w:r>
        <w:rPr>
          <w:rFonts w:ascii="微软雅黑" w:eastAsia="微软雅黑" w:hAnsi="微软雅黑" w:cs="微软雅黑" w:hint="eastAsia"/>
          <w:sz w:val="32"/>
          <w:szCs w:val="32"/>
          <w:lang w:val="en-US"/>
        </w:rPr>
        <w:t>单</w:t>
      </w:r>
    </w:p>
    <w:p w:rsidR="007034AB" w:rsidRDefault="00987C93">
      <w:pPr>
        <w:rPr>
          <w:rFonts w:ascii="微软雅黑" w:eastAsia="微软雅黑" w:hAnsi="微软雅黑" w:cs="微软雅黑"/>
        </w:rPr>
      </w:pPr>
      <w:r>
        <w:rPr>
          <w:rFonts w:ascii="微软雅黑" w:eastAsia="微软雅黑" w:hAnsi="微软雅黑" w:cs="微软雅黑" w:hint="eastAsia"/>
          <w:sz w:val="22"/>
        </w:rPr>
        <w:t>核</w:t>
      </w:r>
      <w:r>
        <w:rPr>
          <w:rFonts w:ascii="微软雅黑" w:eastAsia="微软雅黑" w:hAnsi="微软雅黑" w:cs="微软雅黑" w:hint="eastAsia"/>
          <w:sz w:val="22"/>
        </w:rPr>
        <w:t>医学影像处理软件工作站</w:t>
      </w:r>
      <w:r>
        <w:rPr>
          <w:rFonts w:ascii="微软雅黑" w:eastAsia="微软雅黑" w:hAnsi="微软雅黑" w:cs="微软雅黑" w:hint="eastAsia"/>
        </w:rPr>
        <w:t>采购</w:t>
      </w:r>
      <w:r>
        <w:rPr>
          <w:rFonts w:ascii="微软雅黑" w:eastAsia="微软雅黑" w:hAnsi="微软雅黑" w:cs="微软雅黑" w:hint="eastAsia"/>
        </w:rPr>
        <w:t>清单</w:t>
      </w:r>
      <w:r>
        <w:rPr>
          <w:rFonts w:ascii="微软雅黑" w:eastAsia="微软雅黑" w:hAnsi="微软雅黑" w:cs="微软雅黑"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934"/>
        <w:gridCol w:w="4106"/>
        <w:gridCol w:w="1352"/>
      </w:tblGrid>
      <w:tr w:rsidR="007034AB">
        <w:tc>
          <w:tcPr>
            <w:tcW w:w="675" w:type="dxa"/>
          </w:tcPr>
          <w:p w:rsidR="007034AB" w:rsidRDefault="00987C93">
            <w:pPr>
              <w:jc w:val="center"/>
              <w:rPr>
                <w:rFonts w:ascii="微软雅黑" w:eastAsia="微软雅黑" w:hAnsi="微软雅黑" w:cs="微软雅黑"/>
                <w:b/>
              </w:rPr>
            </w:pPr>
            <w:r>
              <w:rPr>
                <w:rFonts w:ascii="微软雅黑" w:eastAsia="微软雅黑" w:hAnsi="微软雅黑" w:cs="微软雅黑" w:hint="eastAsia"/>
                <w:b/>
              </w:rPr>
              <w:t>序号</w:t>
            </w:r>
          </w:p>
        </w:tc>
        <w:tc>
          <w:tcPr>
            <w:tcW w:w="3008" w:type="dxa"/>
          </w:tcPr>
          <w:p w:rsidR="007034AB" w:rsidRDefault="00987C93">
            <w:pPr>
              <w:jc w:val="center"/>
              <w:rPr>
                <w:rFonts w:ascii="微软雅黑" w:eastAsia="微软雅黑" w:hAnsi="微软雅黑" w:cs="微软雅黑"/>
                <w:b/>
              </w:rPr>
            </w:pPr>
            <w:r>
              <w:rPr>
                <w:rFonts w:ascii="微软雅黑" w:eastAsia="微软雅黑" w:hAnsi="微软雅黑" w:cs="微软雅黑" w:hint="eastAsia"/>
                <w:b/>
              </w:rPr>
              <w:t>名称</w:t>
            </w:r>
          </w:p>
        </w:tc>
        <w:tc>
          <w:tcPr>
            <w:tcW w:w="4222" w:type="dxa"/>
          </w:tcPr>
          <w:p w:rsidR="007034AB" w:rsidRDefault="00987C93">
            <w:pPr>
              <w:jc w:val="center"/>
              <w:rPr>
                <w:rFonts w:ascii="微软雅黑" w:eastAsia="微软雅黑" w:hAnsi="微软雅黑" w:cs="微软雅黑"/>
                <w:b/>
              </w:rPr>
            </w:pPr>
            <w:r>
              <w:rPr>
                <w:rFonts w:ascii="微软雅黑" w:eastAsia="微软雅黑" w:hAnsi="微软雅黑" w:cs="微软雅黑" w:hint="eastAsia"/>
                <w:b/>
              </w:rPr>
              <w:t>配置描述</w:t>
            </w:r>
          </w:p>
        </w:tc>
        <w:tc>
          <w:tcPr>
            <w:tcW w:w="1381" w:type="dxa"/>
          </w:tcPr>
          <w:p w:rsidR="007034AB" w:rsidRDefault="00987C93">
            <w:pPr>
              <w:jc w:val="center"/>
              <w:rPr>
                <w:rFonts w:ascii="微软雅黑" w:eastAsia="微软雅黑" w:hAnsi="微软雅黑" w:cs="微软雅黑"/>
                <w:b/>
              </w:rPr>
            </w:pPr>
            <w:r>
              <w:rPr>
                <w:rFonts w:ascii="微软雅黑" w:eastAsia="微软雅黑" w:hAnsi="微软雅黑" w:cs="微软雅黑" w:hint="eastAsia"/>
                <w:b/>
              </w:rPr>
              <w:t>数量</w:t>
            </w:r>
          </w:p>
        </w:tc>
      </w:tr>
      <w:tr w:rsidR="007034AB">
        <w:tc>
          <w:tcPr>
            <w:tcW w:w="675" w:type="dxa"/>
          </w:tcPr>
          <w:p w:rsidR="007034AB" w:rsidRDefault="00987C93">
            <w:pPr>
              <w:jc w:val="center"/>
              <w:rPr>
                <w:rFonts w:ascii="微软雅黑" w:eastAsia="微软雅黑" w:hAnsi="微软雅黑" w:cs="微软雅黑"/>
              </w:rPr>
            </w:pPr>
            <w:r>
              <w:rPr>
                <w:rFonts w:ascii="微软雅黑" w:eastAsia="微软雅黑" w:hAnsi="微软雅黑" w:cs="微软雅黑" w:hint="eastAsia"/>
              </w:rPr>
              <w:t>1</w:t>
            </w:r>
          </w:p>
        </w:tc>
        <w:tc>
          <w:tcPr>
            <w:tcW w:w="3008" w:type="dxa"/>
          </w:tcPr>
          <w:p w:rsidR="007034AB" w:rsidRDefault="00987C93">
            <w:pPr>
              <w:jc w:val="center"/>
              <w:rPr>
                <w:rFonts w:ascii="微软雅黑" w:eastAsia="微软雅黑" w:hAnsi="微软雅黑" w:cs="微软雅黑"/>
              </w:rPr>
            </w:pPr>
            <w:r>
              <w:rPr>
                <w:rFonts w:ascii="微软雅黑" w:eastAsia="微软雅黑" w:hAnsi="微软雅黑" w:cs="微软雅黑" w:hint="eastAsia"/>
              </w:rPr>
              <w:t>PET</w:t>
            </w:r>
            <w:r>
              <w:rPr>
                <w:rFonts w:ascii="微软雅黑" w:eastAsia="微软雅黑" w:hAnsi="微软雅黑" w:cs="微软雅黑" w:hint="eastAsia"/>
              </w:rPr>
              <w:t>中心影像处理软件项目</w:t>
            </w:r>
          </w:p>
        </w:tc>
        <w:tc>
          <w:tcPr>
            <w:tcW w:w="4222" w:type="dxa"/>
          </w:tcPr>
          <w:p w:rsidR="007034AB" w:rsidRDefault="00987C93">
            <w:pPr>
              <w:rPr>
                <w:rFonts w:ascii="微软雅黑" w:eastAsia="微软雅黑" w:hAnsi="微软雅黑" w:cs="微软雅黑"/>
              </w:rPr>
            </w:pPr>
            <w:hyperlink w:anchor="_6.1.1、大数据服务器" w:history="1">
              <w:r>
                <w:rPr>
                  <w:rStyle w:val="af5"/>
                  <w:rFonts w:ascii="微软雅黑" w:eastAsia="微软雅黑" w:hAnsi="微软雅黑" w:cs="微软雅黑" w:hint="eastAsia"/>
                </w:rPr>
                <w:t>配置详见</w:t>
              </w:r>
              <w:r>
                <w:rPr>
                  <w:rStyle w:val="af5"/>
                  <w:rFonts w:ascii="微软雅黑" w:eastAsia="微软雅黑" w:hAnsi="微软雅黑" w:cs="微软雅黑" w:hint="eastAsia"/>
                </w:rPr>
                <w:t>影像</w:t>
              </w:r>
            </w:hyperlink>
            <w:r>
              <w:rPr>
                <w:rStyle w:val="af5"/>
                <w:rFonts w:ascii="微软雅黑" w:eastAsia="微软雅黑" w:hAnsi="微软雅黑" w:cs="微软雅黑" w:hint="eastAsia"/>
              </w:rPr>
              <w:t>处理软件要求</w:t>
            </w:r>
          </w:p>
        </w:tc>
        <w:tc>
          <w:tcPr>
            <w:tcW w:w="1381" w:type="dxa"/>
          </w:tcPr>
          <w:p w:rsidR="007034AB" w:rsidRDefault="00987C93">
            <w:pPr>
              <w:jc w:val="center"/>
              <w:rPr>
                <w:rFonts w:ascii="微软雅黑" w:eastAsia="微软雅黑" w:hAnsi="微软雅黑" w:cs="微软雅黑"/>
              </w:rPr>
            </w:pPr>
            <w:r>
              <w:rPr>
                <w:rFonts w:ascii="微软雅黑" w:eastAsia="微软雅黑" w:hAnsi="微软雅黑" w:cs="微软雅黑" w:hint="eastAsia"/>
              </w:rPr>
              <w:t>1</w:t>
            </w:r>
          </w:p>
        </w:tc>
      </w:tr>
    </w:tbl>
    <w:p w:rsidR="007034AB" w:rsidRDefault="007034AB">
      <w:pPr>
        <w:pStyle w:val="afb"/>
        <w:keepNext/>
        <w:keepLines/>
        <w:numPr>
          <w:ilvl w:val="0"/>
          <w:numId w:val="1"/>
        </w:numPr>
        <w:spacing w:line="578" w:lineRule="auto"/>
        <w:ind w:firstLineChars="0"/>
        <w:outlineLvl w:val="0"/>
        <w:rPr>
          <w:rFonts w:ascii="微软雅黑" w:eastAsia="微软雅黑" w:hAnsi="微软雅黑" w:cs="微软雅黑"/>
          <w:b/>
          <w:bCs/>
          <w:vanish/>
          <w:kern w:val="44"/>
          <w:sz w:val="44"/>
          <w:szCs w:val="44"/>
        </w:rPr>
      </w:pPr>
    </w:p>
    <w:p w:rsidR="007034AB" w:rsidRDefault="007034AB">
      <w:pPr>
        <w:pStyle w:val="afb"/>
        <w:keepNext/>
        <w:keepLines/>
        <w:numPr>
          <w:ilvl w:val="0"/>
          <w:numId w:val="1"/>
        </w:numPr>
        <w:spacing w:line="578" w:lineRule="auto"/>
        <w:ind w:firstLineChars="0"/>
        <w:outlineLvl w:val="0"/>
        <w:rPr>
          <w:rFonts w:ascii="微软雅黑" w:eastAsia="微软雅黑" w:hAnsi="微软雅黑" w:cs="微软雅黑"/>
          <w:b/>
          <w:bCs/>
          <w:vanish/>
          <w:kern w:val="44"/>
          <w:sz w:val="44"/>
          <w:szCs w:val="44"/>
        </w:rPr>
      </w:pPr>
    </w:p>
    <w:p w:rsidR="007034AB" w:rsidRDefault="007034AB">
      <w:pPr>
        <w:pStyle w:val="afb"/>
        <w:keepNext/>
        <w:keepLines/>
        <w:numPr>
          <w:ilvl w:val="0"/>
          <w:numId w:val="1"/>
        </w:numPr>
        <w:spacing w:line="578" w:lineRule="auto"/>
        <w:ind w:firstLineChars="0"/>
        <w:outlineLvl w:val="0"/>
        <w:rPr>
          <w:rFonts w:ascii="微软雅黑" w:eastAsia="微软雅黑" w:hAnsi="微软雅黑" w:cs="微软雅黑"/>
          <w:b/>
          <w:bCs/>
          <w:vanish/>
          <w:kern w:val="44"/>
          <w:sz w:val="44"/>
          <w:szCs w:val="44"/>
        </w:rPr>
      </w:pPr>
    </w:p>
    <w:p w:rsidR="007034AB" w:rsidRDefault="007034AB">
      <w:pPr>
        <w:pStyle w:val="afb"/>
        <w:keepNext/>
        <w:keepLines/>
        <w:numPr>
          <w:ilvl w:val="1"/>
          <w:numId w:val="1"/>
        </w:numPr>
        <w:spacing w:line="578" w:lineRule="auto"/>
        <w:ind w:firstLineChars="0"/>
        <w:outlineLvl w:val="0"/>
        <w:rPr>
          <w:rFonts w:ascii="微软雅黑" w:eastAsia="微软雅黑" w:hAnsi="微软雅黑" w:cs="微软雅黑"/>
          <w:b/>
          <w:bCs/>
          <w:vanish/>
          <w:kern w:val="44"/>
          <w:sz w:val="44"/>
          <w:szCs w:val="44"/>
        </w:rPr>
      </w:pPr>
    </w:p>
    <w:p w:rsidR="007034AB" w:rsidRDefault="007034AB">
      <w:pPr>
        <w:pStyle w:val="1"/>
        <w:numPr>
          <w:ilvl w:val="0"/>
          <w:numId w:val="0"/>
        </w:numPr>
        <w:spacing w:before="0" w:after="0"/>
        <w:ind w:left="432"/>
        <w:rPr>
          <w:rFonts w:ascii="微软雅黑" w:eastAsia="微软雅黑" w:hAnsi="微软雅黑" w:cs="微软雅黑"/>
          <w:sz w:val="32"/>
          <w:szCs w:val="32"/>
        </w:rPr>
      </w:pPr>
    </w:p>
    <w:p w:rsidR="007034AB" w:rsidRDefault="00987C93">
      <w:pPr>
        <w:pStyle w:val="1"/>
        <w:numPr>
          <w:ilvl w:val="0"/>
          <w:numId w:val="3"/>
        </w:numPr>
        <w:spacing w:before="0" w:after="0"/>
        <w:rPr>
          <w:rFonts w:ascii="微软雅黑" w:eastAsia="微软雅黑" w:hAnsi="微软雅黑" w:cs="微软雅黑"/>
          <w:sz w:val="24"/>
          <w:szCs w:val="24"/>
          <w:lang w:val="en-US"/>
        </w:rPr>
      </w:pPr>
      <w:r>
        <w:rPr>
          <w:rFonts w:ascii="微软雅黑" w:eastAsia="微软雅黑" w:hAnsi="微软雅黑" w:cs="微软雅黑" w:hint="eastAsia"/>
          <w:sz w:val="32"/>
          <w:szCs w:val="32"/>
        </w:rPr>
        <w:t>详细</w:t>
      </w:r>
      <w:r>
        <w:rPr>
          <w:rFonts w:ascii="微软雅黑" w:eastAsia="微软雅黑" w:hAnsi="微软雅黑" w:cs="微软雅黑" w:hint="eastAsia"/>
          <w:sz w:val="32"/>
          <w:szCs w:val="32"/>
        </w:rPr>
        <w:t>配置参数</w:t>
      </w:r>
      <w:bookmarkStart w:id="0" w:name="_6.1.1、大数据服务器"/>
      <w:bookmarkEnd w:id="0"/>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565"/>
        <w:gridCol w:w="6391"/>
      </w:tblGrid>
      <w:tr w:rsidR="007034AB">
        <w:trPr>
          <w:jc w:val="center"/>
        </w:trPr>
        <w:tc>
          <w:tcPr>
            <w:tcW w:w="9045" w:type="dxa"/>
            <w:gridSpan w:val="3"/>
            <w:vAlign w:val="center"/>
          </w:tcPr>
          <w:p w:rsidR="007034AB" w:rsidRDefault="00987C93">
            <w:pPr>
              <w:widowControl/>
              <w:adjustRightInd w:val="0"/>
              <w:spacing w:line="360" w:lineRule="auto"/>
              <w:jc w:val="left"/>
              <w:rPr>
                <w:rFonts w:ascii="微软雅黑" w:eastAsia="微软雅黑" w:hAnsi="微软雅黑" w:cs="微软雅黑"/>
                <w:kern w:val="0"/>
                <w:szCs w:val="21"/>
              </w:rPr>
            </w:pPr>
            <w:r>
              <w:rPr>
                <w:rFonts w:ascii="微软雅黑" w:eastAsia="微软雅黑" w:hAnsi="微软雅黑" w:cs="微软雅黑" w:hint="eastAsia"/>
                <w:b/>
                <w:bCs/>
                <w:sz w:val="24"/>
              </w:rPr>
              <w:t>影像处理软件要求</w:t>
            </w:r>
          </w:p>
        </w:tc>
      </w:tr>
      <w:tr w:rsidR="007034AB">
        <w:trPr>
          <w:jc w:val="center"/>
        </w:trPr>
        <w:tc>
          <w:tcPr>
            <w:tcW w:w="885" w:type="dxa"/>
            <w:vAlign w:val="center"/>
          </w:tcPr>
          <w:p w:rsidR="007034AB" w:rsidRDefault="00987C93">
            <w:pPr>
              <w:widowControl/>
              <w:adjustRightInd w:val="0"/>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序号</w:t>
            </w:r>
          </w:p>
        </w:tc>
        <w:tc>
          <w:tcPr>
            <w:tcW w:w="1601"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指标</w:t>
            </w:r>
            <w:r>
              <w:rPr>
                <w:rFonts w:ascii="微软雅黑" w:eastAsia="微软雅黑" w:hAnsi="微软雅黑" w:cs="微软雅黑" w:hint="eastAsia"/>
                <w:b/>
                <w:kern w:val="0"/>
                <w:szCs w:val="21"/>
              </w:rPr>
              <w:t>项</w:t>
            </w:r>
          </w:p>
        </w:tc>
        <w:tc>
          <w:tcPr>
            <w:tcW w:w="6559"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b/>
                <w:kern w:val="0"/>
                <w:szCs w:val="21"/>
              </w:rPr>
              <w:t>技术参数要求</w:t>
            </w:r>
          </w:p>
        </w:tc>
      </w:tr>
      <w:tr w:rsidR="007034AB">
        <w:trPr>
          <w:jc w:val="center"/>
        </w:trPr>
        <w:tc>
          <w:tcPr>
            <w:tcW w:w="885" w:type="dxa"/>
            <w:vAlign w:val="center"/>
          </w:tcPr>
          <w:p w:rsidR="007034AB" w:rsidRDefault="007034AB">
            <w:pPr>
              <w:widowControl/>
              <w:numPr>
                <w:ilvl w:val="0"/>
                <w:numId w:val="4"/>
              </w:numPr>
              <w:adjustRightInd w:val="0"/>
              <w:spacing w:line="360" w:lineRule="auto"/>
              <w:jc w:val="center"/>
              <w:rPr>
                <w:rFonts w:ascii="微软雅黑" w:eastAsia="微软雅黑" w:hAnsi="微软雅黑" w:cs="微软雅黑"/>
                <w:b/>
                <w:bCs/>
                <w:kern w:val="0"/>
                <w:szCs w:val="21"/>
              </w:rPr>
            </w:pPr>
          </w:p>
        </w:tc>
        <w:tc>
          <w:tcPr>
            <w:tcW w:w="1601"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bCs/>
                <w:kern w:val="0"/>
                <w:szCs w:val="21"/>
              </w:rPr>
            </w:pP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PET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CT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MR</w:t>
            </w:r>
            <w:r>
              <w:rPr>
                <w:rFonts w:ascii="微软雅黑 Light" w:eastAsia="微软雅黑 Light" w:hAnsi="微软雅黑 Light" w:cs="微软雅黑 Light" w:hint="eastAsia"/>
                <w:sz w:val="18"/>
                <w:szCs w:val="18"/>
              </w:rPr>
              <w:t>显像</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融合</w:t>
            </w:r>
          </w:p>
        </w:tc>
        <w:tc>
          <w:tcPr>
            <w:tcW w:w="6559" w:type="dxa"/>
            <w:shd w:val="clear" w:color="auto" w:fill="auto"/>
            <w:vAlign w:val="center"/>
          </w:tcPr>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3</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支持主流和常见厂家的</w:t>
            </w: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PET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CT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MR</w:t>
            </w:r>
            <w:r>
              <w:rPr>
                <w:rFonts w:ascii="微软雅黑 Light" w:eastAsia="微软雅黑 Light" w:hAnsi="微软雅黑 Light" w:cs="微软雅黑 Light" w:hint="eastAsia"/>
                <w:sz w:val="18"/>
                <w:szCs w:val="18"/>
              </w:rPr>
              <w:t>图像的多模态显像。支持同屏的</w:t>
            </w:r>
            <w:r>
              <w:rPr>
                <w:rFonts w:ascii="微软雅黑 Light" w:eastAsia="微软雅黑 Light" w:hAnsi="微软雅黑 Light" w:cs="微软雅黑 Light" w:hint="eastAsia"/>
                <w:sz w:val="18"/>
                <w:szCs w:val="18"/>
              </w:rPr>
              <w:t>PET+SPECT+CT+MR</w:t>
            </w:r>
            <w:r>
              <w:rPr>
                <w:rFonts w:ascii="微软雅黑 Light" w:eastAsia="微软雅黑 Light" w:hAnsi="微软雅黑 Light" w:cs="微软雅黑 Light" w:hint="eastAsia"/>
                <w:sz w:val="18"/>
                <w:szCs w:val="18"/>
              </w:rPr>
              <w:t>的多种模态多个序列的融合显像。支持在多个不同序列和模态中的二维的</w:t>
            </w:r>
            <w:r>
              <w:rPr>
                <w:rFonts w:ascii="微软雅黑 Light" w:eastAsia="微软雅黑 Light" w:hAnsi="微软雅黑 Light" w:cs="微软雅黑 Light" w:hint="eastAsia"/>
                <w:sz w:val="18"/>
                <w:szCs w:val="18"/>
              </w:rPr>
              <w:t>ROI</w:t>
            </w:r>
            <w:r>
              <w:rPr>
                <w:rFonts w:ascii="微软雅黑 Light" w:eastAsia="微软雅黑 Light" w:hAnsi="微软雅黑 Light" w:cs="微软雅黑 Light" w:hint="eastAsia"/>
                <w:sz w:val="18"/>
                <w:szCs w:val="18"/>
              </w:rPr>
              <w:t>和三维的</w:t>
            </w:r>
            <w:r>
              <w:rPr>
                <w:rFonts w:ascii="微软雅黑 Light" w:eastAsia="微软雅黑 Light" w:hAnsi="微软雅黑 Light" w:cs="微软雅黑 Light" w:hint="eastAsia"/>
                <w:sz w:val="18"/>
                <w:szCs w:val="18"/>
              </w:rPr>
              <w:t>VOI</w:t>
            </w:r>
            <w:r>
              <w:rPr>
                <w:rFonts w:ascii="微软雅黑 Light" w:eastAsia="微软雅黑 Light" w:hAnsi="微软雅黑 Light" w:cs="微软雅黑 Light" w:hint="eastAsia"/>
                <w:sz w:val="18"/>
                <w:szCs w:val="18"/>
              </w:rPr>
              <w:t>绘制，并且支持在不同序列中</w:t>
            </w:r>
            <w:r>
              <w:rPr>
                <w:rFonts w:ascii="微软雅黑 Light" w:eastAsia="微软雅黑 Light" w:hAnsi="微软雅黑 Light" w:cs="微软雅黑 Light" w:hint="eastAsia"/>
                <w:sz w:val="18"/>
                <w:szCs w:val="18"/>
              </w:rPr>
              <w:t>ROI</w:t>
            </w:r>
            <w:r>
              <w:rPr>
                <w:rFonts w:ascii="微软雅黑 Light" w:eastAsia="微软雅黑 Light" w:hAnsi="微软雅黑 Light" w:cs="微软雅黑 Light" w:hint="eastAsia"/>
                <w:sz w:val="18"/>
                <w:szCs w:val="18"/>
              </w:rPr>
              <w:t>和</w:t>
            </w:r>
            <w:r>
              <w:rPr>
                <w:rFonts w:ascii="微软雅黑 Light" w:eastAsia="微软雅黑 Light" w:hAnsi="微软雅黑 Light" w:cs="微软雅黑 Light" w:hint="eastAsia"/>
                <w:sz w:val="18"/>
                <w:szCs w:val="18"/>
              </w:rPr>
              <w:t>VOI</w:t>
            </w:r>
            <w:r>
              <w:rPr>
                <w:rFonts w:ascii="微软雅黑 Light" w:eastAsia="微软雅黑 Light" w:hAnsi="微软雅黑 Light" w:cs="微软雅黑 Light" w:hint="eastAsia"/>
                <w:sz w:val="18"/>
                <w:szCs w:val="18"/>
              </w:rPr>
              <w:t>的相互拷贝编辑功能，以满足研究工作。</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支持标准：</w:t>
            </w:r>
            <w:r>
              <w:rPr>
                <w:rFonts w:ascii="微软雅黑 Light" w:eastAsia="微软雅黑 Light" w:hAnsi="微软雅黑 Light" w:cs="微软雅黑 Light" w:hint="eastAsia"/>
                <w:sz w:val="18"/>
                <w:szCs w:val="18"/>
              </w:rPr>
              <w:t>DICOM 3.0</w:t>
            </w:r>
            <w:r>
              <w:rPr>
                <w:rFonts w:ascii="微软雅黑 Light" w:eastAsia="微软雅黑 Light" w:hAnsi="微软雅黑 Light" w:cs="微软雅黑 Light" w:hint="eastAsia"/>
                <w:sz w:val="18"/>
                <w:szCs w:val="18"/>
              </w:rPr>
              <w:t>。</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至少需要兼容的厂商型号：</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GE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Millenium</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Infinia</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Ventri</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Discovery 630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Discovery 530c - Alcyone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Discovery 570c - Alcyone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Discovery 670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infinia Hawkeye;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Optima 640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Advance NXI</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BGO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Discovery LS (BGO)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Discovery ST (BGO)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STE(BGO)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RX(LYSO)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600(BGO)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690(LYS0)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710;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Discovery lQ PET (BGO) 3R,4R,5R</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Philips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Cardio 60; CardioMD; Vertex, Vertex Plus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Axis/lrix</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Skylight</w:t>
            </w:r>
            <w:r>
              <w:rPr>
                <w:rFonts w:ascii="微软雅黑 Light" w:eastAsia="微软雅黑 Light" w:hAnsi="微软雅黑 Light" w:cs="微软雅黑 Light" w:hint="eastAsia"/>
                <w:sz w:val="18"/>
                <w:szCs w:val="18"/>
              </w:rPr>
              <w:t>；</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 xml:space="preserve">Prism </w:t>
            </w:r>
            <w:r>
              <w:rPr>
                <w:rFonts w:ascii="微软雅黑 Light" w:eastAsia="微软雅黑 Light" w:hAnsi="微软雅黑 Light" w:cs="微软雅黑 Light" w:hint="eastAsia"/>
                <w:sz w:val="18"/>
                <w:szCs w:val="18"/>
              </w:rPr>
              <w:t>1000/2000/3000</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Forte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BrightView</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Precedence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BrightView CT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C-PET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Allegro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Gemini</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Gemini GXL, TF</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 xml:space="preserve"> Ingenuity TF;</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Vereos PET/CT</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Siemens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Multispect ll/lll</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c.cam</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e.cam</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Evo, Evo Excel</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Symbia S or "E"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Symbia T2, T6, T16</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Intevo 2, 6, 16</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ECAT Exact, HR/HR+,Accel</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lastRenderedPageBreak/>
              <w:t>Bi</w:t>
            </w:r>
            <w:r>
              <w:rPr>
                <w:rFonts w:ascii="微软雅黑 Light" w:eastAsia="微软雅黑 Light" w:hAnsi="微软雅黑 Light" w:cs="微软雅黑 Light" w:hint="eastAsia"/>
                <w:sz w:val="18"/>
                <w:szCs w:val="18"/>
              </w:rPr>
              <w:t>ograph Duo/B16</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Biograph TruePoint 3R/4R</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mCT 3R/4R</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mCT FIow</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Digirad</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Cardius XPO, Cardius XPO w/XACT AC</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Mediso</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Nucline Series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AnyScan 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AnyScan</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AnyScan SC</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AnyScan PC</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MIE</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ECAM SCINTRON</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IECAT 47</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HR+ACCEL SCINTRON</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Positron</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Attrius</w:t>
            </w:r>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Spectrum Dynamics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DSPECT</w:t>
            </w:r>
            <w:bookmarkStart w:id="1" w:name="_GoBack"/>
            <w:bookmarkEnd w:id="1"/>
          </w:p>
          <w:p w:rsidR="007034AB" w:rsidRDefault="00987C93" w:rsidP="00E5365A">
            <w:pPr>
              <w:pStyle w:val="2"/>
              <w:spacing w:line="240" w:lineRule="auto"/>
              <w:ind w:leftChars="0" w:left="0"/>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sz w:val="18"/>
                <w:szCs w:val="18"/>
              </w:rPr>
              <w:t>Toshi</w:t>
            </w:r>
            <w:r>
              <w:rPr>
                <w:rFonts w:ascii="微软雅黑 Light" w:eastAsia="微软雅黑 Light" w:hAnsi="微软雅黑 Light" w:cs="微软雅黑 Light"/>
                <w:sz w:val="18"/>
                <w:szCs w:val="18"/>
              </w:rPr>
              <w:t>ba</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GCA Series</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sz w:val="18"/>
                <w:szCs w:val="18"/>
              </w:rPr>
              <w:t>t.cam</w:t>
            </w:r>
          </w:p>
          <w:p w:rsidR="007034AB" w:rsidRDefault="00987C93" w:rsidP="00E5365A">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阈值探测</w:t>
            </w:r>
            <w:r>
              <w:rPr>
                <w:rFonts w:ascii="微软雅黑 Light" w:eastAsia="微软雅黑 Light" w:hAnsi="微软雅黑 Light" w:cs="微软雅黑 Light" w:hint="eastAsia"/>
                <w:sz w:val="18"/>
                <w:szCs w:val="18"/>
              </w:rPr>
              <w:t>VOI</w:t>
            </w:r>
            <w:r>
              <w:rPr>
                <w:rFonts w:ascii="微软雅黑 Light" w:eastAsia="微软雅黑 Light" w:hAnsi="微软雅黑 Light" w:cs="微软雅黑 Light" w:hint="eastAsia"/>
                <w:sz w:val="18"/>
                <w:szCs w:val="18"/>
              </w:rPr>
              <w:t>，计算</w:t>
            </w:r>
            <w:r>
              <w:rPr>
                <w:rFonts w:ascii="微软雅黑 Light" w:eastAsia="微软雅黑 Light" w:hAnsi="微软雅黑 Light" w:cs="微软雅黑 Light" w:hint="eastAsia"/>
                <w:sz w:val="18"/>
                <w:szCs w:val="18"/>
              </w:rPr>
              <w:t xml:space="preserve">SUVmax /SUVmean /SUVpeak /MTV /TLG </w:t>
            </w:r>
            <w:r>
              <w:rPr>
                <w:rFonts w:ascii="微软雅黑 Light" w:eastAsia="微软雅黑 Light" w:hAnsi="微软雅黑 Light" w:cs="微软雅黑 Light" w:hint="eastAsia"/>
                <w:sz w:val="18"/>
                <w:szCs w:val="18"/>
              </w:rPr>
              <w:t>等。</w:t>
            </w:r>
          </w:p>
        </w:tc>
      </w:tr>
      <w:tr w:rsidR="007034AB">
        <w:trPr>
          <w:jc w:val="center"/>
        </w:trPr>
        <w:tc>
          <w:tcPr>
            <w:tcW w:w="885" w:type="dxa"/>
            <w:vAlign w:val="center"/>
          </w:tcPr>
          <w:p w:rsidR="007034AB" w:rsidRDefault="007034AB">
            <w:pPr>
              <w:widowControl/>
              <w:numPr>
                <w:ilvl w:val="0"/>
                <w:numId w:val="4"/>
              </w:numPr>
              <w:tabs>
                <w:tab w:val="left" w:pos="0"/>
              </w:tabs>
              <w:adjustRightInd w:val="0"/>
              <w:spacing w:line="360" w:lineRule="auto"/>
              <w:jc w:val="center"/>
              <w:rPr>
                <w:rFonts w:ascii="微软雅黑" w:eastAsia="微软雅黑" w:hAnsi="微软雅黑" w:cs="微软雅黑"/>
                <w:kern w:val="0"/>
                <w:szCs w:val="21"/>
              </w:rPr>
            </w:pPr>
          </w:p>
        </w:tc>
        <w:tc>
          <w:tcPr>
            <w:tcW w:w="1601"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kern w:val="0"/>
                <w:szCs w:val="21"/>
                <w:lang w:eastAsia="zh-Hans"/>
              </w:rPr>
            </w:pPr>
            <w:r>
              <w:rPr>
                <w:rFonts w:ascii="微软雅黑 Light" w:eastAsia="微软雅黑 Light" w:hAnsi="微软雅黑 Light" w:cs="微软雅黑 Light" w:hint="eastAsia"/>
                <w:sz w:val="18"/>
                <w:szCs w:val="18"/>
              </w:rPr>
              <w:t>脑神经分析</w:t>
            </w:r>
          </w:p>
        </w:tc>
        <w:tc>
          <w:tcPr>
            <w:tcW w:w="6559" w:type="dxa"/>
            <w:shd w:val="clear" w:color="auto" w:fill="auto"/>
            <w:vAlign w:val="center"/>
          </w:tcPr>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脑神经</w:t>
            </w:r>
            <w:r>
              <w:rPr>
                <w:rFonts w:ascii="微软雅黑 Light" w:eastAsia="微软雅黑 Light" w:hAnsi="微软雅黑 Light" w:cs="微软雅黑 Light" w:hint="eastAsia"/>
                <w:sz w:val="18"/>
                <w:szCs w:val="18"/>
              </w:rPr>
              <w:t>PET</w:t>
            </w:r>
            <w:r>
              <w:rPr>
                <w:rFonts w:ascii="微软雅黑 Light" w:eastAsia="微软雅黑 Light" w:hAnsi="微软雅黑 Light" w:cs="微软雅黑 Light" w:hint="eastAsia"/>
                <w:sz w:val="18"/>
                <w:szCs w:val="18"/>
              </w:rPr>
              <w:t>分析用户数量≥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脑神经</w:t>
            </w: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分析用户数量≥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支持将患者图像与正常研究图像创建的三维参考模板进行对比和比较，能以此将视觉评估与脑扫描的自动重新定位，支持异常灌注和受体区域的定量和疏散相合。如果来自同一患者的两项研究被加载以跟进治疗或疾病进展，则两者将被对准并与模板及相互进行比较。</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至少包括以下数据库：</w:t>
            </w:r>
            <w:r>
              <w:rPr>
                <w:rFonts w:ascii="微软雅黑 Light" w:eastAsia="微软雅黑 Light" w:hAnsi="微软雅黑 Light" w:cs="微软雅黑 Light" w:hint="eastAsia"/>
                <w:sz w:val="18"/>
                <w:szCs w:val="18"/>
              </w:rPr>
              <w:t xml:space="preserve"> </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ECD</w:t>
            </w:r>
            <w:r>
              <w:rPr>
                <w:rFonts w:ascii="微软雅黑 Light" w:eastAsia="微软雅黑 Light" w:hAnsi="微软雅黑 Light" w:cs="微软雅黑 Light" w:hint="eastAsia"/>
                <w:sz w:val="18"/>
                <w:szCs w:val="18"/>
              </w:rPr>
              <w:t>数据库：至少</w:t>
            </w:r>
            <w:r>
              <w:rPr>
                <w:rFonts w:ascii="微软雅黑 Light" w:eastAsia="微软雅黑 Light" w:hAnsi="微软雅黑 Light" w:cs="微软雅黑 Light" w:hint="eastAsia"/>
                <w:sz w:val="18"/>
                <w:szCs w:val="18"/>
              </w:rPr>
              <w:t>10</w:t>
            </w:r>
            <w:r>
              <w:rPr>
                <w:rFonts w:ascii="微软雅黑 Light" w:eastAsia="微软雅黑 Light" w:hAnsi="微软雅黑 Light" w:cs="微软雅黑 Light" w:hint="eastAsia"/>
                <w:sz w:val="18"/>
                <w:szCs w:val="18"/>
              </w:rPr>
              <w:t>人（男女混合）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HMPAO</w:t>
            </w:r>
            <w:r>
              <w:rPr>
                <w:rFonts w:ascii="微软雅黑 Light" w:eastAsia="微软雅黑 Light" w:hAnsi="微软雅黑 Light" w:cs="微软雅黑 Light" w:hint="eastAsia"/>
                <w:sz w:val="18"/>
                <w:szCs w:val="18"/>
              </w:rPr>
              <w:t>（六甲基丙胺污）数据库：</w:t>
            </w:r>
            <w:r>
              <w:rPr>
                <w:rFonts w:ascii="微软雅黑 Light" w:eastAsia="微软雅黑 Light" w:hAnsi="微软雅黑 Light" w:cs="微软雅黑 Light" w:hint="eastAsia"/>
                <w:sz w:val="18"/>
                <w:szCs w:val="18"/>
              </w:rPr>
              <w:t>35</w:t>
            </w:r>
            <w:r>
              <w:rPr>
                <w:rFonts w:ascii="微软雅黑 Light" w:eastAsia="微软雅黑 Light" w:hAnsi="微软雅黑 Light" w:cs="微软雅黑 Light" w:hint="eastAsia"/>
                <w:sz w:val="18"/>
                <w:szCs w:val="18"/>
              </w:rPr>
              <w:t>人（男女混合）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FDG</w:t>
            </w:r>
            <w:r>
              <w:rPr>
                <w:rFonts w:ascii="微软雅黑 Light" w:eastAsia="微软雅黑 Light" w:hAnsi="微软雅黑 Light" w:cs="微软雅黑 Light" w:hint="eastAsia"/>
                <w:sz w:val="18"/>
                <w:szCs w:val="18"/>
              </w:rPr>
              <w:t>（脱氧葡萄糖）药数据库：至少</w:t>
            </w:r>
            <w:r>
              <w:rPr>
                <w:rFonts w:ascii="微软雅黑 Light" w:eastAsia="微软雅黑 Light" w:hAnsi="微软雅黑 Light" w:cs="微软雅黑 Light" w:hint="eastAsia"/>
                <w:sz w:val="18"/>
                <w:szCs w:val="18"/>
              </w:rPr>
              <w:t>30</w:t>
            </w:r>
            <w:r>
              <w:rPr>
                <w:rFonts w:ascii="微软雅黑 Light" w:eastAsia="微软雅黑 Light" w:hAnsi="微软雅黑 Light" w:cs="微软雅黑 Light" w:hint="eastAsia"/>
                <w:sz w:val="18"/>
                <w:szCs w:val="18"/>
              </w:rPr>
              <w:t>个人（男女混合）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Amyvid</w:t>
            </w:r>
            <w:r>
              <w:rPr>
                <w:rFonts w:ascii="微软雅黑 Light" w:eastAsia="微软雅黑 Light" w:hAnsi="微软雅黑 Light" w:cs="微软雅黑 Light" w:hint="eastAsia"/>
                <w:sz w:val="18"/>
                <w:szCs w:val="18"/>
              </w:rPr>
              <w:t>数据库：至少</w:t>
            </w:r>
            <w:r>
              <w:rPr>
                <w:rFonts w:ascii="微软雅黑 Light" w:eastAsia="微软雅黑 Light" w:hAnsi="微软雅黑 Light" w:cs="微软雅黑 Light" w:hint="eastAsia"/>
                <w:sz w:val="18"/>
                <w:szCs w:val="18"/>
              </w:rPr>
              <w:t>80</w:t>
            </w:r>
            <w:r>
              <w:rPr>
                <w:rFonts w:ascii="微软雅黑 Light" w:eastAsia="微软雅黑 Light" w:hAnsi="微软雅黑 Light" w:cs="微软雅黑 Light" w:hint="eastAsia"/>
                <w:sz w:val="18"/>
                <w:szCs w:val="18"/>
              </w:rPr>
              <w:t>人（男女混合，年轻人老人混合）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DaTscan</w:t>
            </w:r>
            <w:r>
              <w:rPr>
                <w:rFonts w:ascii="微软雅黑 Light" w:eastAsia="微软雅黑 Light" w:hAnsi="微软雅黑 Light" w:cs="微软雅黑 Light" w:hint="eastAsia"/>
                <w:sz w:val="18"/>
                <w:szCs w:val="18"/>
              </w:rPr>
              <w:t>™数据库：至少</w:t>
            </w:r>
            <w:r>
              <w:rPr>
                <w:rFonts w:ascii="微软雅黑 Light" w:eastAsia="微软雅黑 Light" w:hAnsi="微软雅黑 Light" w:cs="微软雅黑 Light" w:hint="eastAsia"/>
                <w:sz w:val="18"/>
                <w:szCs w:val="18"/>
              </w:rPr>
              <w:t>14</w:t>
            </w:r>
            <w:r>
              <w:rPr>
                <w:rFonts w:ascii="微软雅黑 Light" w:eastAsia="微软雅黑 Light" w:hAnsi="微软雅黑 Light" w:cs="微软雅黑 Light" w:hint="eastAsia"/>
                <w:sz w:val="18"/>
                <w:szCs w:val="18"/>
              </w:rPr>
              <w:t>人（男女混合）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Flutemetamol</w:t>
            </w:r>
            <w:r>
              <w:rPr>
                <w:rFonts w:ascii="微软雅黑 Light" w:eastAsia="微软雅黑 Light" w:hAnsi="微软雅黑 Light" w:cs="微软雅黑 Light" w:hint="eastAsia"/>
                <w:sz w:val="18"/>
                <w:szCs w:val="18"/>
              </w:rPr>
              <w:t>数据库：至少</w:t>
            </w:r>
            <w:r>
              <w:rPr>
                <w:rFonts w:ascii="微软雅黑 Light" w:eastAsia="微软雅黑 Light" w:hAnsi="微软雅黑 Light" w:cs="微软雅黑 Light" w:hint="eastAsia"/>
                <w:sz w:val="18"/>
                <w:szCs w:val="18"/>
              </w:rPr>
              <w:t>24</w:t>
            </w:r>
            <w:r>
              <w:rPr>
                <w:rFonts w:ascii="微软雅黑 Light" w:eastAsia="微软雅黑 Light" w:hAnsi="微软雅黑 Light" w:cs="微软雅黑 Light" w:hint="eastAsia"/>
                <w:sz w:val="18"/>
                <w:szCs w:val="18"/>
              </w:rPr>
              <w:t>人（男女混合）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Florbetaben</w:t>
            </w:r>
            <w:r>
              <w:rPr>
                <w:rFonts w:ascii="微软雅黑 Light" w:eastAsia="微软雅黑 Light" w:hAnsi="微软雅黑 Light" w:cs="微软雅黑 Light" w:hint="eastAsia"/>
                <w:sz w:val="18"/>
                <w:szCs w:val="18"/>
              </w:rPr>
              <w:t>（氟比他班）数据库：至少</w:t>
            </w:r>
            <w:r>
              <w:rPr>
                <w:rFonts w:ascii="微软雅黑 Light" w:eastAsia="微软雅黑 Light" w:hAnsi="微软雅黑 Light" w:cs="微软雅黑 Light" w:hint="eastAsia"/>
                <w:sz w:val="18"/>
                <w:szCs w:val="18"/>
              </w:rPr>
              <w:t>69</w:t>
            </w:r>
            <w:r>
              <w:rPr>
                <w:rFonts w:ascii="微软雅黑 Light" w:eastAsia="微软雅黑 Light" w:hAnsi="微软雅黑 Light" w:cs="微软雅黑 Light" w:hint="eastAsia"/>
                <w:sz w:val="18"/>
                <w:szCs w:val="18"/>
              </w:rPr>
              <w:t>人（男女混合）</w:t>
            </w:r>
          </w:p>
        </w:tc>
      </w:tr>
      <w:tr w:rsidR="007034AB">
        <w:trPr>
          <w:jc w:val="center"/>
        </w:trPr>
        <w:tc>
          <w:tcPr>
            <w:tcW w:w="885" w:type="dxa"/>
            <w:vAlign w:val="center"/>
          </w:tcPr>
          <w:p w:rsidR="007034AB" w:rsidRDefault="007034AB">
            <w:pPr>
              <w:widowControl/>
              <w:numPr>
                <w:ilvl w:val="0"/>
                <w:numId w:val="4"/>
              </w:numPr>
              <w:tabs>
                <w:tab w:val="left" w:pos="0"/>
              </w:tabs>
              <w:adjustRightInd w:val="0"/>
              <w:spacing w:line="360" w:lineRule="auto"/>
              <w:jc w:val="center"/>
              <w:rPr>
                <w:rFonts w:ascii="微软雅黑" w:eastAsia="微软雅黑" w:hAnsi="微软雅黑" w:cs="微软雅黑"/>
                <w:kern w:val="0"/>
                <w:szCs w:val="21"/>
              </w:rPr>
            </w:pPr>
          </w:p>
        </w:tc>
        <w:tc>
          <w:tcPr>
            <w:tcW w:w="1601"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kern w:val="0"/>
                <w:szCs w:val="21"/>
              </w:rPr>
            </w:pPr>
            <w:r>
              <w:rPr>
                <w:rFonts w:ascii="微软雅黑 Light" w:eastAsia="微软雅黑 Light" w:hAnsi="微软雅黑 Light" w:cs="微软雅黑 Light" w:hint="eastAsia"/>
                <w:sz w:val="18"/>
                <w:szCs w:val="18"/>
              </w:rPr>
              <w:t>内照射剂量评估</w:t>
            </w:r>
          </w:p>
        </w:tc>
        <w:tc>
          <w:tcPr>
            <w:tcW w:w="6559" w:type="dxa"/>
            <w:shd w:val="clear" w:color="auto" w:fill="auto"/>
            <w:vAlign w:val="center"/>
          </w:tcPr>
          <w:p w:rsidR="007034AB" w:rsidRDefault="00987C93">
            <w:pPr>
              <w:widowControl/>
              <w:adjustRightInd w:val="0"/>
              <w:spacing w:line="360" w:lineRule="auto"/>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用户数量</w:t>
            </w:r>
            <w:bookmarkStart w:id="2" w:name="OLE_LINK1"/>
            <w:r>
              <w:rPr>
                <w:rFonts w:ascii="微软雅黑 Light" w:eastAsia="微软雅黑 Light" w:hAnsi="微软雅黑 Light" w:cs="微软雅黑 Light" w:hint="eastAsia"/>
                <w:sz w:val="18"/>
                <w:szCs w:val="18"/>
              </w:rPr>
              <w:t>≥</w:t>
            </w:r>
            <w:bookmarkEnd w:id="2"/>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计算各种器官的吸收辐射剂量。</w:t>
            </w:r>
            <w:r>
              <w:rPr>
                <w:rFonts w:ascii="微软雅黑 Light" w:eastAsia="微软雅黑 Light" w:hAnsi="微软雅黑 Light" w:cs="微软雅黑 Light" w:hint="eastAsia"/>
                <w:sz w:val="18"/>
                <w:szCs w:val="18"/>
              </w:rPr>
              <w:t xml:space="preserve"> </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1.</w:t>
            </w:r>
            <w:r>
              <w:rPr>
                <w:rFonts w:ascii="微软雅黑 Light" w:eastAsia="微软雅黑 Light" w:hAnsi="微软雅黑 Light" w:cs="微软雅黑 Light" w:hint="eastAsia"/>
                <w:sz w:val="18"/>
                <w:szCs w:val="18"/>
              </w:rPr>
              <w:t>支持几个单独的器官模型，至少包括前列腺，腹腔，头</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脑和多部分肾等等。</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2.</w:t>
            </w:r>
            <w:r>
              <w:rPr>
                <w:rFonts w:ascii="微软雅黑 Light" w:eastAsia="微软雅黑 Light" w:hAnsi="微软雅黑 Light" w:cs="微软雅黑 Light" w:hint="eastAsia"/>
                <w:sz w:val="18"/>
                <w:szCs w:val="18"/>
              </w:rPr>
              <w:t>至少支持超过≥</w:t>
            </w:r>
            <w:r>
              <w:rPr>
                <w:rFonts w:ascii="微软雅黑 Light" w:eastAsia="微软雅黑 Light" w:hAnsi="微软雅黑 Light" w:cs="微软雅黑 Light" w:hint="eastAsia"/>
                <w:sz w:val="18"/>
                <w:szCs w:val="18"/>
              </w:rPr>
              <w:t>800</w:t>
            </w:r>
            <w:r>
              <w:rPr>
                <w:rFonts w:ascii="微软雅黑 Light" w:eastAsia="微软雅黑 Light" w:hAnsi="微软雅黑 Light" w:cs="微软雅黑 Light" w:hint="eastAsia"/>
                <w:sz w:val="18"/>
                <w:szCs w:val="18"/>
              </w:rPr>
              <w:t>个核素。</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3.</w:t>
            </w:r>
            <w:r>
              <w:rPr>
                <w:rFonts w:ascii="微软雅黑 Light" w:eastAsia="微软雅黑 Light" w:hAnsi="微软雅黑 Light" w:cs="微软雅黑 Light" w:hint="eastAsia"/>
                <w:sz w:val="18"/>
                <w:szCs w:val="18"/>
              </w:rPr>
              <w:t>包含修正器官质量和辐射权重因子</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4.</w:t>
            </w:r>
            <w:r>
              <w:rPr>
                <w:rFonts w:ascii="微软雅黑 Light" w:eastAsia="微软雅黑 Light" w:hAnsi="微软雅黑 Light" w:cs="微软雅黑 Light" w:hint="eastAsia"/>
                <w:sz w:val="18"/>
                <w:szCs w:val="18"/>
              </w:rPr>
              <w:t>需支持拟人化人体模型和动物模型，人体模型至少需要包括各个年龄段的男女性和孕妇，动物模型至少需要包括不同重量的鼠</w:t>
            </w:r>
          </w:p>
        </w:tc>
      </w:tr>
      <w:tr w:rsidR="007034AB">
        <w:trPr>
          <w:jc w:val="center"/>
        </w:trPr>
        <w:tc>
          <w:tcPr>
            <w:tcW w:w="885" w:type="dxa"/>
            <w:vAlign w:val="center"/>
          </w:tcPr>
          <w:p w:rsidR="007034AB" w:rsidRDefault="007034AB">
            <w:pPr>
              <w:widowControl/>
              <w:numPr>
                <w:ilvl w:val="0"/>
                <w:numId w:val="4"/>
              </w:numPr>
              <w:tabs>
                <w:tab w:val="left" w:pos="0"/>
              </w:tabs>
              <w:adjustRightInd w:val="0"/>
              <w:spacing w:line="360" w:lineRule="auto"/>
              <w:jc w:val="center"/>
              <w:rPr>
                <w:rFonts w:ascii="微软雅黑" w:eastAsia="微软雅黑" w:hAnsi="微软雅黑" w:cs="微软雅黑"/>
                <w:kern w:val="0"/>
                <w:szCs w:val="21"/>
              </w:rPr>
            </w:pPr>
          </w:p>
        </w:tc>
        <w:tc>
          <w:tcPr>
            <w:tcW w:w="1601" w:type="dxa"/>
            <w:shd w:val="clear" w:color="auto" w:fill="auto"/>
            <w:vAlign w:val="center"/>
          </w:tcPr>
          <w:p w:rsidR="007034AB" w:rsidRDefault="00987C93">
            <w:pPr>
              <w:widowControl/>
              <w:adjustRightInd w:val="0"/>
              <w:spacing w:line="360" w:lineRule="auto"/>
              <w:jc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药代动力学剂量分析</w:t>
            </w:r>
          </w:p>
        </w:tc>
        <w:tc>
          <w:tcPr>
            <w:tcW w:w="6559" w:type="dxa"/>
            <w:shd w:val="clear" w:color="auto" w:fill="auto"/>
            <w:vAlign w:val="center"/>
          </w:tcPr>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计算平面全身和</w:t>
            </w: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图像的内部辐射剂量分布。</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ROI / VOI</w:t>
            </w:r>
            <w:r>
              <w:rPr>
                <w:rFonts w:ascii="微软雅黑 Light" w:eastAsia="微软雅黑 Light" w:hAnsi="微软雅黑 Light" w:cs="微软雅黑 Light" w:hint="eastAsia"/>
                <w:sz w:val="18"/>
                <w:szCs w:val="18"/>
              </w:rPr>
              <w:t>绘图：≥</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个器官</w:t>
            </w:r>
            <w:r>
              <w:rPr>
                <w:rFonts w:ascii="微软雅黑 Light" w:eastAsia="微软雅黑 Light" w:hAnsi="微软雅黑 Light" w:cs="微软雅黑 Light" w:hint="eastAsia"/>
                <w:sz w:val="18"/>
                <w:szCs w:val="18"/>
              </w:rPr>
              <w:t>ROI&amp;</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个病灶</w:t>
            </w:r>
            <w:r>
              <w:rPr>
                <w:rFonts w:ascii="微软雅黑 Light" w:eastAsia="微软雅黑 Light" w:hAnsi="微软雅黑 Light" w:cs="微软雅黑 Light" w:hint="eastAsia"/>
                <w:sz w:val="18"/>
                <w:szCs w:val="18"/>
              </w:rPr>
              <w:t>ROI</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时间</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活度曲线的非线性曲线拟合，单指或双指数拟合</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s</w:t>
            </w:r>
            <w:r>
              <w:rPr>
                <w:rFonts w:ascii="微软雅黑 Light" w:eastAsia="微软雅黑 Light" w:hAnsi="微软雅黑 Light" w:cs="微软雅黑 Light" w:hint="eastAsia"/>
                <w:sz w:val="18"/>
                <w:szCs w:val="18"/>
              </w:rPr>
              <w:t>因子质量缩放，用于剂量计算的最新剂量因子</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和平面全身</w:t>
            </w:r>
            <w:r>
              <w:rPr>
                <w:rFonts w:ascii="微软雅黑 Light" w:eastAsia="微软雅黑 Light" w:hAnsi="微软雅黑 Light" w:cs="微软雅黑 Light" w:hint="eastAsia"/>
                <w:sz w:val="18"/>
                <w:szCs w:val="18"/>
              </w:rPr>
              <w:t xml:space="preserve"> - </w:t>
            </w:r>
            <w:r>
              <w:rPr>
                <w:rFonts w:ascii="微软雅黑 Light" w:eastAsia="微软雅黑 Light" w:hAnsi="微软雅黑 Light" w:cs="微软雅黑 Light" w:hint="eastAsia"/>
                <w:sz w:val="18"/>
                <w:szCs w:val="18"/>
              </w:rPr>
              <w:t>综合结果报告页。</w:t>
            </w:r>
          </w:p>
        </w:tc>
      </w:tr>
      <w:tr w:rsidR="007034AB">
        <w:trPr>
          <w:jc w:val="center"/>
        </w:trPr>
        <w:tc>
          <w:tcPr>
            <w:tcW w:w="885" w:type="dxa"/>
            <w:vAlign w:val="center"/>
          </w:tcPr>
          <w:p w:rsidR="007034AB" w:rsidRDefault="007034AB">
            <w:pPr>
              <w:widowControl/>
              <w:numPr>
                <w:ilvl w:val="0"/>
                <w:numId w:val="4"/>
              </w:numPr>
              <w:tabs>
                <w:tab w:val="left" w:pos="0"/>
              </w:tabs>
              <w:adjustRightInd w:val="0"/>
              <w:spacing w:line="360" w:lineRule="auto"/>
              <w:jc w:val="center"/>
              <w:rPr>
                <w:rFonts w:ascii="微软雅黑" w:eastAsia="微软雅黑" w:hAnsi="微软雅黑" w:cs="微软雅黑"/>
                <w:kern w:val="0"/>
                <w:szCs w:val="21"/>
              </w:rPr>
            </w:pPr>
          </w:p>
        </w:tc>
        <w:tc>
          <w:tcPr>
            <w:tcW w:w="1601" w:type="dxa"/>
            <w:shd w:val="clear" w:color="auto" w:fill="auto"/>
            <w:vAlign w:val="center"/>
          </w:tcPr>
          <w:p w:rsidR="007034AB" w:rsidRDefault="00987C93">
            <w:pPr>
              <w:widowControl/>
              <w:adjustRightInd w:val="0"/>
              <w:spacing w:line="360" w:lineRule="auto"/>
              <w:jc w:val="center"/>
              <w:rPr>
                <w:rFonts w:ascii="微软雅黑" w:eastAsia="微软雅黑" w:hAnsi="微软雅黑" w:cs="微软雅黑"/>
                <w:bCs/>
                <w:kern w:val="0"/>
                <w:szCs w:val="21"/>
              </w:rPr>
            </w:pPr>
            <w:r>
              <w:rPr>
                <w:rFonts w:ascii="微软雅黑 Light" w:eastAsia="微软雅黑 Light" w:hAnsi="微软雅黑 Light" w:cs="微软雅黑 Light" w:hint="eastAsia"/>
                <w:sz w:val="18"/>
                <w:szCs w:val="18"/>
              </w:rPr>
              <w:t>心脏定量软件</w:t>
            </w:r>
          </w:p>
        </w:tc>
        <w:tc>
          <w:tcPr>
            <w:tcW w:w="6559" w:type="dxa"/>
            <w:shd w:val="clear" w:color="auto" w:fill="auto"/>
            <w:vAlign w:val="center"/>
          </w:tcPr>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心脏</w:t>
            </w:r>
            <w:r>
              <w:rPr>
                <w:rFonts w:ascii="微软雅黑 Light" w:eastAsia="微软雅黑 Light" w:hAnsi="微软雅黑 Light" w:cs="微软雅黑 Light" w:hint="eastAsia"/>
                <w:sz w:val="18"/>
                <w:szCs w:val="18"/>
              </w:rPr>
              <w:t>PET</w:t>
            </w: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心脏</w:t>
            </w: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心脏</w:t>
            </w:r>
            <w:r>
              <w:rPr>
                <w:rFonts w:ascii="微软雅黑 Light" w:eastAsia="微软雅黑 Light" w:hAnsi="微软雅黑 Light" w:cs="微软雅黑 Light" w:hint="eastAsia"/>
                <w:sz w:val="18"/>
                <w:szCs w:val="18"/>
              </w:rPr>
              <w:t>CFR</w:t>
            </w: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心脏</w:t>
            </w:r>
            <w:r>
              <w:rPr>
                <w:rFonts w:ascii="微软雅黑 Light" w:eastAsia="微软雅黑 Light" w:hAnsi="微软雅黑 Light" w:cs="微软雅黑 Light" w:hint="eastAsia"/>
                <w:sz w:val="18"/>
                <w:szCs w:val="18"/>
              </w:rPr>
              <w:t>CTA</w:t>
            </w:r>
            <w:r>
              <w:rPr>
                <w:rFonts w:ascii="微软雅黑 Light" w:eastAsia="微软雅黑 Light" w:hAnsi="微软雅黑 Light" w:cs="微软雅黑 Light" w:hint="eastAsia"/>
                <w:sz w:val="18"/>
                <w:szCs w:val="18"/>
              </w:rPr>
              <w:t>用户数量≥</w:t>
            </w:r>
            <w:r>
              <w:rPr>
                <w:rFonts w:ascii="微软雅黑 Light" w:eastAsia="微软雅黑 Light" w:hAnsi="微软雅黑 Light" w:cs="微软雅黑 Light" w:hint="eastAsia"/>
                <w:sz w:val="18"/>
                <w:szCs w:val="18"/>
              </w:rPr>
              <w:t>10</w:t>
            </w:r>
            <w:r>
              <w:rPr>
                <w:rFonts w:ascii="微软雅黑 Light" w:eastAsia="微软雅黑 Light" w:hAnsi="微软雅黑 Light" w:cs="微软雅黑 Light" w:hint="eastAsia"/>
                <w:sz w:val="18"/>
                <w:szCs w:val="18"/>
              </w:rPr>
              <w:t>，并发数量≥</w:t>
            </w:r>
            <w:r>
              <w:rPr>
                <w:rFonts w:ascii="微软雅黑 Light" w:eastAsia="微软雅黑 Light" w:hAnsi="微软雅黑 Light" w:cs="微软雅黑 Light" w:hint="eastAsia"/>
                <w:sz w:val="18"/>
                <w:szCs w:val="18"/>
              </w:rPr>
              <w:t>10</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提供</w:t>
            </w:r>
            <w:r>
              <w:rPr>
                <w:rFonts w:ascii="微软雅黑 Light" w:eastAsia="微软雅黑 Light" w:hAnsi="微软雅黑 Light" w:cs="微软雅黑 Light" w:hint="eastAsia"/>
                <w:sz w:val="18"/>
                <w:szCs w:val="18"/>
              </w:rPr>
              <w:t>PET</w:t>
            </w:r>
            <w:r>
              <w:rPr>
                <w:rFonts w:ascii="微软雅黑 Light" w:eastAsia="微软雅黑 Light" w:hAnsi="微软雅黑 Light" w:cs="微软雅黑 Light" w:hint="eastAsia"/>
                <w:sz w:val="18"/>
                <w:szCs w:val="18"/>
              </w:rPr>
              <w:t>与</w:t>
            </w:r>
            <w:r>
              <w:rPr>
                <w:rFonts w:ascii="微软雅黑 Light" w:eastAsia="微软雅黑 Light" w:hAnsi="微软雅黑 Light" w:cs="微软雅黑 Light" w:hint="eastAsia"/>
                <w:sz w:val="18"/>
                <w:szCs w:val="18"/>
              </w:rPr>
              <w:t>SPECT</w:t>
            </w:r>
            <w:r>
              <w:rPr>
                <w:rFonts w:ascii="微软雅黑 Light" w:eastAsia="微软雅黑 Light" w:hAnsi="微软雅黑 Light" w:cs="微软雅黑 Light" w:hint="eastAsia"/>
                <w:sz w:val="18"/>
                <w:szCs w:val="18"/>
              </w:rPr>
              <w:t>量化分析，及</w:t>
            </w:r>
            <w:r>
              <w:rPr>
                <w:rFonts w:ascii="微软雅黑 Light" w:eastAsia="微软雅黑 Light" w:hAnsi="微软雅黑 Light" w:cs="微软雅黑 Light" w:hint="eastAsia"/>
                <w:sz w:val="18"/>
                <w:szCs w:val="18"/>
              </w:rPr>
              <w:t>CTA</w:t>
            </w:r>
            <w:r>
              <w:rPr>
                <w:rFonts w:ascii="微软雅黑 Light" w:eastAsia="微软雅黑 Light" w:hAnsi="微软雅黑 Light" w:cs="微软雅黑 Light" w:hint="eastAsia"/>
                <w:sz w:val="18"/>
                <w:szCs w:val="18"/>
              </w:rPr>
              <w:t>的多模态融合功能</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 xml:space="preserve">1.AC </w:t>
            </w:r>
            <w:r>
              <w:rPr>
                <w:rFonts w:ascii="微软雅黑 Light" w:eastAsia="微软雅黑 Light" w:hAnsi="微软雅黑 Light" w:cs="微软雅黑 Light"/>
                <w:sz w:val="18"/>
                <w:szCs w:val="18"/>
              </w:rPr>
              <w:t>PE</w:t>
            </w:r>
            <w:r>
              <w:rPr>
                <w:rFonts w:ascii="微软雅黑 Light" w:eastAsia="微软雅黑 Light" w:hAnsi="微软雅黑 Light" w:cs="微软雅黑 Light" w:hint="eastAsia"/>
                <w:sz w:val="18"/>
                <w:szCs w:val="18"/>
              </w:rPr>
              <w:t>T</w:t>
            </w:r>
            <w:r>
              <w:rPr>
                <w:rFonts w:ascii="微软雅黑 Light" w:eastAsia="微软雅黑 Light" w:hAnsi="微软雅黑 Light" w:cs="微软雅黑 Light" w:hint="eastAsia"/>
                <w:sz w:val="18"/>
                <w:szCs w:val="18"/>
              </w:rPr>
              <w:t>图像显示，显示短轴、水平长轴、垂直长轴等三个轴位图像。</w:t>
            </w:r>
            <w:r>
              <w:rPr>
                <w:rFonts w:ascii="微软雅黑 Light" w:eastAsia="微软雅黑 Light" w:hAnsi="微软雅黑 Light" w:cs="微软雅黑 Light" w:hint="eastAsia"/>
                <w:sz w:val="18"/>
                <w:szCs w:val="18"/>
              </w:rPr>
              <w:t xml:space="preserve"> </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lastRenderedPageBreak/>
              <w:t>2.AC PET</w:t>
            </w:r>
            <w:r>
              <w:rPr>
                <w:rFonts w:ascii="微软雅黑 Light" w:eastAsia="微软雅黑 Light" w:hAnsi="微软雅黑 Light" w:cs="微软雅黑 Light" w:hint="eastAsia"/>
                <w:sz w:val="18"/>
                <w:szCs w:val="18"/>
              </w:rPr>
              <w:t>心肌灌注半定量和</w:t>
            </w:r>
            <w:r>
              <w:rPr>
                <w:rFonts w:ascii="微软雅黑 Light" w:eastAsia="微软雅黑 Light" w:hAnsi="微软雅黑 Light" w:cs="微软雅黑 Light" w:hint="eastAsia"/>
                <w:sz w:val="18"/>
                <w:szCs w:val="18"/>
              </w:rPr>
              <w:t>FDG</w:t>
            </w:r>
            <w:r>
              <w:rPr>
                <w:rFonts w:ascii="微软雅黑 Light" w:eastAsia="微软雅黑 Light" w:hAnsi="微软雅黑 Light" w:cs="微软雅黑 Light" w:hint="eastAsia"/>
                <w:sz w:val="18"/>
                <w:szCs w:val="18"/>
              </w:rPr>
              <w:t>代谢定量研究，显示短轴、水平长轴、垂直长轴等三个轴位图像。</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hint="eastAsia"/>
                <w:sz w:val="18"/>
                <w:szCs w:val="18"/>
              </w:rPr>
              <w:t>显示负荷灌注缺损的范围</w:t>
            </w:r>
            <w:r>
              <w:rPr>
                <w:rFonts w:ascii="微软雅黑 Light" w:eastAsia="微软雅黑 Light" w:hAnsi="微软雅黑 Light" w:cs="微软雅黑 Light" w:hint="eastAsia"/>
                <w:sz w:val="18"/>
                <w:szCs w:val="18"/>
              </w:rPr>
              <w:t xml:space="preserve"> (%) (</w:t>
            </w:r>
            <w:r>
              <w:rPr>
                <w:rFonts w:ascii="微软雅黑 Light" w:eastAsia="微软雅黑 Light" w:hAnsi="微软雅黑 Light" w:cs="微软雅黑 Light"/>
                <w:sz w:val="18"/>
                <w:szCs w:val="18"/>
              </w:rPr>
              <w:t>≥</w:t>
            </w:r>
            <w:r>
              <w:rPr>
                <w:rFonts w:ascii="微软雅黑 Light" w:eastAsia="微软雅黑 Light" w:hAnsi="微软雅黑 Light" w:cs="微软雅黑 Light" w:hint="eastAsia"/>
                <w:sz w:val="18"/>
                <w:szCs w:val="18"/>
              </w:rPr>
              <w:t>2.5 SD</w:t>
            </w:r>
            <w:r>
              <w:rPr>
                <w:rFonts w:ascii="微软雅黑 Light" w:eastAsia="微软雅黑 Light" w:hAnsi="微软雅黑 Light" w:cs="微软雅黑 Light" w:hint="eastAsia"/>
                <w:sz w:val="18"/>
                <w:szCs w:val="18"/>
              </w:rPr>
              <w:t>正常人摄取值</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节段负荷灌注评分、负荷总分</w:t>
            </w:r>
            <w:r>
              <w:rPr>
                <w:rFonts w:ascii="微软雅黑 Light" w:eastAsia="微软雅黑 Light" w:hAnsi="微软雅黑 Light" w:cs="微软雅黑 Light" w:hint="eastAsia"/>
                <w:sz w:val="18"/>
                <w:szCs w:val="18"/>
              </w:rPr>
              <w:t>(SSS)</w:t>
            </w:r>
            <w:r>
              <w:rPr>
                <w:rFonts w:ascii="微软雅黑 Light" w:eastAsia="微软雅黑 Light" w:hAnsi="微软雅黑 Light" w:cs="微软雅黑 Light" w:hint="eastAsia"/>
                <w:sz w:val="18"/>
                <w:szCs w:val="18"/>
              </w:rPr>
              <w:t>。显示静息灌注缺损的范围</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sz w:val="18"/>
                <w:szCs w:val="18"/>
              </w:rPr>
              <w:t>≥</w:t>
            </w:r>
            <w:r>
              <w:rPr>
                <w:rFonts w:ascii="微软雅黑 Light" w:eastAsia="微软雅黑 Light" w:hAnsi="微软雅黑 Light" w:cs="微软雅黑 Light" w:hint="eastAsia"/>
                <w:sz w:val="18"/>
                <w:szCs w:val="18"/>
              </w:rPr>
              <w:t>2.5 SD</w:t>
            </w:r>
            <w:r>
              <w:rPr>
                <w:rFonts w:ascii="微软雅黑 Light" w:eastAsia="微软雅黑 Light" w:hAnsi="微软雅黑 Light" w:cs="微软雅黑 Light" w:hint="eastAsia"/>
                <w:sz w:val="18"/>
                <w:szCs w:val="18"/>
              </w:rPr>
              <w:t>正常人摄取值</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hint="eastAsia"/>
                <w:sz w:val="18"/>
                <w:szCs w:val="18"/>
              </w:rPr>
              <w:t>段静息灌注评分、静息总分</w:t>
            </w:r>
            <w:r>
              <w:rPr>
                <w:rFonts w:ascii="微软雅黑 Light" w:eastAsia="微软雅黑 Light" w:hAnsi="微软雅黑 Light" w:cs="微软雅黑 Light" w:hint="eastAsia"/>
                <w:sz w:val="18"/>
                <w:szCs w:val="18"/>
              </w:rPr>
              <w:t>(SRS)</w:t>
            </w:r>
            <w:r>
              <w:rPr>
                <w:rFonts w:ascii="微软雅黑 Light" w:eastAsia="微软雅黑 Light" w:hAnsi="微软雅黑 Light" w:cs="微软雅黑 Light" w:hint="eastAsia"/>
                <w:sz w:val="18"/>
                <w:szCs w:val="18"/>
              </w:rPr>
              <w:t>。显示可逆灌注缺损的范围</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心肌缺血范围</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节段可逆性灌注评分、差异总分</w:t>
            </w:r>
            <w:r>
              <w:rPr>
                <w:rFonts w:ascii="微软雅黑 Light" w:eastAsia="微软雅黑 Light" w:hAnsi="微软雅黑 Light" w:cs="微软雅黑 Light" w:hint="eastAsia"/>
                <w:sz w:val="18"/>
                <w:szCs w:val="18"/>
              </w:rPr>
              <w:t>(SDS)</w:t>
            </w:r>
            <w:r>
              <w:rPr>
                <w:rFonts w:ascii="微软雅黑 Light" w:eastAsia="微软雅黑 Light" w:hAnsi="微软雅黑 Light" w:cs="微软雅黑 Light" w:hint="eastAsia"/>
                <w:sz w:val="18"/>
                <w:szCs w:val="18"/>
              </w:rPr>
              <w:t>。</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3.</w:t>
            </w:r>
            <w:r>
              <w:rPr>
                <w:rFonts w:ascii="微软雅黑 Light" w:eastAsia="微软雅黑 Light" w:hAnsi="微软雅黑 Light" w:cs="微软雅黑 Light" w:hint="eastAsia"/>
                <w:sz w:val="18"/>
                <w:szCs w:val="18"/>
              </w:rPr>
              <w:t>左心室</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收缩</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舒张</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功能分析，左心室收缩功能同步化分析，收缩末期与舒张末期对比，</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节段心壁增厚度</w:t>
            </w:r>
            <w:r>
              <w:rPr>
                <w:rFonts w:ascii="微软雅黑 Light" w:eastAsia="微软雅黑 Light" w:hAnsi="微软雅黑 Light" w:cs="微软雅黑 Light" w:hint="eastAsia"/>
                <w:sz w:val="18"/>
                <w:szCs w:val="18"/>
              </w:rPr>
              <w:t xml:space="preserve"> (mm)17</w:t>
            </w:r>
            <w:r>
              <w:rPr>
                <w:rFonts w:ascii="微软雅黑 Light" w:eastAsia="微软雅黑 Light" w:hAnsi="微软雅黑 Light" w:cs="微软雅黑 Light" w:hint="eastAsia"/>
                <w:sz w:val="18"/>
                <w:szCs w:val="18"/>
              </w:rPr>
              <w:t>节段心壁增厚率</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节段心壁增厚度分数</w:t>
            </w:r>
            <w:r>
              <w:rPr>
                <w:rFonts w:ascii="微软雅黑 Light" w:eastAsia="微软雅黑 Light" w:hAnsi="微软雅黑 Light" w:cs="微软雅黑 Light" w:hint="eastAsia"/>
                <w:sz w:val="18"/>
                <w:szCs w:val="18"/>
              </w:rPr>
              <w:t xml:space="preserve">(0-3) </w:t>
            </w:r>
            <w:r>
              <w:rPr>
                <w:rFonts w:ascii="微软雅黑 Light" w:eastAsia="微软雅黑 Light" w:hAnsi="微软雅黑 Light" w:cs="微软雅黑 Light" w:hint="eastAsia"/>
                <w:sz w:val="18"/>
                <w:szCs w:val="18"/>
              </w:rPr>
              <w:t>，</w:t>
            </w:r>
            <w:r>
              <w:rPr>
                <w:rFonts w:ascii="微软雅黑 Light" w:eastAsia="微软雅黑 Light" w:hAnsi="微软雅黑 Light" w:cs="微软雅黑 Light" w:hint="eastAsia"/>
                <w:sz w:val="18"/>
                <w:szCs w:val="18"/>
              </w:rPr>
              <w:t>17</w:t>
            </w:r>
            <w:r>
              <w:rPr>
                <w:rFonts w:ascii="微软雅黑 Light" w:eastAsia="微软雅黑 Light" w:hAnsi="微软雅黑 Light" w:cs="微软雅黑 Light" w:hint="eastAsia"/>
                <w:sz w:val="18"/>
                <w:szCs w:val="18"/>
              </w:rPr>
              <w:t>节段心壁增厚率分数</w:t>
            </w:r>
            <w:r>
              <w:rPr>
                <w:rFonts w:ascii="微软雅黑 Light" w:eastAsia="微软雅黑 Light" w:hAnsi="微软雅黑 Light" w:cs="微软雅黑 Light" w:hint="eastAsia"/>
                <w:sz w:val="18"/>
                <w:szCs w:val="18"/>
              </w:rPr>
              <w:t>(0-3)</w:t>
            </w:r>
            <w:r>
              <w:rPr>
                <w:rFonts w:ascii="微软雅黑 Light" w:eastAsia="微软雅黑 Light" w:hAnsi="微软雅黑 Light" w:cs="微软雅黑 Light" w:hint="eastAsia"/>
                <w:sz w:val="18"/>
                <w:szCs w:val="18"/>
              </w:rPr>
              <w:t>，通过傅立叶转换获得左心室心肌个点收缩起波的相位，计算左心室收缩相位的均值，计算左心室收缩相位的分布范围，从均值上下共分为</w:t>
            </w:r>
            <w:r>
              <w:rPr>
                <w:rFonts w:ascii="微软雅黑 Light" w:eastAsia="微软雅黑 Light" w:hAnsi="微软雅黑 Light" w:cs="微软雅黑 Light" w:hint="eastAsia"/>
                <w:sz w:val="18"/>
                <w:szCs w:val="18"/>
              </w:rPr>
              <w:t>10</w:t>
            </w:r>
            <w:r>
              <w:rPr>
                <w:rFonts w:ascii="微软雅黑 Light" w:eastAsia="微软雅黑 Light" w:hAnsi="微软雅黑 Light" w:cs="微软雅黑 Light" w:hint="eastAsia"/>
                <w:sz w:val="18"/>
                <w:szCs w:val="18"/>
              </w:rPr>
              <w:t>段</w:t>
            </w:r>
            <w:r>
              <w:rPr>
                <w:rFonts w:ascii="微软雅黑 Light" w:eastAsia="微软雅黑 Light" w:hAnsi="微软雅黑 Light" w:cs="微软雅黑 Light" w:hint="eastAsia"/>
                <w:sz w:val="18"/>
                <w:szCs w:val="18"/>
              </w:rPr>
              <w:t>(-5SD</w:t>
            </w:r>
            <w:r>
              <w:rPr>
                <w:rFonts w:ascii="微软雅黑 Light" w:eastAsia="微软雅黑 Light" w:hAnsi="微软雅黑 Light" w:cs="微软雅黑 Light" w:hint="eastAsia"/>
                <w:sz w:val="18"/>
                <w:szCs w:val="18"/>
              </w:rPr>
              <w:t>至</w:t>
            </w:r>
            <w:r>
              <w:rPr>
                <w:rFonts w:ascii="微软雅黑 Light" w:eastAsia="微软雅黑 Light" w:hAnsi="微软雅黑 Light" w:cs="微软雅黑 Light" w:hint="eastAsia"/>
                <w:sz w:val="18"/>
                <w:szCs w:val="18"/>
              </w:rPr>
              <w:t>5SD)</w:t>
            </w:r>
            <w:r>
              <w:rPr>
                <w:rFonts w:ascii="微软雅黑 Light" w:eastAsia="微软雅黑 Light" w:hAnsi="微软雅黑 Light" w:cs="微软雅黑 Light" w:hint="eastAsia"/>
                <w:sz w:val="18"/>
                <w:szCs w:val="18"/>
              </w:rPr>
              <w:t>，以不同颜色标示。左心室收缩相位带宽</w:t>
            </w:r>
            <w:r>
              <w:rPr>
                <w:rFonts w:ascii="微软雅黑 Light" w:eastAsia="微软雅黑 Light" w:hAnsi="微软雅黑 Light" w:cs="微软雅黑 Light" w:hint="eastAsia"/>
                <w:sz w:val="18"/>
                <w:szCs w:val="18"/>
              </w:rPr>
              <w:t xml:space="preserve"> (</w:t>
            </w:r>
            <w:r>
              <w:rPr>
                <w:rFonts w:ascii="微软雅黑 Light" w:eastAsia="微软雅黑 Light" w:hAnsi="微软雅黑 Light" w:cs="微软雅黑 Light" w:hint="eastAsia"/>
                <w:sz w:val="18"/>
                <w:szCs w:val="18"/>
              </w:rPr>
              <w:t>涵盖百分比</w:t>
            </w:r>
            <w:r>
              <w:rPr>
                <w:rFonts w:ascii="微软雅黑 Light" w:eastAsia="微软雅黑 Light" w:hAnsi="微软雅黑 Light" w:cs="微软雅黑 Light" w:hint="eastAsia"/>
                <w:sz w:val="18"/>
                <w:szCs w:val="18"/>
              </w:rPr>
              <w:t>: 25%, 75%, 95%)</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4.PET</w:t>
            </w:r>
            <w:r>
              <w:rPr>
                <w:rFonts w:ascii="微软雅黑 Light" w:eastAsia="微软雅黑 Light" w:hAnsi="微软雅黑 Light" w:cs="微软雅黑 Light" w:hint="eastAsia"/>
                <w:sz w:val="18"/>
                <w:szCs w:val="18"/>
              </w:rPr>
              <w:t>心脏灌注和</w:t>
            </w:r>
            <w:r>
              <w:rPr>
                <w:rFonts w:ascii="微软雅黑 Light" w:eastAsia="微软雅黑 Light" w:hAnsi="微软雅黑 Light" w:cs="微软雅黑 Light" w:hint="eastAsia"/>
                <w:sz w:val="18"/>
                <w:szCs w:val="18"/>
              </w:rPr>
              <w:t>FDG</w:t>
            </w:r>
            <w:r>
              <w:rPr>
                <w:rFonts w:ascii="微软雅黑 Light" w:eastAsia="微软雅黑 Light" w:hAnsi="微软雅黑 Light" w:cs="微软雅黑 Light" w:hint="eastAsia"/>
                <w:sz w:val="18"/>
                <w:szCs w:val="18"/>
              </w:rPr>
              <w:t>代谢正常数据库</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5.</w:t>
            </w:r>
            <w:r>
              <w:rPr>
                <w:rFonts w:ascii="微软雅黑 Light" w:eastAsia="微软雅黑 Light" w:hAnsi="微软雅黑 Light" w:cs="微软雅黑 Light" w:hint="eastAsia"/>
                <w:sz w:val="18"/>
                <w:szCs w:val="18"/>
              </w:rPr>
              <w:t>定量对比区域内的灌注程度和缺损严重程度</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6.</w:t>
            </w:r>
            <w:r>
              <w:rPr>
                <w:rFonts w:ascii="微软雅黑 Light" w:eastAsia="微软雅黑 Light" w:hAnsi="微软雅黑 Light" w:cs="微软雅黑 Light" w:hint="eastAsia"/>
                <w:sz w:val="18"/>
                <w:szCs w:val="18"/>
              </w:rPr>
              <w:t>提供一种基于可靠的形变配准、精确的分割算法（左心室的精确分割对生成可靠的左心室体积和功能参数（如射血分数）提供了重要帮助）</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7.</w:t>
            </w:r>
            <w:r>
              <w:rPr>
                <w:rFonts w:ascii="微软雅黑 Light" w:eastAsia="微软雅黑 Light" w:hAnsi="微软雅黑 Light" w:cs="微软雅黑 Light" w:hint="eastAsia"/>
                <w:sz w:val="18"/>
                <w:szCs w:val="18"/>
              </w:rPr>
              <w:t>可自定义</w:t>
            </w:r>
            <w:r>
              <w:rPr>
                <w:rFonts w:ascii="微软雅黑 Light" w:eastAsia="微软雅黑 Light" w:hAnsi="微软雅黑 Light" w:cs="微软雅黑 Light" w:hint="eastAsia"/>
                <w:sz w:val="18"/>
                <w:szCs w:val="18"/>
              </w:rPr>
              <w:t>SPECT/PET</w:t>
            </w:r>
            <w:r>
              <w:rPr>
                <w:rFonts w:ascii="微软雅黑 Light" w:eastAsia="微软雅黑 Light" w:hAnsi="微软雅黑 Light" w:cs="微软雅黑 Light" w:hint="eastAsia"/>
                <w:sz w:val="18"/>
                <w:szCs w:val="18"/>
              </w:rPr>
              <w:t>正</w:t>
            </w:r>
            <w:r>
              <w:rPr>
                <w:rFonts w:ascii="微软雅黑 Light" w:eastAsia="微软雅黑 Light" w:hAnsi="微软雅黑 Light" w:cs="微软雅黑 Light" w:hint="eastAsia"/>
                <w:sz w:val="18"/>
                <w:szCs w:val="18"/>
              </w:rPr>
              <w:t>常数据库</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8.</w:t>
            </w:r>
            <w:r>
              <w:rPr>
                <w:rFonts w:ascii="微软雅黑 Light" w:eastAsia="微软雅黑 Light" w:hAnsi="微软雅黑 Light" w:cs="微软雅黑 Light" w:hint="eastAsia"/>
                <w:sz w:val="18"/>
                <w:szCs w:val="18"/>
              </w:rPr>
              <w:t>心脏炎症分析工具</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9.PET SUV</w:t>
            </w:r>
            <w:r>
              <w:rPr>
                <w:rFonts w:ascii="微软雅黑 Light" w:eastAsia="微软雅黑 Light" w:hAnsi="微软雅黑 Light" w:cs="微软雅黑 Light" w:hint="eastAsia"/>
                <w:sz w:val="18"/>
                <w:szCs w:val="18"/>
              </w:rPr>
              <w:t>计算</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10.</w:t>
            </w:r>
            <w:r>
              <w:rPr>
                <w:rFonts w:ascii="微软雅黑 Light" w:eastAsia="微软雅黑 Light" w:hAnsi="微软雅黑 Light" w:cs="微软雅黑 Light" w:hint="eastAsia"/>
                <w:sz w:val="18"/>
                <w:szCs w:val="18"/>
              </w:rPr>
              <w:t>提供</w:t>
            </w:r>
            <w:r>
              <w:rPr>
                <w:rFonts w:ascii="微软雅黑 Light" w:eastAsia="微软雅黑 Light" w:hAnsi="微软雅黑 Light" w:cs="微软雅黑 Light" w:hint="eastAsia"/>
                <w:sz w:val="18"/>
                <w:szCs w:val="18"/>
              </w:rPr>
              <w:t>CTA</w:t>
            </w:r>
            <w:r>
              <w:rPr>
                <w:rFonts w:ascii="微软雅黑 Light" w:eastAsia="微软雅黑 Light" w:hAnsi="微软雅黑 Light" w:cs="微软雅黑 Light" w:hint="eastAsia"/>
                <w:sz w:val="18"/>
                <w:szCs w:val="18"/>
              </w:rPr>
              <w:t>的多模态融合功能</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支持</w:t>
            </w:r>
            <w:r>
              <w:rPr>
                <w:rFonts w:ascii="微软雅黑 Light" w:eastAsia="微软雅黑 Light" w:hAnsi="微软雅黑 Light" w:cs="微软雅黑 Light" w:hint="eastAsia"/>
                <w:sz w:val="18"/>
                <w:szCs w:val="18"/>
              </w:rPr>
              <w:t>Rb-82</w:t>
            </w:r>
            <w:r>
              <w:rPr>
                <w:rFonts w:ascii="微软雅黑 Light" w:eastAsia="微软雅黑 Light" w:hAnsi="微软雅黑 Light" w:cs="微软雅黑 Light" w:hint="eastAsia"/>
                <w:sz w:val="18"/>
                <w:szCs w:val="18"/>
              </w:rPr>
              <w:t>和氨水的绝对心肌血流和冠状动脉血流储备的量化分析</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 xml:space="preserve">1. </w:t>
            </w:r>
            <w:r>
              <w:rPr>
                <w:rFonts w:ascii="微软雅黑 Light" w:eastAsia="微软雅黑 Light" w:hAnsi="微软雅黑 Light" w:cs="微软雅黑 Light" w:hint="eastAsia"/>
                <w:sz w:val="18"/>
                <w:szCs w:val="18"/>
              </w:rPr>
              <w:t>全自动</w:t>
            </w:r>
            <w:r>
              <w:rPr>
                <w:rFonts w:ascii="微软雅黑 Light" w:eastAsia="微软雅黑 Light" w:hAnsi="微软雅黑 Light" w:cs="微软雅黑 Light" w:hint="eastAsia"/>
                <w:sz w:val="18"/>
                <w:szCs w:val="18"/>
              </w:rPr>
              <w:t>CFR</w:t>
            </w:r>
            <w:r>
              <w:rPr>
                <w:rFonts w:ascii="微软雅黑 Light" w:eastAsia="微软雅黑 Light" w:hAnsi="微软雅黑 Light" w:cs="微软雅黑 Light" w:hint="eastAsia"/>
                <w:sz w:val="18"/>
                <w:szCs w:val="18"/>
              </w:rPr>
              <w:t>量化分析</w:t>
            </w:r>
          </w:p>
          <w:p w:rsidR="007034AB" w:rsidRDefault="00987C93">
            <w:pPr>
              <w:widowControl/>
              <w:textAlignment w:val="center"/>
              <w:rPr>
                <w:rFonts w:ascii="微软雅黑 Light" w:eastAsia="微软雅黑 Light" w:hAnsi="微软雅黑 Light" w:cs="微软雅黑 Light"/>
                <w:sz w:val="18"/>
                <w:szCs w:val="18"/>
              </w:rPr>
            </w:pPr>
            <w:r>
              <w:rPr>
                <w:rFonts w:ascii="微软雅黑 Light" w:eastAsia="微软雅黑 Light" w:hAnsi="微软雅黑 Light" w:cs="微软雅黑 Light" w:hint="eastAsia"/>
                <w:sz w:val="18"/>
                <w:szCs w:val="18"/>
              </w:rPr>
              <w:t>2.</w:t>
            </w:r>
            <w:r>
              <w:rPr>
                <w:rFonts w:ascii="微软雅黑 Light" w:eastAsia="微软雅黑 Light" w:hAnsi="微软雅黑 Light" w:cs="微软雅黑 Light" w:hint="eastAsia"/>
                <w:sz w:val="18"/>
                <w:szCs w:val="18"/>
              </w:rPr>
              <w:t>心脏区域的绝对血流结果分析</w:t>
            </w:r>
          </w:p>
          <w:p w:rsidR="007034AB" w:rsidRDefault="00987C93">
            <w:pPr>
              <w:widowControl/>
              <w:textAlignment w:val="center"/>
              <w:rPr>
                <w:rFonts w:ascii="微软雅黑" w:eastAsia="微软雅黑" w:hAnsi="微软雅黑" w:cs="微软雅黑"/>
                <w:kern w:val="0"/>
                <w:szCs w:val="21"/>
              </w:rPr>
            </w:pPr>
            <w:r>
              <w:rPr>
                <w:rFonts w:ascii="微软雅黑 Light" w:eastAsia="微软雅黑 Light" w:hAnsi="微软雅黑 Light" w:cs="微软雅黑 Light" w:hint="eastAsia"/>
                <w:sz w:val="18"/>
                <w:szCs w:val="18"/>
              </w:rPr>
              <w:t>3.</w:t>
            </w:r>
            <w:r>
              <w:rPr>
                <w:rFonts w:ascii="微软雅黑 Light" w:eastAsia="微软雅黑 Light" w:hAnsi="微软雅黑 Light" w:cs="微软雅黑 Light" w:hint="eastAsia"/>
                <w:sz w:val="18"/>
                <w:szCs w:val="18"/>
              </w:rPr>
              <w:t>跟踪低压</w:t>
            </w:r>
            <w:r>
              <w:rPr>
                <w:rFonts w:ascii="微软雅黑 Light" w:eastAsia="微软雅黑 Light" w:hAnsi="微软雅黑 Light" w:cs="微软雅黑 Light" w:hint="eastAsia"/>
                <w:sz w:val="18"/>
                <w:szCs w:val="18"/>
              </w:rPr>
              <w:t>/RV</w:t>
            </w:r>
            <w:r>
              <w:rPr>
                <w:rFonts w:ascii="微软雅黑 Light" w:eastAsia="微软雅黑 Light" w:hAnsi="微软雅黑 Light" w:cs="微软雅黑 Light" w:hint="eastAsia"/>
                <w:sz w:val="18"/>
                <w:szCs w:val="18"/>
              </w:rPr>
              <w:t>吸收和区域分布</w:t>
            </w:r>
          </w:p>
        </w:tc>
      </w:tr>
    </w:tbl>
    <w:p w:rsidR="007034AB" w:rsidRDefault="007034AB">
      <w:pPr>
        <w:rPr>
          <w:rFonts w:ascii="微软雅黑" w:eastAsia="微软雅黑" w:hAnsi="微软雅黑" w:cs="微软雅黑"/>
        </w:rPr>
      </w:pPr>
    </w:p>
    <w:p w:rsidR="007034AB" w:rsidRDefault="00987C93">
      <w:pPr>
        <w:tabs>
          <w:tab w:val="left" w:pos="780"/>
        </w:tabs>
        <w:spacing w:beforeLines="50" w:before="156" w:line="360" w:lineRule="auto"/>
        <w:ind w:firstLineChars="200" w:firstLine="420"/>
        <w:outlineLvl w:val="0"/>
        <w:rPr>
          <w:rFonts w:ascii="微软雅黑" w:eastAsia="微软雅黑" w:hAnsi="微软雅黑" w:cs="微软雅黑"/>
          <w:szCs w:val="21"/>
        </w:rPr>
      </w:pPr>
      <w:bookmarkStart w:id="3" w:name="_6.1.2、容器服务器"/>
      <w:bookmarkEnd w:id="3"/>
      <w:r>
        <w:rPr>
          <w:rFonts w:ascii="微软雅黑" w:eastAsia="微软雅黑" w:hAnsi="微软雅黑" w:cs="微软雅黑" w:hint="eastAsia"/>
          <w:szCs w:val="21"/>
        </w:rPr>
        <w:t>（一）货物为原制造商制造的全新产品，整机无污染，无侵权行为、表面无划损、无任何缺陷隐患，在中国境内可依常规安全合法使用。</w:t>
      </w:r>
    </w:p>
    <w:p w:rsidR="007034AB" w:rsidRDefault="00987C93">
      <w:pPr>
        <w:tabs>
          <w:tab w:val="left" w:pos="780"/>
        </w:tabs>
        <w:spacing w:beforeLines="50" w:before="156" w:line="360" w:lineRule="auto"/>
        <w:ind w:firstLineChars="200" w:firstLine="420"/>
        <w:outlineLvl w:val="0"/>
        <w:rPr>
          <w:rFonts w:ascii="微软雅黑" w:eastAsia="微软雅黑" w:hAnsi="微软雅黑" w:cs="微软雅黑"/>
          <w:szCs w:val="21"/>
        </w:rPr>
      </w:pPr>
      <w:r>
        <w:rPr>
          <w:rFonts w:ascii="微软雅黑" w:eastAsia="微软雅黑" w:hAnsi="微软雅黑" w:cs="微软雅黑"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7034AB" w:rsidRDefault="00987C93">
      <w:pPr>
        <w:tabs>
          <w:tab w:val="left" w:pos="780"/>
        </w:tabs>
        <w:spacing w:beforeLines="50" w:before="156" w:line="360" w:lineRule="auto"/>
        <w:ind w:firstLineChars="200" w:firstLine="360"/>
        <w:outlineLvl w:val="0"/>
        <w:rPr>
          <w:rFonts w:ascii="微软雅黑" w:eastAsia="微软雅黑" w:hAnsi="微软雅黑" w:cs="微软雅黑"/>
          <w:szCs w:val="21"/>
        </w:rPr>
      </w:pPr>
      <w:r>
        <w:rPr>
          <w:rFonts w:ascii="宋体" w:hAnsi="宋体" w:hint="eastAsia"/>
          <w:sz w:val="18"/>
          <w:szCs w:val="18"/>
        </w:rPr>
        <w:t>★</w:t>
      </w:r>
      <w:r>
        <w:rPr>
          <w:rFonts w:ascii="微软雅黑" w:eastAsia="微软雅黑" w:hAnsi="微软雅黑" w:cs="微软雅黑" w:hint="eastAsia"/>
          <w:szCs w:val="21"/>
        </w:rPr>
        <w:t>（</w:t>
      </w:r>
      <w:r>
        <w:rPr>
          <w:rFonts w:ascii="微软雅黑" w:eastAsia="微软雅黑" w:hAnsi="微软雅黑" w:cs="微软雅黑" w:hint="eastAsia"/>
          <w:szCs w:val="21"/>
        </w:rPr>
        <w:t>三</w:t>
      </w:r>
      <w:r>
        <w:rPr>
          <w:rFonts w:ascii="微软雅黑" w:eastAsia="微软雅黑" w:hAnsi="微软雅黑" w:cs="微软雅黑" w:hint="eastAsia"/>
          <w:szCs w:val="21"/>
        </w:rPr>
        <w:t>）</w:t>
      </w:r>
      <w:r>
        <w:rPr>
          <w:rFonts w:ascii="微软雅黑" w:eastAsia="微软雅黑" w:hAnsi="微软雅黑" w:cs="微软雅黑" w:hint="eastAsia"/>
          <w:szCs w:val="21"/>
        </w:rPr>
        <w:t>中标人需配合采购人完成电子病历评测</w:t>
      </w:r>
      <w:r>
        <w:rPr>
          <w:rFonts w:ascii="微软雅黑" w:eastAsia="微软雅黑" w:hAnsi="微软雅黑" w:cs="微软雅黑" w:hint="eastAsia"/>
          <w:szCs w:val="21"/>
        </w:rPr>
        <w:t>6</w:t>
      </w:r>
      <w:r>
        <w:rPr>
          <w:rFonts w:ascii="微软雅黑" w:eastAsia="微软雅黑" w:hAnsi="微软雅黑" w:cs="微软雅黑" w:hint="eastAsia"/>
          <w:szCs w:val="21"/>
        </w:rPr>
        <w:t>级以上及三甲评审所需改造需求。（提供投标人盖章的承诺函）</w:t>
      </w:r>
      <w:r>
        <w:rPr>
          <w:rFonts w:ascii="微软雅黑" w:eastAsia="微软雅黑" w:hAnsi="微软雅黑" w:cs="微软雅黑" w:hint="eastAsia"/>
          <w:szCs w:val="21"/>
        </w:rPr>
        <w:t>，</w:t>
      </w:r>
      <w:r>
        <w:rPr>
          <w:rFonts w:ascii="微软雅黑" w:eastAsia="微软雅黑" w:hAnsi="微软雅黑" w:cs="微软雅黑" w:hint="eastAsia"/>
          <w:szCs w:val="21"/>
        </w:rPr>
        <w:t>不再收取任何费用。</w:t>
      </w:r>
    </w:p>
    <w:p w:rsidR="007034AB" w:rsidRDefault="007034AB">
      <w:pPr>
        <w:pStyle w:val="2"/>
        <w:rPr>
          <w:rFonts w:eastAsia="微软雅黑"/>
        </w:rPr>
      </w:pPr>
    </w:p>
    <w:p w:rsidR="007034AB" w:rsidRDefault="007034AB">
      <w:pPr>
        <w:tabs>
          <w:tab w:val="left" w:pos="780"/>
        </w:tabs>
        <w:spacing w:beforeLines="50" w:before="156" w:line="360" w:lineRule="auto"/>
        <w:ind w:firstLineChars="200" w:firstLine="420"/>
        <w:outlineLvl w:val="0"/>
        <w:rPr>
          <w:rFonts w:ascii="微软雅黑" w:eastAsia="微软雅黑" w:hAnsi="微软雅黑" w:cs="微软雅黑"/>
          <w:szCs w:val="21"/>
        </w:rPr>
      </w:pPr>
    </w:p>
    <w:p w:rsidR="007034AB" w:rsidRDefault="00987C93">
      <w:pPr>
        <w:pStyle w:val="1"/>
        <w:numPr>
          <w:ilvl w:val="0"/>
          <w:numId w:val="3"/>
        </w:numPr>
        <w:spacing w:before="0" w:after="0"/>
        <w:rPr>
          <w:rFonts w:ascii="微软雅黑" w:eastAsia="微软雅黑" w:hAnsi="微软雅黑" w:cs="微软雅黑"/>
          <w:sz w:val="21"/>
          <w:szCs w:val="21"/>
        </w:rPr>
      </w:pPr>
      <w:r>
        <w:rPr>
          <w:rFonts w:ascii="微软雅黑" w:eastAsia="微软雅黑" w:hAnsi="微软雅黑" w:cs="微软雅黑" w:hint="eastAsia"/>
          <w:sz w:val="32"/>
          <w:szCs w:val="32"/>
        </w:rPr>
        <w:lastRenderedPageBreak/>
        <w:t>交货</w:t>
      </w:r>
      <w:r>
        <w:rPr>
          <w:rFonts w:ascii="微软雅黑" w:eastAsia="微软雅黑" w:hAnsi="微软雅黑" w:cs="微软雅黑" w:hint="eastAsia"/>
          <w:sz w:val="32"/>
          <w:szCs w:val="32"/>
        </w:rPr>
        <w:t>日</w:t>
      </w:r>
      <w:r>
        <w:rPr>
          <w:rFonts w:ascii="微软雅黑" w:eastAsia="微软雅黑" w:hAnsi="微软雅黑" w:cs="微软雅黑" w:hint="eastAsia"/>
          <w:sz w:val="32"/>
          <w:szCs w:val="32"/>
        </w:rPr>
        <w:t>期</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一</w:t>
      </w:r>
      <w:r>
        <w:rPr>
          <w:rFonts w:ascii="微软雅黑" w:eastAsia="微软雅黑" w:hAnsi="微软雅黑" w:cs="微软雅黑" w:hint="eastAsia"/>
          <w:szCs w:val="21"/>
        </w:rPr>
        <w:t>)</w:t>
      </w:r>
      <w:r>
        <w:rPr>
          <w:rFonts w:ascii="微软雅黑" w:eastAsia="微软雅黑" w:hAnsi="微软雅黑" w:cs="微软雅黑" w:hint="eastAsia"/>
          <w:szCs w:val="21"/>
        </w:rPr>
        <w:t>供货方须在院方支付合同首款后的</w:t>
      </w:r>
      <w:r>
        <w:rPr>
          <w:rFonts w:ascii="微软雅黑" w:eastAsia="微软雅黑" w:hAnsi="微软雅黑" w:cs="微软雅黑" w:hint="eastAsia"/>
          <w:szCs w:val="21"/>
          <w:u w:val="single"/>
        </w:rPr>
        <w:t xml:space="preserve"> 60 </w:t>
      </w:r>
      <w:r>
        <w:rPr>
          <w:rFonts w:ascii="微软雅黑" w:eastAsia="微软雅黑" w:hAnsi="微软雅黑" w:cs="微软雅黑" w:hint="eastAsia"/>
          <w:szCs w:val="21"/>
        </w:rPr>
        <w:t>个工作日内向院方提交采购清单中的物品。</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二</w:t>
      </w:r>
      <w:r>
        <w:rPr>
          <w:rFonts w:ascii="微软雅黑" w:eastAsia="微软雅黑" w:hAnsi="微软雅黑" w:cs="微软雅黑" w:hint="eastAsia"/>
          <w:szCs w:val="21"/>
        </w:rPr>
        <w:t>)</w:t>
      </w:r>
      <w:r>
        <w:rPr>
          <w:rFonts w:ascii="微软雅黑" w:eastAsia="微软雅黑" w:hAnsi="微软雅黑" w:cs="微软雅黑" w:hint="eastAsia"/>
          <w:szCs w:val="21"/>
        </w:rPr>
        <w:t>交货日期以货物到达院方指定货运详细地址的日期为准。</w:t>
      </w:r>
    </w:p>
    <w:p w:rsidR="007034AB" w:rsidRDefault="007034AB">
      <w:pPr>
        <w:spacing w:line="360" w:lineRule="auto"/>
        <w:ind w:firstLineChars="250" w:firstLine="525"/>
        <w:rPr>
          <w:rFonts w:ascii="微软雅黑" w:eastAsia="微软雅黑" w:hAnsi="微软雅黑" w:cs="微软雅黑"/>
          <w:szCs w:val="21"/>
        </w:rPr>
      </w:pPr>
    </w:p>
    <w:p w:rsidR="007034AB" w:rsidRDefault="00987C93">
      <w:pPr>
        <w:numPr>
          <w:ilvl w:val="0"/>
          <w:numId w:val="3"/>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交货方式</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一</w:t>
      </w:r>
      <w:r>
        <w:rPr>
          <w:rFonts w:ascii="微软雅黑" w:eastAsia="微软雅黑" w:hAnsi="微软雅黑" w:cs="微软雅黑" w:hint="eastAsia"/>
          <w:szCs w:val="21"/>
        </w:rPr>
        <w:t>)</w:t>
      </w:r>
      <w:r>
        <w:rPr>
          <w:rFonts w:ascii="微软雅黑" w:eastAsia="微软雅黑" w:hAnsi="微软雅黑" w:cs="微软雅黑" w:hint="eastAsia"/>
          <w:szCs w:val="21"/>
        </w:rPr>
        <w:t>供货方应按时将货物送至院方指定货运详细地址。</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二</w:t>
      </w:r>
      <w:r>
        <w:rPr>
          <w:rFonts w:ascii="微软雅黑" w:eastAsia="微软雅黑" w:hAnsi="微软雅黑" w:cs="微软雅黑" w:hint="eastAsia"/>
          <w:szCs w:val="21"/>
        </w:rPr>
        <w:t>)</w:t>
      </w:r>
      <w:r>
        <w:rPr>
          <w:rFonts w:ascii="微软雅黑" w:eastAsia="微软雅黑" w:hAnsi="微软雅黑" w:cs="微软雅黑" w:hint="eastAsia"/>
          <w:szCs w:val="21"/>
        </w:rPr>
        <w:t>交货完成的有效证明：供货方送货人，必须随货物提交交货签收单给院方收货人，交货签收单必须有院方、供货方两方的签字方有效。</w:t>
      </w:r>
    </w:p>
    <w:p w:rsidR="007034AB" w:rsidRDefault="007034AB">
      <w:pPr>
        <w:rPr>
          <w:rFonts w:ascii="微软雅黑" w:eastAsia="微软雅黑" w:hAnsi="微软雅黑" w:cs="微软雅黑"/>
        </w:rPr>
      </w:pPr>
    </w:p>
    <w:p w:rsidR="007034AB" w:rsidRDefault="00987C93">
      <w:pPr>
        <w:numPr>
          <w:ilvl w:val="0"/>
          <w:numId w:val="3"/>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安装</w:t>
      </w:r>
      <w:r>
        <w:rPr>
          <w:rFonts w:ascii="微软雅黑" w:eastAsia="微软雅黑" w:hAnsi="微软雅黑" w:cs="微软雅黑" w:hint="eastAsia"/>
          <w:b/>
          <w:bCs/>
          <w:kern w:val="44"/>
          <w:sz w:val="32"/>
          <w:szCs w:val="32"/>
          <w:lang w:val="zh-CN"/>
        </w:rPr>
        <w:t>要求</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一</w:t>
      </w:r>
      <w:r>
        <w:rPr>
          <w:rFonts w:ascii="微软雅黑" w:eastAsia="微软雅黑" w:hAnsi="微软雅黑" w:cs="微软雅黑" w:hint="eastAsia"/>
          <w:szCs w:val="21"/>
        </w:rPr>
        <w:t>)</w:t>
      </w:r>
      <w:r>
        <w:rPr>
          <w:rFonts w:ascii="微软雅黑" w:eastAsia="微软雅黑" w:hAnsi="微软雅黑" w:cs="微软雅黑" w:hint="eastAsia"/>
          <w:szCs w:val="21"/>
        </w:rPr>
        <w:t>供货方负责合同项下设备的安装调试，并按院方要求，免费提供本项目下设备的搬迁工作。</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二</w:t>
      </w:r>
      <w:r>
        <w:rPr>
          <w:rFonts w:ascii="微软雅黑" w:eastAsia="微软雅黑" w:hAnsi="微软雅黑" w:cs="微软雅黑" w:hint="eastAsia"/>
          <w:szCs w:val="21"/>
        </w:rPr>
        <w:t>)</w:t>
      </w:r>
      <w:r>
        <w:rPr>
          <w:rFonts w:ascii="微软雅黑" w:eastAsia="微软雅黑" w:hAnsi="微软雅黑" w:cs="微软雅黑" w:hint="eastAsia"/>
          <w:szCs w:val="21"/>
        </w:rPr>
        <w:t>供货方应按院方指定的安装日期、安装要求进行安装工作。</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三</w:t>
      </w:r>
      <w:r>
        <w:rPr>
          <w:rFonts w:ascii="微软雅黑" w:eastAsia="微软雅黑" w:hAnsi="微软雅黑" w:cs="微软雅黑" w:hint="eastAsia"/>
          <w:szCs w:val="21"/>
        </w:rPr>
        <w:t>)</w:t>
      </w:r>
      <w:r>
        <w:rPr>
          <w:rFonts w:ascii="微软雅黑" w:eastAsia="微软雅黑" w:hAnsi="微软雅黑" w:cs="微软雅黑" w:hint="eastAsia"/>
          <w:szCs w:val="21"/>
        </w:rPr>
        <w:t>供货方需根据院方的详细需求，提交项目产品的安装、调试及培训实施方案，方案得到院方确认后实施，保证系</w:t>
      </w:r>
      <w:r>
        <w:rPr>
          <w:rFonts w:ascii="微软雅黑" w:eastAsia="微软雅黑" w:hAnsi="微软雅黑" w:cs="微软雅黑" w:hint="eastAsia"/>
          <w:szCs w:val="21"/>
        </w:rPr>
        <w:t>统按时、正常地投入运行。</w:t>
      </w:r>
    </w:p>
    <w:p w:rsidR="007034AB" w:rsidRDefault="007034AB">
      <w:pPr>
        <w:spacing w:line="360" w:lineRule="auto"/>
        <w:ind w:firstLineChars="250" w:firstLine="525"/>
        <w:rPr>
          <w:rFonts w:ascii="微软雅黑" w:eastAsia="微软雅黑" w:hAnsi="微软雅黑" w:cs="微软雅黑"/>
          <w:szCs w:val="21"/>
        </w:rPr>
      </w:pPr>
    </w:p>
    <w:p w:rsidR="007034AB" w:rsidRDefault="00987C93">
      <w:pPr>
        <w:numPr>
          <w:ilvl w:val="0"/>
          <w:numId w:val="3"/>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保修</w:t>
      </w:r>
      <w:r>
        <w:rPr>
          <w:rFonts w:ascii="微软雅黑" w:eastAsia="微软雅黑" w:hAnsi="微软雅黑" w:cs="微软雅黑" w:hint="eastAsia"/>
          <w:b/>
          <w:bCs/>
          <w:kern w:val="44"/>
          <w:sz w:val="32"/>
          <w:szCs w:val="32"/>
          <w:lang w:val="zh-CN"/>
        </w:rPr>
        <w:t>服务</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一</w:t>
      </w:r>
      <w:r>
        <w:rPr>
          <w:rFonts w:ascii="微软雅黑" w:eastAsia="微软雅黑" w:hAnsi="微软雅黑" w:cs="微软雅黑" w:hint="eastAsia"/>
          <w:szCs w:val="21"/>
        </w:rPr>
        <w:t>)</w:t>
      </w:r>
      <w:r>
        <w:rPr>
          <w:rFonts w:ascii="微软雅黑" w:eastAsia="微软雅黑" w:hAnsi="微软雅黑" w:cs="微软雅黑" w:hint="eastAsia"/>
          <w:szCs w:val="21"/>
        </w:rPr>
        <w:t>整机保修</w:t>
      </w:r>
      <w:r>
        <w:rPr>
          <w:rFonts w:ascii="微软雅黑" w:eastAsia="微软雅黑" w:hAnsi="微软雅黑" w:cs="微软雅黑" w:hint="eastAsia"/>
          <w:szCs w:val="21"/>
        </w:rPr>
        <w:t>：</w:t>
      </w:r>
      <w:r>
        <w:rPr>
          <w:rFonts w:ascii="微软雅黑" w:eastAsia="微软雅黑" w:hAnsi="微软雅黑" w:cs="微软雅黑" w:hint="eastAsia"/>
          <w:szCs w:val="21"/>
        </w:rPr>
        <w:t>保修期自验收合格之日起计算。</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二</w:t>
      </w:r>
      <w:r>
        <w:rPr>
          <w:rFonts w:ascii="微软雅黑" w:eastAsia="微软雅黑" w:hAnsi="微软雅黑" w:cs="微软雅黑" w:hint="eastAsia"/>
          <w:szCs w:val="21"/>
        </w:rPr>
        <w:t>)</w:t>
      </w:r>
      <w:r>
        <w:rPr>
          <w:rFonts w:ascii="微软雅黑" w:eastAsia="微软雅黑" w:hAnsi="微软雅黑" w:cs="微软雅黑" w:hint="eastAsia"/>
          <w:szCs w:val="21"/>
        </w:rPr>
        <w:t>提供</w:t>
      </w:r>
      <w:r>
        <w:rPr>
          <w:rFonts w:ascii="微软雅黑" w:eastAsia="微软雅黑" w:hAnsi="微软雅黑" w:cs="微软雅黑" w:hint="eastAsia"/>
          <w:szCs w:val="21"/>
          <w:u w:val="single"/>
        </w:rPr>
        <w:t xml:space="preserve"> 3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原</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厂家保修服务</w:t>
      </w: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年内免费维护升级软件。（未升级版本不影响使用，若有新版本更新供货方上门进行升级维护。）</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三</w:t>
      </w:r>
      <w:r>
        <w:rPr>
          <w:rFonts w:ascii="微软雅黑" w:eastAsia="微软雅黑" w:hAnsi="微软雅黑" w:cs="微软雅黑" w:hint="eastAsia"/>
          <w:szCs w:val="21"/>
        </w:rPr>
        <w:t>)</w:t>
      </w:r>
      <w:r>
        <w:rPr>
          <w:rFonts w:ascii="微软雅黑" w:eastAsia="微软雅黑" w:hAnsi="微软雅黑" w:cs="微软雅黑" w:hint="eastAsia"/>
          <w:szCs w:val="21"/>
        </w:rPr>
        <w:t>在维护期结束前，须由供货方和院方进行一次全面检查，任何缺陷必须由供货方负责修复，在修复之后，供货方应将缺陷原因、修复内容、完成修理及恢复正常的时间和日期等报告给院方，形成项目总结报告。</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四</w:t>
      </w:r>
      <w:r>
        <w:rPr>
          <w:rFonts w:ascii="微软雅黑" w:eastAsia="微软雅黑" w:hAnsi="微软雅黑" w:cs="微软雅黑" w:hint="eastAsia"/>
          <w:szCs w:val="21"/>
        </w:rPr>
        <w:t>)</w:t>
      </w:r>
      <w:r>
        <w:rPr>
          <w:rFonts w:ascii="微软雅黑" w:eastAsia="微软雅黑" w:hAnsi="微软雅黑" w:cs="微软雅黑" w:hint="eastAsia"/>
          <w:szCs w:val="21"/>
        </w:rPr>
        <w:t>超过维护期的，双方另行协商签订维护合同，信息设备（产品）的</w:t>
      </w:r>
      <w:r>
        <w:rPr>
          <w:rFonts w:ascii="微软雅黑" w:eastAsia="微软雅黑" w:hAnsi="微软雅黑" w:cs="微软雅黑" w:hint="eastAsia"/>
          <w:szCs w:val="21"/>
        </w:rPr>
        <w:t>3</w:t>
      </w:r>
      <w:r>
        <w:rPr>
          <w:rFonts w:ascii="微软雅黑" w:eastAsia="微软雅黑" w:hAnsi="微软雅黑" w:cs="微软雅黑" w:hint="eastAsia"/>
          <w:szCs w:val="21"/>
        </w:rPr>
        <w:t>年总</w:t>
      </w:r>
      <w:r>
        <w:rPr>
          <w:rFonts w:ascii="微软雅黑" w:eastAsia="微软雅黑" w:hAnsi="微软雅黑" w:cs="微软雅黑" w:hint="eastAsia"/>
          <w:szCs w:val="21"/>
        </w:rPr>
        <w:t>维护报价不超过</w:t>
      </w:r>
      <w:r>
        <w:rPr>
          <w:rFonts w:ascii="微软雅黑" w:eastAsia="微软雅黑" w:hAnsi="微软雅黑" w:cs="微软雅黑" w:hint="eastAsia"/>
          <w:szCs w:val="21"/>
        </w:rPr>
        <w:lastRenderedPageBreak/>
        <w:t>合同信息设备（产品）部分金额的</w:t>
      </w: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售后服务：并且提供</w:t>
      </w:r>
      <w:r>
        <w:rPr>
          <w:rFonts w:ascii="微软雅黑" w:eastAsia="微软雅黑" w:hAnsi="微软雅黑" w:cs="微软雅黑" w:hint="eastAsia"/>
          <w:szCs w:val="21"/>
        </w:rPr>
        <w:t>7*24</w:t>
      </w:r>
      <w:r>
        <w:rPr>
          <w:rFonts w:ascii="微软雅黑" w:eastAsia="微软雅黑" w:hAnsi="微软雅黑" w:cs="微软雅黑" w:hint="eastAsia"/>
          <w:szCs w:val="21"/>
        </w:rPr>
        <w:t>小时响应服务</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响应时间、方式：在</w:t>
      </w:r>
      <w:r>
        <w:rPr>
          <w:rFonts w:ascii="微软雅黑" w:eastAsia="微软雅黑" w:hAnsi="微软雅黑" w:cs="微软雅黑" w:hint="eastAsia"/>
          <w:szCs w:val="21"/>
        </w:rPr>
        <w:t>2</w:t>
      </w:r>
      <w:r>
        <w:rPr>
          <w:rFonts w:ascii="微软雅黑" w:eastAsia="微软雅黑" w:hAnsi="微软雅黑" w:cs="微软雅黑" w:hint="eastAsia"/>
          <w:szCs w:val="21"/>
        </w:rPr>
        <w:t>小时内响应</w:t>
      </w:r>
    </w:p>
    <w:p w:rsidR="007034AB" w:rsidRDefault="00987C93">
      <w:pPr>
        <w:numPr>
          <w:ilvl w:val="0"/>
          <w:numId w:val="3"/>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培训</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供货方应为院方进行培训，包括使用培训和维护培训。</w:t>
      </w:r>
    </w:p>
    <w:p w:rsidR="007034AB" w:rsidRDefault="00987C93">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供货方应提出详细的培训计划，提供培训教材。技术培训的内容必须覆盖产品的安装、日常操作和管理维护，以及基本的故障诊断与排错，并保证培训效果。</w:t>
      </w:r>
    </w:p>
    <w:p w:rsidR="007034AB" w:rsidRDefault="007034AB">
      <w:pPr>
        <w:spacing w:line="360" w:lineRule="auto"/>
        <w:ind w:firstLineChars="250" w:firstLine="525"/>
        <w:rPr>
          <w:rFonts w:ascii="微软雅黑" w:eastAsia="微软雅黑" w:hAnsi="微软雅黑" w:cs="微软雅黑"/>
          <w:szCs w:val="21"/>
        </w:rPr>
      </w:pPr>
    </w:p>
    <w:p w:rsidR="007034AB" w:rsidRDefault="00987C93">
      <w:pPr>
        <w:pStyle w:val="1"/>
        <w:numPr>
          <w:ilvl w:val="0"/>
          <w:numId w:val="3"/>
        </w:numPr>
        <w:spacing w:before="0" w:after="0"/>
        <w:rPr>
          <w:rFonts w:ascii="微软雅黑" w:eastAsia="微软雅黑" w:hAnsi="微软雅黑" w:cs="微软雅黑"/>
          <w:color w:val="FF0000"/>
          <w:sz w:val="32"/>
          <w:szCs w:val="32"/>
        </w:rPr>
      </w:pPr>
      <w:r>
        <w:rPr>
          <w:rFonts w:ascii="微软雅黑" w:eastAsia="微软雅黑" w:hAnsi="微软雅黑" w:cs="微软雅黑" w:hint="eastAsia"/>
          <w:sz w:val="32"/>
          <w:szCs w:val="32"/>
        </w:rPr>
        <w:t>合同款支付方式</w:t>
      </w:r>
    </w:p>
    <w:p w:rsidR="007034AB" w:rsidRDefault="00987C93">
      <w:pPr>
        <w:spacing w:line="360" w:lineRule="auto"/>
        <w:ind w:firstLineChars="300" w:firstLine="63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一</w:t>
      </w:r>
      <w:r>
        <w:rPr>
          <w:rFonts w:ascii="微软雅黑" w:eastAsia="微软雅黑" w:hAnsi="微软雅黑" w:cs="微软雅黑" w:hint="eastAsia"/>
          <w:szCs w:val="21"/>
        </w:rPr>
        <w:t>)</w:t>
      </w:r>
      <w:r>
        <w:rPr>
          <w:rFonts w:ascii="微软雅黑" w:eastAsia="微软雅黑" w:hAnsi="微软雅黑" w:cs="微软雅黑" w:hint="eastAsia"/>
          <w:szCs w:val="21"/>
        </w:rPr>
        <w:t>合同签订后，在收到供货方开具相应金额正式发票后，支付合同总金额的</w:t>
      </w:r>
      <w:r>
        <w:rPr>
          <w:rFonts w:ascii="微软雅黑" w:eastAsia="微软雅黑" w:hAnsi="微软雅黑" w:cs="微软雅黑" w:hint="eastAsia"/>
          <w:szCs w:val="21"/>
        </w:rPr>
        <w:t>30%</w:t>
      </w:r>
      <w:r>
        <w:rPr>
          <w:rFonts w:ascii="微软雅黑" w:eastAsia="微软雅黑" w:hAnsi="微软雅黑" w:cs="微软雅黑" w:hint="eastAsia"/>
          <w:szCs w:val="21"/>
        </w:rPr>
        <w:t>。</w:t>
      </w:r>
    </w:p>
    <w:p w:rsidR="007034AB" w:rsidRDefault="00987C93">
      <w:pPr>
        <w:tabs>
          <w:tab w:val="left" w:pos="780"/>
        </w:tabs>
        <w:spacing w:beforeLines="50" w:before="156" w:line="360" w:lineRule="auto"/>
        <w:ind w:firstLineChars="300" w:firstLine="630"/>
        <w:outlineLvl w:val="0"/>
        <w:rPr>
          <w:rFonts w:ascii="微软雅黑" w:eastAsia="微软雅黑" w:hAnsi="微软雅黑" w:cs="微软雅黑"/>
          <w:szCs w:val="21"/>
        </w:rPr>
      </w:pPr>
      <w:r>
        <w:rPr>
          <w:rFonts w:ascii="微软雅黑" w:eastAsia="微软雅黑" w:hAnsi="微软雅黑" w:cs="微软雅黑" w:hint="eastAsia"/>
          <w:szCs w:val="21"/>
        </w:rPr>
        <w:t>（二）合同所有设备（产品）运至院方指定货运详细地址、开箱合格运转正常，并经最终用户签字验收，且</w:t>
      </w:r>
      <w:r>
        <w:rPr>
          <w:rFonts w:ascii="微软雅黑" w:eastAsia="微软雅黑" w:hAnsi="微软雅黑" w:cs="微软雅黑" w:hint="eastAsia"/>
          <w:szCs w:val="21"/>
        </w:rPr>
        <w:t>收到供货方开具相应金额正式发票后，支付至结算审核价的</w:t>
      </w:r>
      <w:r>
        <w:rPr>
          <w:rFonts w:ascii="微软雅黑" w:eastAsia="微软雅黑" w:hAnsi="微软雅黑" w:cs="微软雅黑" w:hint="eastAsia"/>
          <w:szCs w:val="21"/>
        </w:rPr>
        <w:t>95%</w:t>
      </w:r>
      <w:r>
        <w:rPr>
          <w:rFonts w:ascii="微软雅黑" w:eastAsia="微软雅黑" w:hAnsi="微软雅黑" w:cs="微软雅黑" w:hint="eastAsia"/>
          <w:szCs w:val="21"/>
        </w:rPr>
        <w:t>。</w:t>
      </w:r>
    </w:p>
    <w:p w:rsidR="007034AB" w:rsidRDefault="00987C93">
      <w:pPr>
        <w:tabs>
          <w:tab w:val="left" w:pos="780"/>
        </w:tabs>
        <w:spacing w:beforeLines="50" w:before="156" w:line="360" w:lineRule="auto"/>
        <w:ind w:firstLineChars="300" w:firstLine="630"/>
        <w:outlineLvl w:val="0"/>
      </w:pPr>
      <w:r>
        <w:rPr>
          <w:rFonts w:ascii="微软雅黑" w:eastAsia="微软雅黑" w:hAnsi="微软雅黑" w:cs="微软雅黑" w:hint="eastAsia"/>
          <w:szCs w:val="21"/>
        </w:rPr>
        <w:t>（三）合同所有设备（产品）的保修期满后，由院方甲方对供货方在服务期内应完成任务进行确认并通过，且收到供货方开具相应金额正式发票后，向供货方支付结算审核价的</w:t>
      </w:r>
      <w:r>
        <w:rPr>
          <w:rFonts w:ascii="微软雅黑" w:eastAsia="微软雅黑" w:hAnsi="微软雅黑" w:cs="微软雅黑" w:hint="eastAsia"/>
          <w:szCs w:val="21"/>
        </w:rPr>
        <w:t>5%</w:t>
      </w:r>
      <w:r>
        <w:rPr>
          <w:rFonts w:ascii="微软雅黑" w:eastAsia="微软雅黑" w:hAnsi="微软雅黑" w:cs="微软雅黑" w:hint="eastAsia"/>
          <w:szCs w:val="21"/>
        </w:rPr>
        <w:t>。</w:t>
      </w:r>
    </w:p>
    <w:p w:rsidR="007034AB" w:rsidRDefault="007034AB">
      <w:pPr>
        <w:tabs>
          <w:tab w:val="left" w:pos="780"/>
        </w:tabs>
        <w:spacing w:beforeLines="50" w:before="156" w:line="360" w:lineRule="auto"/>
        <w:outlineLvl w:val="0"/>
        <w:rPr>
          <w:rFonts w:ascii="微软雅黑" w:eastAsia="微软雅黑" w:hAnsi="微软雅黑" w:cs="微软雅黑"/>
          <w:b/>
          <w:color w:val="FF0000"/>
          <w:sz w:val="30"/>
          <w:szCs w:val="30"/>
        </w:rPr>
      </w:pPr>
    </w:p>
    <w:sectPr w:rsidR="007034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93" w:rsidRDefault="00987C93">
      <w:r>
        <w:separator/>
      </w:r>
    </w:p>
  </w:endnote>
  <w:endnote w:type="continuationSeparator" w:id="0">
    <w:p w:rsidR="00987C93" w:rsidRDefault="0098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微软雅黑 Light">
    <w:altName w:val="Microsoft YaHei UI"/>
    <w:charset w:val="86"/>
    <w:family w:val="auto"/>
    <w:pitch w:val="default"/>
    <w:sig w:usb0="00000000"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AB" w:rsidRDefault="00987C93">
    <w:pPr>
      <w:pStyle w:val="ad"/>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E5365A">
      <w:rPr>
        <w:caps/>
        <w:noProof/>
        <w:color w:val="5B9BD5"/>
      </w:rPr>
      <w:t>1</w:t>
    </w:r>
    <w:r>
      <w:rPr>
        <w:caps/>
        <w:color w:val="5B9BD5"/>
      </w:rPr>
      <w:fldChar w:fldCharType="end"/>
    </w:r>
  </w:p>
  <w:p w:rsidR="007034AB" w:rsidRDefault="007034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93" w:rsidRDefault="00987C93">
      <w:r>
        <w:separator/>
      </w:r>
    </w:p>
  </w:footnote>
  <w:footnote w:type="continuationSeparator" w:id="0">
    <w:p w:rsidR="00987C93" w:rsidRDefault="00987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616A9125"/>
    <w:multiLevelType w:val="singleLevel"/>
    <w:tmpl w:val="616A9125"/>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303343"/>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034AB"/>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87C93"/>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365A"/>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E7554"/>
    <w:rsid w:val="00FF17FE"/>
    <w:rsid w:val="02A102CC"/>
    <w:rsid w:val="04C86106"/>
    <w:rsid w:val="05555ACE"/>
    <w:rsid w:val="05DC356F"/>
    <w:rsid w:val="07772A73"/>
    <w:rsid w:val="095E5344"/>
    <w:rsid w:val="0FDB1233"/>
    <w:rsid w:val="12A45495"/>
    <w:rsid w:val="1469269F"/>
    <w:rsid w:val="153B44F3"/>
    <w:rsid w:val="1CFC0034"/>
    <w:rsid w:val="1D580012"/>
    <w:rsid w:val="21383137"/>
    <w:rsid w:val="214C1CFB"/>
    <w:rsid w:val="239D46CA"/>
    <w:rsid w:val="23FA5D88"/>
    <w:rsid w:val="26F45411"/>
    <w:rsid w:val="28783C22"/>
    <w:rsid w:val="334361AB"/>
    <w:rsid w:val="34C97A2C"/>
    <w:rsid w:val="356B280C"/>
    <w:rsid w:val="36E16BC6"/>
    <w:rsid w:val="37D14BAC"/>
    <w:rsid w:val="37ED3C8A"/>
    <w:rsid w:val="3BB51678"/>
    <w:rsid w:val="3C5E36D1"/>
    <w:rsid w:val="3FB94FF5"/>
    <w:rsid w:val="3FD02573"/>
    <w:rsid w:val="42200080"/>
    <w:rsid w:val="43301127"/>
    <w:rsid w:val="481020D8"/>
    <w:rsid w:val="48272AF9"/>
    <w:rsid w:val="488C513A"/>
    <w:rsid w:val="51084EE8"/>
    <w:rsid w:val="546F6583"/>
    <w:rsid w:val="55505D69"/>
    <w:rsid w:val="59A8305B"/>
    <w:rsid w:val="5D0E6F09"/>
    <w:rsid w:val="60A84EA2"/>
    <w:rsid w:val="60B24E81"/>
    <w:rsid w:val="60EA0710"/>
    <w:rsid w:val="65804CB7"/>
    <w:rsid w:val="68690428"/>
    <w:rsid w:val="68D83812"/>
    <w:rsid w:val="69621952"/>
    <w:rsid w:val="6AFA5E18"/>
    <w:rsid w:val="6CCB7647"/>
    <w:rsid w:val="6DCD07BE"/>
    <w:rsid w:val="70992B9C"/>
    <w:rsid w:val="771F1E77"/>
    <w:rsid w:val="77A172FF"/>
    <w:rsid w:val="78781364"/>
    <w:rsid w:val="7A3060B8"/>
    <w:rsid w:val="7B4707E1"/>
    <w:rsid w:val="7D89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DE2924-5528-4D0E-BA46-A7A716C5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endnote reference" w:qFormat="1"/>
    <w:lsdException w:name="endnote text" w:qFormat="1"/>
    <w:lsdException w:name="Title" w:qFormat="1"/>
    <w:lsdException w:name="Default Paragraph Font" w:semiHidden="1" w:qFormat="1"/>
    <w:lsdException w:name="Subtitle" w:qFormat="1"/>
    <w:lsdException w:name="Body Text Indent 2" w:semiHidden="1"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0">
    <w:name w:val="heading 2"/>
    <w:basedOn w:val="a1"/>
    <w:next w:val="a1"/>
    <w:link w:val="21"/>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Indent 2"/>
    <w:basedOn w:val="a1"/>
    <w:uiPriority w:val="99"/>
    <w:semiHidden/>
    <w:unhideWhenUsed/>
    <w:qFormat/>
    <w:pPr>
      <w:spacing w:after="120" w:line="480" w:lineRule="auto"/>
      <w:ind w:leftChars="200" w:left="420"/>
    </w:p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endnote text"/>
    <w:basedOn w:val="a1"/>
    <w:qFormat/>
    <w:pPr>
      <w:snapToGrid w:val="0"/>
      <w:jc w:val="left"/>
    </w:pPr>
  </w:style>
  <w:style w:type="paragraph" w:styleId="ab">
    <w:name w:val="Balloon Text"/>
    <w:basedOn w:val="a1"/>
    <w:link w:val="ac"/>
    <w:qFormat/>
    <w:rPr>
      <w:sz w:val="18"/>
      <w:szCs w:val="18"/>
      <w:lang w:val="zh-CN"/>
    </w:rPr>
  </w:style>
  <w:style w:type="paragraph" w:styleId="ad">
    <w:name w:val="footer"/>
    <w:basedOn w:val="a1"/>
    <w:link w:val="12"/>
    <w:qFormat/>
    <w:pPr>
      <w:tabs>
        <w:tab w:val="center" w:pos="4153"/>
        <w:tab w:val="right" w:pos="8306"/>
      </w:tabs>
      <w:snapToGrid w:val="0"/>
      <w:jc w:val="left"/>
    </w:pPr>
    <w:rPr>
      <w:sz w:val="18"/>
      <w:szCs w:val="18"/>
      <w:lang w:val="zh-CN"/>
    </w:rPr>
  </w:style>
  <w:style w:type="paragraph" w:styleId="ae">
    <w:name w:val="header"/>
    <w:basedOn w:val="a1"/>
    <w:link w:val="af"/>
    <w:qFormat/>
    <w:pPr>
      <w:pBdr>
        <w:bottom w:val="single" w:sz="6" w:space="1" w:color="auto"/>
      </w:pBdr>
      <w:tabs>
        <w:tab w:val="center" w:pos="4153"/>
        <w:tab w:val="right" w:pos="8306"/>
      </w:tabs>
      <w:snapToGrid w:val="0"/>
      <w:jc w:val="center"/>
    </w:pPr>
    <w:rPr>
      <w:sz w:val="18"/>
      <w:szCs w:val="18"/>
      <w:lang w:val="zh-CN"/>
    </w:rPr>
  </w:style>
  <w:style w:type="paragraph" w:styleId="af0">
    <w:name w:val="Subtitle"/>
    <w:basedOn w:val="a1"/>
    <w:next w:val="a1"/>
    <w:link w:val="af1"/>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2">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3">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ndnote reference"/>
    <w:basedOn w:val="a2"/>
    <w:qFormat/>
    <w:rPr>
      <w:vertAlign w:val="superscript"/>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paragraph" w:customStyle="1" w:styleId="208521">
    <w:name w:val="样式 样式 左侧:  2 字符 + 左侧:  0.85 厘米 首行缩进:  2 字符1"/>
    <w:basedOn w:val="a1"/>
    <w:qFormat/>
    <w:pPr>
      <w:ind w:left="482" w:firstLineChars="200" w:firstLine="200"/>
    </w:pPr>
    <w:rPr>
      <w:rFonts w:cs="宋体"/>
      <w:szCs w:val="20"/>
    </w:rPr>
  </w:style>
  <w:style w:type="character" w:customStyle="1" w:styleId="10">
    <w:name w:val="标题 1 字符"/>
    <w:link w:val="1"/>
    <w:qFormat/>
    <w:rPr>
      <w:b/>
      <w:bCs/>
      <w:kern w:val="44"/>
      <w:sz w:val="44"/>
      <w:szCs w:val="44"/>
      <w:lang w:val="zh-CN" w:eastAsia="zh-CN"/>
    </w:rPr>
  </w:style>
  <w:style w:type="character" w:customStyle="1" w:styleId="21">
    <w:name w:val="标题 2 字符"/>
    <w:link w:val="20"/>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c">
    <w:name w:val="批注框文本 字符"/>
    <w:link w:val="ab"/>
    <w:qFormat/>
    <w:rPr>
      <w:kern w:val="2"/>
      <w:sz w:val="18"/>
      <w:szCs w:val="18"/>
    </w:rPr>
  </w:style>
  <w:style w:type="character" w:customStyle="1" w:styleId="12">
    <w:name w:val="页脚 字符1"/>
    <w:link w:val="ad"/>
    <w:qFormat/>
    <w:rPr>
      <w:kern w:val="2"/>
      <w:sz w:val="18"/>
      <w:szCs w:val="18"/>
    </w:rPr>
  </w:style>
  <w:style w:type="character" w:customStyle="1" w:styleId="af">
    <w:name w:val="页眉 字符"/>
    <w:link w:val="ae"/>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2"/>
    <w:qFormat/>
    <w:rPr>
      <w:kern w:val="2"/>
      <w:sz w:val="24"/>
      <w:szCs w:val="24"/>
    </w:rPr>
  </w:style>
  <w:style w:type="paragraph" w:customStyle="1" w:styleId="22">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出段落 字符"/>
    <w:link w:val="afb"/>
    <w:uiPriority w:val="34"/>
    <w:qFormat/>
    <w:rPr>
      <w:rFonts w:ascii="等线" w:eastAsia="等线" w:hAnsi="等线"/>
      <w:kern w:val="2"/>
      <w:sz w:val="21"/>
      <w:szCs w:val="22"/>
    </w:rPr>
  </w:style>
  <w:style w:type="paragraph" w:styleId="afb">
    <w:name w:val="List Paragraph"/>
    <w:basedOn w:val="a1"/>
    <w:link w:val="afa"/>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0"/>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b"/>
    <w:uiPriority w:val="34"/>
    <w:qFormat/>
    <w:pPr>
      <w:widowControl/>
      <w:spacing w:line="240" w:lineRule="atLeast"/>
      <w:ind w:firstLineChars="200" w:firstLine="420"/>
    </w:pPr>
    <w:rPr>
      <w:rFonts w:ascii="Arial" w:hAnsi="Arial"/>
      <w:kern w:val="0"/>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c">
    <w:name w:val="批注文字 字符"/>
    <w:uiPriority w:val="99"/>
    <w:qFormat/>
    <w:rPr>
      <w:kern w:val="2"/>
      <w:sz w:val="21"/>
      <w:szCs w:val="24"/>
    </w:rPr>
  </w:style>
  <w:style w:type="character" w:customStyle="1" w:styleId="af1">
    <w:name w:val="副标题 字符"/>
    <w:link w:val="af0"/>
    <w:qFormat/>
    <w:rPr>
      <w:rFonts w:ascii="Cambria" w:hAnsi="Cambria"/>
      <w:b/>
      <w:bCs/>
      <w:kern w:val="28"/>
      <w:sz w:val="32"/>
      <w:szCs w:val="32"/>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595</Words>
  <Characters>3393</Characters>
  <Application>Microsoft Office Word</Application>
  <DocSecurity>0</DocSecurity>
  <Lines>28</Lines>
  <Paragraphs>7</Paragraphs>
  <ScaleCrop>false</ScaleCrop>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2022-01-06T02:43:00Z</dcterms:created>
  <dcterms:modified xsi:type="dcterms:W3CDTF">2023-04-11T14:58:00Z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839C77071AB74969BC82309028083D3F_13</vt:lpwstr>
  </property>
</Properties>
</file>