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0" w:leftChars="-67" w:hanging="161" w:hangingChars="50"/>
        <w:jc w:val="center"/>
        <w:rPr>
          <w:b/>
          <w:sz w:val="32"/>
          <w:szCs w:val="32"/>
        </w:rPr>
      </w:pPr>
      <w:r>
        <w:rPr>
          <w:rFonts w:hint="eastAsia"/>
          <w:b/>
          <w:sz w:val="32"/>
          <w:szCs w:val="32"/>
        </w:rPr>
        <w:t>基础架构信息设备维保项目（</w:t>
      </w:r>
      <w:r>
        <w:rPr>
          <w:b/>
          <w:sz w:val="32"/>
          <w:szCs w:val="32"/>
        </w:rPr>
        <w:t>2023</w:t>
      </w:r>
      <w:r>
        <w:rPr>
          <w:rFonts w:hint="eastAsia"/>
          <w:b/>
          <w:sz w:val="32"/>
          <w:szCs w:val="32"/>
        </w:rPr>
        <w:t>-2025</w:t>
      </w:r>
      <w:r>
        <w:rPr>
          <w:b/>
          <w:sz w:val="32"/>
          <w:szCs w:val="32"/>
        </w:rPr>
        <w:t>年）需求</w:t>
      </w:r>
      <w:r>
        <w:rPr>
          <w:rFonts w:hint="eastAsia"/>
          <w:b/>
          <w:sz w:val="32"/>
          <w:szCs w:val="32"/>
        </w:rPr>
        <w:t>书</w:t>
      </w:r>
    </w:p>
    <w:p>
      <w:pPr>
        <w:spacing w:line="360" w:lineRule="auto"/>
        <w:ind w:left="20" w:leftChars="-67" w:hanging="161" w:hangingChars="50"/>
        <w:jc w:val="center"/>
        <w:rPr>
          <w:b/>
          <w:sz w:val="32"/>
          <w:szCs w:val="32"/>
        </w:rPr>
      </w:pPr>
    </w:p>
    <w:p>
      <w:pPr>
        <w:pStyle w:val="3"/>
      </w:pPr>
      <w:r>
        <w:rPr>
          <w:rFonts w:hint="eastAsia"/>
        </w:rPr>
        <w:t>一、服务采购内容</w:t>
      </w:r>
    </w:p>
    <w:tbl>
      <w:tblPr>
        <w:tblStyle w:val="34"/>
        <w:tblpPr w:leftFromText="180" w:rightFromText="180" w:vertAnchor="text" w:horzAnchor="page" w:tblpX="1962" w:tblpY="20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370"/>
        <w:gridCol w:w="1418"/>
        <w:gridCol w:w="3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1140" w:type="dxa"/>
            <w:vAlign w:val="center"/>
          </w:tcPr>
          <w:p>
            <w:pPr>
              <w:spacing w:line="360" w:lineRule="auto"/>
              <w:jc w:val="center"/>
              <w:rPr>
                <w:b/>
              </w:rPr>
            </w:pPr>
            <w:r>
              <w:rPr>
                <w:rFonts w:hint="eastAsia"/>
                <w:b/>
              </w:rPr>
              <w:t>序号</w:t>
            </w:r>
          </w:p>
        </w:tc>
        <w:tc>
          <w:tcPr>
            <w:tcW w:w="2370" w:type="dxa"/>
            <w:vAlign w:val="center"/>
          </w:tcPr>
          <w:p>
            <w:pPr>
              <w:spacing w:line="360" w:lineRule="auto"/>
              <w:jc w:val="center"/>
              <w:rPr>
                <w:b/>
              </w:rPr>
            </w:pPr>
            <w:r>
              <w:rPr>
                <w:rFonts w:hint="eastAsia"/>
                <w:b/>
              </w:rPr>
              <w:t>名称</w:t>
            </w:r>
          </w:p>
        </w:tc>
        <w:tc>
          <w:tcPr>
            <w:tcW w:w="1418" w:type="dxa"/>
            <w:vAlign w:val="center"/>
          </w:tcPr>
          <w:p>
            <w:pPr>
              <w:spacing w:line="360" w:lineRule="auto"/>
              <w:jc w:val="center"/>
              <w:rPr>
                <w:b/>
              </w:rPr>
            </w:pPr>
            <w:r>
              <w:rPr>
                <w:rFonts w:hint="eastAsia"/>
                <w:b/>
                <w:bCs/>
              </w:rPr>
              <w:t>服务期限</w:t>
            </w:r>
          </w:p>
        </w:tc>
        <w:tc>
          <w:tcPr>
            <w:tcW w:w="3856" w:type="dxa"/>
          </w:tcPr>
          <w:p>
            <w:pPr>
              <w:spacing w:line="360" w:lineRule="auto"/>
              <w:jc w:val="center"/>
              <w:rPr>
                <w:b/>
                <w:bCs/>
              </w:rPr>
            </w:pPr>
            <w:r>
              <w:rPr>
                <w:rFonts w:hint="eastAsia"/>
                <w:b/>
                <w:bCs/>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1140" w:type="dxa"/>
            <w:vAlign w:val="center"/>
          </w:tcPr>
          <w:p>
            <w:pPr>
              <w:spacing w:line="360" w:lineRule="auto"/>
              <w:jc w:val="center"/>
            </w:pPr>
            <w:r>
              <w:rPr>
                <w:rFonts w:hint="eastAsia"/>
              </w:rPr>
              <w:t>1</w:t>
            </w:r>
          </w:p>
        </w:tc>
        <w:tc>
          <w:tcPr>
            <w:tcW w:w="2370" w:type="dxa"/>
            <w:vAlign w:val="center"/>
          </w:tcPr>
          <w:p>
            <w:pPr>
              <w:spacing w:line="360" w:lineRule="auto"/>
            </w:pPr>
            <w:r>
              <w:rPr>
                <w:rFonts w:hint="eastAsia"/>
              </w:rPr>
              <w:t>硬件设备维保</w:t>
            </w:r>
          </w:p>
        </w:tc>
        <w:tc>
          <w:tcPr>
            <w:tcW w:w="1418" w:type="dxa"/>
            <w:vAlign w:val="center"/>
          </w:tcPr>
          <w:p>
            <w:pPr>
              <w:spacing w:line="360" w:lineRule="auto"/>
              <w:jc w:val="center"/>
            </w:pPr>
            <w:r>
              <w:t>2</w:t>
            </w:r>
            <w:r>
              <w:rPr>
                <w:rFonts w:hint="eastAsia"/>
              </w:rPr>
              <w:t>年</w:t>
            </w:r>
          </w:p>
        </w:tc>
        <w:tc>
          <w:tcPr>
            <w:tcW w:w="3856" w:type="dxa"/>
          </w:tcPr>
          <w:p>
            <w:pPr>
              <w:spacing w:line="360" w:lineRule="auto"/>
              <w:jc w:val="center"/>
            </w:pPr>
            <w:r>
              <w:t>2023年11月5日至2025年11月4日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1140" w:type="dxa"/>
            <w:vAlign w:val="center"/>
          </w:tcPr>
          <w:p>
            <w:pPr>
              <w:spacing w:line="360" w:lineRule="auto"/>
              <w:jc w:val="center"/>
            </w:pPr>
            <w:r>
              <w:t>2</w:t>
            </w:r>
          </w:p>
        </w:tc>
        <w:tc>
          <w:tcPr>
            <w:tcW w:w="2370" w:type="dxa"/>
            <w:vAlign w:val="center"/>
          </w:tcPr>
          <w:p>
            <w:pPr>
              <w:spacing w:line="360" w:lineRule="auto"/>
            </w:pPr>
            <w:r>
              <w:rPr>
                <w:rFonts w:hint="eastAsia"/>
              </w:rPr>
              <w:t>数据库维护服务</w:t>
            </w:r>
          </w:p>
        </w:tc>
        <w:tc>
          <w:tcPr>
            <w:tcW w:w="1418" w:type="dxa"/>
            <w:vAlign w:val="center"/>
          </w:tcPr>
          <w:p>
            <w:pPr>
              <w:spacing w:line="360" w:lineRule="auto"/>
              <w:jc w:val="center"/>
            </w:pPr>
            <w:r>
              <w:t>2</w:t>
            </w:r>
            <w:r>
              <w:rPr>
                <w:rFonts w:hint="eastAsia"/>
              </w:rPr>
              <w:t>年</w:t>
            </w:r>
          </w:p>
        </w:tc>
        <w:tc>
          <w:tcPr>
            <w:tcW w:w="3856" w:type="dxa"/>
          </w:tcPr>
          <w:p>
            <w:pPr>
              <w:spacing w:line="360" w:lineRule="auto"/>
              <w:jc w:val="center"/>
            </w:pPr>
            <w:r>
              <w:t>2023年11月5日至2025年11月4日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1140" w:type="dxa"/>
            <w:vAlign w:val="center"/>
          </w:tcPr>
          <w:p>
            <w:pPr>
              <w:spacing w:line="360" w:lineRule="auto"/>
              <w:jc w:val="center"/>
            </w:pPr>
            <w:r>
              <w:t>3</w:t>
            </w:r>
          </w:p>
        </w:tc>
        <w:tc>
          <w:tcPr>
            <w:tcW w:w="2370" w:type="dxa"/>
            <w:vAlign w:val="center"/>
          </w:tcPr>
          <w:p>
            <w:pPr>
              <w:spacing w:line="360" w:lineRule="auto"/>
            </w:pPr>
            <w:r>
              <w:rPr>
                <w:rFonts w:hint="eastAsia"/>
              </w:rPr>
              <w:t>虚拟化平台维护服务</w:t>
            </w:r>
          </w:p>
        </w:tc>
        <w:tc>
          <w:tcPr>
            <w:tcW w:w="1418" w:type="dxa"/>
            <w:vAlign w:val="center"/>
          </w:tcPr>
          <w:p>
            <w:pPr>
              <w:spacing w:line="360" w:lineRule="auto"/>
              <w:jc w:val="center"/>
            </w:pPr>
            <w:r>
              <w:t>2</w:t>
            </w:r>
            <w:r>
              <w:rPr>
                <w:rFonts w:hint="eastAsia"/>
              </w:rPr>
              <w:t>年</w:t>
            </w:r>
          </w:p>
        </w:tc>
        <w:tc>
          <w:tcPr>
            <w:tcW w:w="3856" w:type="dxa"/>
          </w:tcPr>
          <w:p>
            <w:pPr>
              <w:spacing w:line="360" w:lineRule="auto"/>
              <w:jc w:val="center"/>
            </w:pPr>
            <w:r>
              <w:t>2023年11月5日至2025年11月4日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1140" w:type="dxa"/>
            <w:vAlign w:val="center"/>
          </w:tcPr>
          <w:p>
            <w:pPr>
              <w:spacing w:line="360" w:lineRule="auto"/>
              <w:jc w:val="center"/>
            </w:pPr>
            <w:r>
              <w:t>4</w:t>
            </w:r>
          </w:p>
        </w:tc>
        <w:tc>
          <w:tcPr>
            <w:tcW w:w="2370" w:type="dxa"/>
            <w:vAlign w:val="center"/>
          </w:tcPr>
          <w:p>
            <w:pPr>
              <w:spacing w:line="360" w:lineRule="auto"/>
            </w:pPr>
            <w:r>
              <w:rPr>
                <w:rFonts w:hint="eastAsia"/>
              </w:rPr>
              <w:t>网络运维服务</w:t>
            </w:r>
          </w:p>
        </w:tc>
        <w:tc>
          <w:tcPr>
            <w:tcW w:w="1418" w:type="dxa"/>
            <w:vAlign w:val="center"/>
          </w:tcPr>
          <w:p>
            <w:pPr>
              <w:spacing w:line="360" w:lineRule="auto"/>
              <w:jc w:val="center"/>
            </w:pPr>
            <w:r>
              <w:t>2</w:t>
            </w:r>
            <w:r>
              <w:rPr>
                <w:rFonts w:hint="eastAsia"/>
              </w:rPr>
              <w:t>年</w:t>
            </w:r>
          </w:p>
        </w:tc>
        <w:tc>
          <w:tcPr>
            <w:tcW w:w="3856" w:type="dxa"/>
          </w:tcPr>
          <w:p>
            <w:pPr>
              <w:spacing w:line="360" w:lineRule="auto"/>
              <w:jc w:val="center"/>
            </w:pPr>
            <w:r>
              <w:t>2023年11月5日至2025年11月4日</w:t>
            </w:r>
          </w:p>
        </w:tc>
      </w:tr>
    </w:tbl>
    <w:p>
      <w:pPr>
        <w:pStyle w:val="4"/>
        <w:rPr>
          <w:rFonts w:ascii="宋体" w:hAnsi="宋体"/>
        </w:rPr>
      </w:pPr>
    </w:p>
    <w:p>
      <w:pPr>
        <w:pStyle w:val="3"/>
        <w:rPr>
          <w:bCs w:val="0"/>
        </w:rPr>
      </w:pPr>
      <w:r>
        <w:rPr>
          <w:rFonts w:hint="eastAsia"/>
        </w:rPr>
        <w:t xml:space="preserve">二、运维服务内容与服务要求 </w:t>
      </w:r>
    </w:p>
    <w:p>
      <w:pPr>
        <w:pStyle w:val="5"/>
      </w:pPr>
      <w:r>
        <w:rPr>
          <w:rFonts w:hint="eastAsia"/>
        </w:rPr>
        <w:t>2</w:t>
      </w:r>
      <w:r>
        <w:t xml:space="preserve">.1 </w:t>
      </w:r>
      <w:r>
        <w:rPr>
          <w:rFonts w:hint="eastAsia"/>
        </w:rPr>
        <w:t>硬件设备维保服务</w:t>
      </w:r>
    </w:p>
    <w:p>
      <w:pPr>
        <w:pStyle w:val="4"/>
        <w:spacing w:line="360" w:lineRule="auto"/>
        <w:rPr>
          <w:rFonts w:ascii="宋体" w:hAnsi="宋体"/>
          <w:sz w:val="21"/>
          <w:szCs w:val="21"/>
        </w:rPr>
      </w:pPr>
      <w:r>
        <w:rPr>
          <w:rFonts w:hint="eastAsia" w:ascii="宋体" w:hAnsi="宋体"/>
          <w:sz w:val="21"/>
          <w:szCs w:val="21"/>
        </w:rPr>
        <w:t>设备类型包括：服务器、存储、小型机、负载均衡等。</w:t>
      </w:r>
    </w:p>
    <w:p>
      <w:pPr>
        <w:pStyle w:val="6"/>
        <w:rPr>
          <w:rFonts w:hAnsi="宋体"/>
        </w:rPr>
      </w:pPr>
      <w:r>
        <w:rPr>
          <w:rFonts w:hint="eastAsia" w:hAnsi="宋体"/>
        </w:rPr>
        <w:t>2</w:t>
      </w:r>
      <w:r>
        <w:rPr>
          <w:rFonts w:hAnsi="宋体"/>
        </w:rPr>
        <w:t xml:space="preserve">.1.1 </w:t>
      </w:r>
      <w:r>
        <w:rPr>
          <w:rFonts w:hint="eastAsia" w:hAnsi="宋体"/>
        </w:rPr>
        <w:t>设备清单</w:t>
      </w:r>
    </w:p>
    <w:p>
      <w:pPr>
        <w:pStyle w:val="7"/>
      </w:pPr>
      <w:r>
        <w:rPr>
          <w:rFonts w:hint="eastAsia"/>
        </w:rPr>
        <w:t>2</w:t>
      </w:r>
      <w:r>
        <w:t xml:space="preserve">.1.1.1 </w:t>
      </w:r>
      <w:r>
        <w:rPr>
          <w:rFonts w:hint="eastAsia"/>
        </w:rPr>
        <w:t>免费维保期已过期的设备清单（下面简称</w:t>
      </w:r>
      <w:r>
        <w:t>“过保”</w:t>
      </w:r>
      <w:r>
        <w:rPr>
          <w:rFonts w:hint="eastAsia"/>
        </w:rPr>
        <w:t>）设备清单</w:t>
      </w:r>
    </w:p>
    <w:tbl>
      <w:tblPr>
        <w:tblStyle w:val="34"/>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041"/>
        <w:gridCol w:w="1140"/>
        <w:gridCol w:w="1969"/>
        <w:gridCol w:w="1040"/>
        <w:gridCol w:w="104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blHeader/>
        </w:trPr>
        <w:tc>
          <w:tcPr>
            <w:tcW w:w="1041" w:type="dxa"/>
            <w:shd w:val="clear" w:color="auto" w:fill="auto"/>
            <w:vAlign w:val="center"/>
          </w:tcPr>
          <w:p>
            <w:pPr>
              <w:widowControl/>
              <w:jc w:val="center"/>
              <w:rPr>
                <w:b/>
                <w:bCs/>
                <w:color w:val="000000"/>
                <w:kern w:val="0"/>
              </w:rPr>
            </w:pPr>
            <w:r>
              <w:rPr>
                <w:rFonts w:hint="eastAsia"/>
                <w:b/>
                <w:bCs/>
                <w:color w:val="000000"/>
                <w:kern w:val="0"/>
              </w:rPr>
              <w:t>序号</w:t>
            </w:r>
          </w:p>
        </w:tc>
        <w:tc>
          <w:tcPr>
            <w:tcW w:w="1041" w:type="dxa"/>
            <w:shd w:val="clear" w:color="auto" w:fill="auto"/>
            <w:vAlign w:val="center"/>
          </w:tcPr>
          <w:p>
            <w:pPr>
              <w:widowControl/>
              <w:jc w:val="center"/>
              <w:rPr>
                <w:b/>
                <w:bCs/>
                <w:color w:val="000000"/>
                <w:kern w:val="0"/>
              </w:rPr>
            </w:pPr>
            <w:r>
              <w:rPr>
                <w:rFonts w:hint="eastAsia"/>
                <w:b/>
                <w:bCs/>
                <w:color w:val="000000"/>
                <w:kern w:val="0"/>
              </w:rPr>
              <w:t>设备类型</w:t>
            </w:r>
          </w:p>
        </w:tc>
        <w:tc>
          <w:tcPr>
            <w:tcW w:w="1140" w:type="dxa"/>
            <w:shd w:val="clear" w:color="auto" w:fill="auto"/>
            <w:vAlign w:val="center"/>
          </w:tcPr>
          <w:p>
            <w:pPr>
              <w:widowControl/>
              <w:jc w:val="center"/>
              <w:rPr>
                <w:b/>
                <w:bCs/>
                <w:color w:val="000000"/>
                <w:kern w:val="0"/>
              </w:rPr>
            </w:pPr>
            <w:r>
              <w:rPr>
                <w:rFonts w:hint="eastAsia"/>
                <w:b/>
                <w:bCs/>
                <w:color w:val="000000"/>
                <w:kern w:val="0"/>
              </w:rPr>
              <w:t>品牌</w:t>
            </w:r>
          </w:p>
        </w:tc>
        <w:tc>
          <w:tcPr>
            <w:tcW w:w="1969" w:type="dxa"/>
            <w:shd w:val="clear" w:color="auto" w:fill="auto"/>
            <w:vAlign w:val="center"/>
          </w:tcPr>
          <w:p>
            <w:pPr>
              <w:widowControl/>
              <w:jc w:val="center"/>
              <w:rPr>
                <w:b/>
                <w:bCs/>
                <w:color w:val="000000"/>
                <w:kern w:val="0"/>
              </w:rPr>
            </w:pPr>
            <w:r>
              <w:rPr>
                <w:rFonts w:hint="eastAsia"/>
                <w:b/>
                <w:bCs/>
                <w:color w:val="000000"/>
                <w:kern w:val="0"/>
              </w:rPr>
              <w:t>型号</w:t>
            </w:r>
          </w:p>
        </w:tc>
        <w:tc>
          <w:tcPr>
            <w:tcW w:w="1040" w:type="dxa"/>
            <w:shd w:val="clear" w:color="auto" w:fill="auto"/>
            <w:vAlign w:val="center"/>
          </w:tcPr>
          <w:p>
            <w:pPr>
              <w:widowControl/>
              <w:jc w:val="center"/>
              <w:rPr>
                <w:b/>
                <w:bCs/>
                <w:color w:val="000000"/>
                <w:kern w:val="0"/>
              </w:rPr>
            </w:pPr>
            <w:r>
              <w:rPr>
                <w:rFonts w:hint="eastAsia"/>
                <w:b/>
                <w:bCs/>
                <w:color w:val="000000"/>
                <w:kern w:val="0"/>
              </w:rPr>
              <w:t>数量</w:t>
            </w:r>
          </w:p>
        </w:tc>
        <w:tc>
          <w:tcPr>
            <w:tcW w:w="1040" w:type="dxa"/>
            <w:shd w:val="clear" w:color="auto" w:fill="auto"/>
            <w:vAlign w:val="center"/>
          </w:tcPr>
          <w:p>
            <w:pPr>
              <w:widowControl/>
              <w:jc w:val="center"/>
              <w:rPr>
                <w:b/>
                <w:bCs/>
                <w:color w:val="000000"/>
                <w:kern w:val="0"/>
              </w:rPr>
            </w:pPr>
            <w:r>
              <w:rPr>
                <w:rFonts w:hint="eastAsia"/>
                <w:b/>
                <w:bCs/>
                <w:color w:val="000000"/>
                <w:kern w:val="0"/>
              </w:rPr>
              <w:t>单位</w:t>
            </w:r>
          </w:p>
        </w:tc>
        <w:tc>
          <w:tcPr>
            <w:tcW w:w="1040" w:type="dxa"/>
            <w:shd w:val="clear" w:color="auto" w:fill="auto"/>
            <w:vAlign w:val="center"/>
          </w:tcPr>
          <w:p>
            <w:pPr>
              <w:widowControl/>
              <w:jc w:val="center"/>
              <w:rPr>
                <w:b/>
                <w:bCs/>
                <w:color w:val="000000"/>
                <w:kern w:val="0"/>
              </w:rPr>
            </w:pPr>
            <w:r>
              <w:rPr>
                <w:rFonts w:hint="eastAsia"/>
                <w:b/>
                <w:bCs/>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1</w:t>
            </w:r>
          </w:p>
        </w:tc>
        <w:tc>
          <w:tcPr>
            <w:tcW w:w="1041" w:type="dxa"/>
            <w:shd w:val="clear" w:color="auto" w:fill="auto"/>
            <w:vAlign w:val="center"/>
          </w:tcPr>
          <w:p>
            <w:pPr>
              <w:widowControl/>
              <w:jc w:val="center"/>
              <w:rPr>
                <w:color w:val="000000"/>
                <w:kern w:val="0"/>
              </w:rPr>
            </w:pPr>
            <w:r>
              <w:rPr>
                <w:rFonts w:hint="eastAsia"/>
                <w:color w:val="000000"/>
                <w:kern w:val="0"/>
              </w:rPr>
              <w:t>负载均衡</w:t>
            </w:r>
          </w:p>
        </w:tc>
        <w:tc>
          <w:tcPr>
            <w:tcW w:w="1140" w:type="dxa"/>
            <w:shd w:val="clear" w:color="auto" w:fill="auto"/>
            <w:vAlign w:val="center"/>
          </w:tcPr>
          <w:p>
            <w:pPr>
              <w:widowControl/>
              <w:jc w:val="center"/>
              <w:rPr>
                <w:color w:val="000000"/>
                <w:kern w:val="0"/>
              </w:rPr>
            </w:pPr>
            <w:r>
              <w:rPr>
                <w:rFonts w:hint="eastAsia"/>
                <w:color w:val="000000"/>
                <w:kern w:val="0"/>
              </w:rPr>
              <w:t>F5</w:t>
            </w:r>
          </w:p>
        </w:tc>
        <w:tc>
          <w:tcPr>
            <w:tcW w:w="1969" w:type="dxa"/>
            <w:shd w:val="clear" w:color="auto" w:fill="auto"/>
            <w:vAlign w:val="center"/>
          </w:tcPr>
          <w:p>
            <w:pPr>
              <w:widowControl/>
              <w:jc w:val="center"/>
              <w:rPr>
                <w:color w:val="000000"/>
                <w:kern w:val="0"/>
              </w:rPr>
            </w:pPr>
            <w:r>
              <w:rPr>
                <w:rFonts w:hint="eastAsia"/>
                <w:color w:val="000000"/>
                <w:kern w:val="0"/>
              </w:rPr>
              <w:t>BIG-IP 4000</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2</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2650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3</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联想</w:t>
            </w:r>
          </w:p>
        </w:tc>
        <w:tc>
          <w:tcPr>
            <w:tcW w:w="1969" w:type="dxa"/>
            <w:shd w:val="clear" w:color="auto" w:fill="auto"/>
            <w:vAlign w:val="center"/>
          </w:tcPr>
          <w:p>
            <w:pPr>
              <w:widowControl/>
              <w:jc w:val="center"/>
              <w:rPr>
                <w:color w:val="000000"/>
                <w:kern w:val="0"/>
              </w:rPr>
            </w:pPr>
            <w:r>
              <w:rPr>
                <w:rFonts w:hint="eastAsia"/>
                <w:color w:val="000000"/>
                <w:kern w:val="0"/>
              </w:rPr>
              <w:t>System x 3650M5</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4</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DL380 G10</w:t>
            </w:r>
          </w:p>
        </w:tc>
        <w:tc>
          <w:tcPr>
            <w:tcW w:w="1040" w:type="dxa"/>
            <w:shd w:val="clear" w:color="auto" w:fill="auto"/>
            <w:vAlign w:val="center"/>
          </w:tcPr>
          <w:p>
            <w:pPr>
              <w:widowControl/>
              <w:jc w:val="center"/>
              <w:rPr>
                <w:color w:val="000000"/>
                <w:kern w:val="0"/>
              </w:rPr>
            </w:pPr>
            <w:r>
              <w:rPr>
                <w:rFonts w:hint="eastAsia"/>
                <w:color w:val="000000"/>
                <w:kern w:val="0"/>
              </w:rPr>
              <w:t>14</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5</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DL380 G9</w:t>
            </w:r>
          </w:p>
        </w:tc>
        <w:tc>
          <w:tcPr>
            <w:tcW w:w="1040" w:type="dxa"/>
            <w:shd w:val="clear" w:color="auto" w:fill="auto"/>
            <w:vAlign w:val="center"/>
          </w:tcPr>
          <w:p>
            <w:pPr>
              <w:widowControl/>
              <w:jc w:val="center"/>
              <w:rPr>
                <w:color w:val="000000"/>
                <w:kern w:val="0"/>
              </w:rPr>
            </w:pPr>
            <w:r>
              <w:rPr>
                <w:rFonts w:hint="eastAsia"/>
                <w:color w:val="000000"/>
                <w:kern w:val="0"/>
              </w:rPr>
              <w:t>21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6</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DL388 G8</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7</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DL388 G9</w:t>
            </w:r>
          </w:p>
        </w:tc>
        <w:tc>
          <w:tcPr>
            <w:tcW w:w="1040" w:type="dxa"/>
            <w:shd w:val="clear" w:color="auto" w:fill="auto"/>
            <w:vAlign w:val="center"/>
          </w:tcPr>
          <w:p>
            <w:pPr>
              <w:widowControl/>
              <w:jc w:val="center"/>
              <w:rPr>
                <w:color w:val="000000"/>
                <w:kern w:val="0"/>
              </w:rPr>
            </w:pPr>
            <w:r>
              <w:rPr>
                <w:rFonts w:hint="eastAsia"/>
                <w:color w:val="000000"/>
                <w:kern w:val="0"/>
              </w:rPr>
              <w:t>14</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8</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DL560 G8</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9</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DL580 G10</w:t>
            </w:r>
          </w:p>
        </w:tc>
        <w:tc>
          <w:tcPr>
            <w:tcW w:w="1040" w:type="dxa"/>
            <w:shd w:val="clear" w:color="auto" w:fill="auto"/>
            <w:vAlign w:val="center"/>
          </w:tcPr>
          <w:p>
            <w:pPr>
              <w:widowControl/>
              <w:jc w:val="center"/>
              <w:rPr>
                <w:color w:val="000000"/>
                <w:kern w:val="0"/>
              </w:rPr>
            </w:pPr>
            <w:r>
              <w:rPr>
                <w:rFonts w:hint="eastAsia"/>
                <w:color w:val="000000"/>
                <w:kern w:val="0"/>
              </w:rPr>
              <w:t>6</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10</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DL580 G5</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11</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DL580 G9</w:t>
            </w:r>
          </w:p>
        </w:tc>
        <w:tc>
          <w:tcPr>
            <w:tcW w:w="1040" w:type="dxa"/>
            <w:shd w:val="clear" w:color="auto" w:fill="auto"/>
            <w:vAlign w:val="center"/>
          </w:tcPr>
          <w:p>
            <w:pPr>
              <w:widowControl/>
              <w:jc w:val="center"/>
              <w:rPr>
                <w:color w:val="000000"/>
                <w:kern w:val="0"/>
              </w:rPr>
            </w:pPr>
            <w:r>
              <w:rPr>
                <w:rFonts w:hint="eastAsia"/>
                <w:color w:val="000000"/>
                <w:kern w:val="0"/>
              </w:rPr>
              <w:t>16</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41" w:type="dxa"/>
            <w:shd w:val="clear" w:color="auto" w:fill="auto"/>
            <w:vAlign w:val="center"/>
          </w:tcPr>
          <w:p>
            <w:pPr>
              <w:widowControl/>
              <w:jc w:val="center"/>
              <w:rPr>
                <w:color w:val="000000"/>
                <w:kern w:val="0"/>
              </w:rPr>
            </w:pPr>
            <w:r>
              <w:rPr>
                <w:rFonts w:hint="eastAsia"/>
                <w:color w:val="000000"/>
                <w:kern w:val="0"/>
              </w:rPr>
              <w:t>12</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EMC PowerEdge R430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13</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NUTANIX</w:t>
            </w:r>
          </w:p>
        </w:tc>
        <w:tc>
          <w:tcPr>
            <w:tcW w:w="1969" w:type="dxa"/>
            <w:shd w:val="clear" w:color="auto" w:fill="auto"/>
            <w:vAlign w:val="center"/>
          </w:tcPr>
          <w:p>
            <w:pPr>
              <w:widowControl/>
              <w:jc w:val="center"/>
              <w:rPr>
                <w:color w:val="000000"/>
                <w:kern w:val="0"/>
              </w:rPr>
            </w:pPr>
            <w:r>
              <w:rPr>
                <w:rFonts w:hint="eastAsia"/>
                <w:color w:val="000000"/>
                <w:kern w:val="0"/>
              </w:rPr>
              <w:t>NX-1065-G5</w:t>
            </w:r>
          </w:p>
        </w:tc>
        <w:tc>
          <w:tcPr>
            <w:tcW w:w="1040" w:type="dxa"/>
            <w:shd w:val="clear" w:color="auto" w:fill="auto"/>
            <w:vAlign w:val="center"/>
          </w:tcPr>
          <w:p>
            <w:pPr>
              <w:widowControl/>
              <w:jc w:val="center"/>
              <w:rPr>
                <w:color w:val="000000"/>
                <w:kern w:val="0"/>
              </w:rPr>
            </w:pPr>
            <w:r>
              <w:rPr>
                <w:rFonts w:hint="eastAsia"/>
                <w:color w:val="000000"/>
                <w:kern w:val="0"/>
              </w:rPr>
              <w:t>3</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14</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NUTANIX</w:t>
            </w:r>
          </w:p>
        </w:tc>
        <w:tc>
          <w:tcPr>
            <w:tcW w:w="1969" w:type="dxa"/>
            <w:shd w:val="clear" w:color="auto" w:fill="auto"/>
            <w:vAlign w:val="center"/>
          </w:tcPr>
          <w:p>
            <w:pPr>
              <w:widowControl/>
              <w:jc w:val="center"/>
              <w:rPr>
                <w:color w:val="000000"/>
                <w:kern w:val="0"/>
              </w:rPr>
            </w:pPr>
            <w:r>
              <w:rPr>
                <w:rFonts w:hint="eastAsia"/>
                <w:color w:val="000000"/>
                <w:kern w:val="0"/>
              </w:rPr>
              <w:t>NX-3050</w:t>
            </w:r>
          </w:p>
        </w:tc>
        <w:tc>
          <w:tcPr>
            <w:tcW w:w="1040" w:type="dxa"/>
            <w:shd w:val="clear" w:color="auto" w:fill="auto"/>
            <w:vAlign w:val="center"/>
          </w:tcPr>
          <w:p>
            <w:pPr>
              <w:widowControl/>
              <w:jc w:val="center"/>
              <w:rPr>
                <w:color w:val="000000"/>
                <w:kern w:val="0"/>
              </w:rPr>
            </w:pPr>
            <w:r>
              <w:rPr>
                <w:rFonts w:hint="eastAsia"/>
                <w:color w:val="000000"/>
                <w:kern w:val="0"/>
              </w:rPr>
              <w:t>3</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15</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NUTANIX</w:t>
            </w:r>
          </w:p>
        </w:tc>
        <w:tc>
          <w:tcPr>
            <w:tcW w:w="1969" w:type="dxa"/>
            <w:shd w:val="clear" w:color="auto" w:fill="auto"/>
            <w:vAlign w:val="center"/>
          </w:tcPr>
          <w:p>
            <w:pPr>
              <w:widowControl/>
              <w:jc w:val="center"/>
              <w:rPr>
                <w:color w:val="000000"/>
                <w:kern w:val="0"/>
              </w:rPr>
            </w:pPr>
            <w:r>
              <w:rPr>
                <w:rFonts w:hint="eastAsia"/>
                <w:color w:val="000000"/>
                <w:kern w:val="0"/>
              </w:rPr>
              <w:t>NX-8035-G5</w:t>
            </w:r>
          </w:p>
        </w:tc>
        <w:tc>
          <w:tcPr>
            <w:tcW w:w="1040" w:type="dxa"/>
            <w:shd w:val="clear" w:color="auto" w:fill="auto"/>
            <w:vAlign w:val="center"/>
          </w:tcPr>
          <w:p>
            <w:pPr>
              <w:widowControl/>
              <w:jc w:val="center"/>
              <w:rPr>
                <w:color w:val="000000"/>
                <w:kern w:val="0"/>
              </w:rPr>
            </w:pPr>
            <w:r>
              <w:rPr>
                <w:rFonts w:hint="eastAsia"/>
                <w:color w:val="000000"/>
                <w:kern w:val="0"/>
              </w:rPr>
              <w:t>5</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16</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NUTANIX</w:t>
            </w:r>
          </w:p>
        </w:tc>
        <w:tc>
          <w:tcPr>
            <w:tcW w:w="1969" w:type="dxa"/>
            <w:shd w:val="clear" w:color="auto" w:fill="auto"/>
            <w:vAlign w:val="center"/>
          </w:tcPr>
          <w:p>
            <w:pPr>
              <w:widowControl/>
              <w:jc w:val="center"/>
              <w:rPr>
                <w:color w:val="000000"/>
                <w:kern w:val="0"/>
              </w:rPr>
            </w:pPr>
            <w:r>
              <w:rPr>
                <w:rFonts w:hint="eastAsia"/>
                <w:color w:val="000000"/>
                <w:kern w:val="0"/>
              </w:rPr>
              <w:t>NX-8235-G6</w:t>
            </w:r>
          </w:p>
        </w:tc>
        <w:tc>
          <w:tcPr>
            <w:tcW w:w="1040" w:type="dxa"/>
            <w:shd w:val="clear" w:color="auto" w:fill="auto"/>
            <w:vAlign w:val="center"/>
          </w:tcPr>
          <w:p>
            <w:pPr>
              <w:widowControl/>
              <w:jc w:val="center"/>
              <w:rPr>
                <w:color w:val="000000"/>
                <w:kern w:val="0"/>
              </w:rPr>
            </w:pPr>
            <w:r>
              <w:rPr>
                <w:rFonts w:hint="eastAsia"/>
                <w:color w:val="000000"/>
                <w:kern w:val="0"/>
              </w:rPr>
              <w:t>8</w:t>
            </w:r>
          </w:p>
        </w:tc>
        <w:tc>
          <w:tcPr>
            <w:tcW w:w="1040" w:type="dxa"/>
            <w:shd w:val="clear" w:color="auto" w:fill="auto"/>
            <w:vAlign w:val="center"/>
          </w:tcPr>
          <w:p>
            <w:pPr>
              <w:widowControl/>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17</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POWER EDGE R530</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18</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POWER EDGE R730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19</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PowerEdge R820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20</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PowerEdgeR540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21</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PowerEdgeR720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22</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PowerEdgeR730xd</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23</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R510</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24</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R540</w:t>
            </w:r>
          </w:p>
        </w:tc>
        <w:tc>
          <w:tcPr>
            <w:tcW w:w="1040" w:type="dxa"/>
            <w:shd w:val="clear" w:color="auto" w:fill="auto"/>
            <w:vAlign w:val="center"/>
          </w:tcPr>
          <w:p>
            <w:pPr>
              <w:widowControl/>
              <w:jc w:val="center"/>
              <w:rPr>
                <w:color w:val="000000"/>
                <w:kern w:val="0"/>
              </w:rPr>
            </w:pPr>
            <w:r>
              <w:rPr>
                <w:rFonts w:hint="eastAsia"/>
                <w:color w:val="000000"/>
                <w:kern w:val="0"/>
              </w:rPr>
              <w:t>6</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25</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R710</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26</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R720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27</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R730</w:t>
            </w:r>
          </w:p>
        </w:tc>
        <w:tc>
          <w:tcPr>
            <w:tcW w:w="1040" w:type="dxa"/>
            <w:shd w:val="clear" w:color="auto" w:fill="auto"/>
            <w:vAlign w:val="center"/>
          </w:tcPr>
          <w:p>
            <w:pPr>
              <w:widowControl/>
              <w:jc w:val="center"/>
              <w:rPr>
                <w:color w:val="000000"/>
                <w:kern w:val="0"/>
              </w:rPr>
            </w:pPr>
            <w:r>
              <w:rPr>
                <w:rFonts w:hint="eastAsia"/>
                <w:color w:val="000000"/>
                <w:kern w:val="0"/>
              </w:rPr>
              <w:t>5</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28</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R740</w:t>
            </w:r>
          </w:p>
        </w:tc>
        <w:tc>
          <w:tcPr>
            <w:tcW w:w="1040" w:type="dxa"/>
            <w:shd w:val="clear" w:color="auto" w:fill="auto"/>
            <w:vAlign w:val="center"/>
          </w:tcPr>
          <w:p>
            <w:pPr>
              <w:widowControl/>
              <w:jc w:val="center"/>
              <w:rPr>
                <w:color w:val="000000"/>
                <w:kern w:val="0"/>
              </w:rPr>
            </w:pPr>
            <w:r>
              <w:rPr>
                <w:rFonts w:hint="eastAsia"/>
                <w:color w:val="000000"/>
                <w:kern w:val="0"/>
              </w:rPr>
              <w:t>4</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29</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R930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30</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R940</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31</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HUAWEI</w:t>
            </w:r>
          </w:p>
        </w:tc>
        <w:tc>
          <w:tcPr>
            <w:tcW w:w="1969" w:type="dxa"/>
            <w:shd w:val="clear" w:color="auto" w:fill="auto"/>
            <w:vAlign w:val="center"/>
          </w:tcPr>
          <w:p>
            <w:pPr>
              <w:widowControl/>
              <w:jc w:val="center"/>
              <w:rPr>
                <w:color w:val="000000"/>
                <w:kern w:val="0"/>
              </w:rPr>
            </w:pPr>
            <w:r>
              <w:rPr>
                <w:rFonts w:hint="eastAsia"/>
                <w:color w:val="000000"/>
                <w:kern w:val="0"/>
              </w:rPr>
              <w:t>RH588HV3</w:t>
            </w:r>
          </w:p>
        </w:tc>
        <w:tc>
          <w:tcPr>
            <w:tcW w:w="1040" w:type="dxa"/>
            <w:shd w:val="clear" w:color="auto" w:fill="auto"/>
            <w:vAlign w:val="center"/>
          </w:tcPr>
          <w:p>
            <w:pPr>
              <w:widowControl/>
              <w:jc w:val="center"/>
              <w:rPr>
                <w:color w:val="000000"/>
                <w:kern w:val="0"/>
              </w:rPr>
            </w:pPr>
            <w:r>
              <w:rPr>
                <w:rFonts w:hint="eastAsia"/>
                <w:color w:val="000000"/>
                <w:kern w:val="0"/>
              </w:rPr>
              <w:t>5</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32</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联想</w:t>
            </w:r>
          </w:p>
        </w:tc>
        <w:tc>
          <w:tcPr>
            <w:tcW w:w="1969" w:type="dxa"/>
            <w:shd w:val="clear" w:color="auto" w:fill="auto"/>
            <w:vAlign w:val="center"/>
          </w:tcPr>
          <w:p>
            <w:pPr>
              <w:widowControl/>
              <w:jc w:val="center"/>
              <w:rPr>
                <w:color w:val="000000"/>
                <w:kern w:val="0"/>
              </w:rPr>
            </w:pPr>
            <w:r>
              <w:rPr>
                <w:rFonts w:hint="eastAsia"/>
                <w:color w:val="000000"/>
                <w:kern w:val="0"/>
              </w:rPr>
              <w:t>RQ940</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33</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联想</w:t>
            </w:r>
          </w:p>
        </w:tc>
        <w:tc>
          <w:tcPr>
            <w:tcW w:w="1969" w:type="dxa"/>
            <w:shd w:val="clear" w:color="auto" w:fill="auto"/>
            <w:vAlign w:val="center"/>
          </w:tcPr>
          <w:p>
            <w:pPr>
              <w:widowControl/>
              <w:jc w:val="center"/>
              <w:rPr>
                <w:color w:val="000000"/>
                <w:kern w:val="0"/>
              </w:rPr>
            </w:pPr>
            <w:r>
              <w:rPr>
                <w:rFonts w:hint="eastAsia"/>
                <w:color w:val="000000"/>
                <w:kern w:val="0"/>
              </w:rPr>
              <w:t>SR588</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34</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联想</w:t>
            </w:r>
          </w:p>
        </w:tc>
        <w:tc>
          <w:tcPr>
            <w:tcW w:w="1969" w:type="dxa"/>
            <w:shd w:val="clear" w:color="auto" w:fill="auto"/>
            <w:vAlign w:val="center"/>
          </w:tcPr>
          <w:p>
            <w:pPr>
              <w:widowControl/>
              <w:jc w:val="center"/>
              <w:rPr>
                <w:color w:val="000000"/>
                <w:kern w:val="0"/>
              </w:rPr>
            </w:pPr>
            <w:r>
              <w:rPr>
                <w:rFonts w:hint="eastAsia"/>
                <w:color w:val="000000"/>
                <w:kern w:val="0"/>
              </w:rPr>
              <w:t>SR650</w:t>
            </w:r>
          </w:p>
        </w:tc>
        <w:tc>
          <w:tcPr>
            <w:tcW w:w="1040" w:type="dxa"/>
            <w:shd w:val="clear" w:color="auto" w:fill="auto"/>
            <w:vAlign w:val="center"/>
          </w:tcPr>
          <w:p>
            <w:pPr>
              <w:widowControl/>
              <w:jc w:val="center"/>
              <w:rPr>
                <w:color w:val="000000"/>
                <w:kern w:val="0"/>
              </w:rPr>
            </w:pPr>
            <w:r>
              <w:rPr>
                <w:rFonts w:hint="eastAsia"/>
                <w:color w:val="000000"/>
                <w:kern w:val="0"/>
              </w:rPr>
              <w:t>6</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35</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联想</w:t>
            </w:r>
          </w:p>
        </w:tc>
        <w:tc>
          <w:tcPr>
            <w:tcW w:w="1969" w:type="dxa"/>
            <w:shd w:val="clear" w:color="auto" w:fill="auto"/>
            <w:vAlign w:val="center"/>
          </w:tcPr>
          <w:p>
            <w:pPr>
              <w:widowControl/>
              <w:jc w:val="center"/>
              <w:rPr>
                <w:color w:val="000000"/>
                <w:kern w:val="0"/>
              </w:rPr>
            </w:pPr>
            <w:r>
              <w:rPr>
                <w:rFonts w:hint="eastAsia"/>
                <w:color w:val="000000"/>
                <w:kern w:val="0"/>
              </w:rPr>
              <w:t>SR950</w:t>
            </w:r>
          </w:p>
        </w:tc>
        <w:tc>
          <w:tcPr>
            <w:tcW w:w="1040" w:type="dxa"/>
            <w:shd w:val="clear" w:color="auto" w:fill="auto"/>
            <w:vAlign w:val="center"/>
          </w:tcPr>
          <w:p>
            <w:pPr>
              <w:widowControl/>
              <w:jc w:val="center"/>
              <w:rPr>
                <w:color w:val="000000"/>
                <w:kern w:val="0"/>
              </w:rPr>
            </w:pPr>
            <w:r>
              <w:rPr>
                <w:rFonts w:hint="eastAsia"/>
                <w:color w:val="000000"/>
                <w:kern w:val="0"/>
              </w:rPr>
              <w:t>4</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36</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Digi</w:t>
            </w:r>
          </w:p>
        </w:tc>
        <w:tc>
          <w:tcPr>
            <w:tcW w:w="1969" w:type="dxa"/>
            <w:shd w:val="clear" w:color="auto" w:fill="auto"/>
            <w:vAlign w:val="center"/>
          </w:tcPr>
          <w:p>
            <w:pPr>
              <w:widowControl/>
              <w:jc w:val="center"/>
              <w:rPr>
                <w:color w:val="000000"/>
                <w:kern w:val="0"/>
              </w:rPr>
            </w:pPr>
            <w:r>
              <w:rPr>
                <w:rFonts w:hint="eastAsia"/>
                <w:color w:val="000000"/>
                <w:kern w:val="0"/>
              </w:rPr>
              <w:t>USB服务器-A</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37</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Digi</w:t>
            </w:r>
          </w:p>
        </w:tc>
        <w:tc>
          <w:tcPr>
            <w:tcW w:w="1969" w:type="dxa"/>
            <w:shd w:val="clear" w:color="auto" w:fill="auto"/>
            <w:vAlign w:val="center"/>
          </w:tcPr>
          <w:p>
            <w:pPr>
              <w:widowControl/>
              <w:jc w:val="center"/>
              <w:rPr>
                <w:color w:val="000000"/>
                <w:kern w:val="0"/>
              </w:rPr>
            </w:pPr>
            <w:r>
              <w:rPr>
                <w:rFonts w:hint="eastAsia"/>
                <w:color w:val="000000"/>
                <w:kern w:val="0"/>
              </w:rPr>
              <w:t>USB服务器-B</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38</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IBM</w:t>
            </w:r>
          </w:p>
        </w:tc>
        <w:tc>
          <w:tcPr>
            <w:tcW w:w="1969" w:type="dxa"/>
            <w:shd w:val="clear" w:color="auto" w:fill="auto"/>
            <w:vAlign w:val="center"/>
          </w:tcPr>
          <w:p>
            <w:pPr>
              <w:widowControl/>
              <w:jc w:val="center"/>
              <w:rPr>
                <w:color w:val="000000"/>
                <w:kern w:val="0"/>
              </w:rPr>
            </w:pPr>
            <w:r>
              <w:rPr>
                <w:rFonts w:hint="eastAsia"/>
                <w:color w:val="000000"/>
                <w:kern w:val="0"/>
              </w:rPr>
              <w:t>x3650 M4</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39</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IBM</w:t>
            </w:r>
          </w:p>
        </w:tc>
        <w:tc>
          <w:tcPr>
            <w:tcW w:w="1969" w:type="dxa"/>
            <w:shd w:val="clear" w:color="auto" w:fill="auto"/>
            <w:vAlign w:val="center"/>
          </w:tcPr>
          <w:p>
            <w:pPr>
              <w:widowControl/>
              <w:jc w:val="center"/>
              <w:rPr>
                <w:color w:val="000000"/>
                <w:kern w:val="0"/>
              </w:rPr>
            </w:pPr>
            <w:r>
              <w:rPr>
                <w:rFonts w:hint="eastAsia"/>
                <w:color w:val="000000"/>
                <w:kern w:val="0"/>
              </w:rPr>
              <w:t>X3650 M5</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40</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DL380 G8</w:t>
            </w:r>
          </w:p>
        </w:tc>
        <w:tc>
          <w:tcPr>
            <w:tcW w:w="1040" w:type="dxa"/>
            <w:shd w:val="clear" w:color="auto" w:fill="auto"/>
            <w:vAlign w:val="center"/>
          </w:tcPr>
          <w:p>
            <w:pPr>
              <w:widowControl/>
              <w:jc w:val="center"/>
              <w:rPr>
                <w:color w:val="000000"/>
                <w:kern w:val="0"/>
              </w:rPr>
            </w:pPr>
            <w:r>
              <w:rPr>
                <w:rFonts w:hint="eastAsia"/>
                <w:color w:val="000000"/>
                <w:kern w:val="0"/>
              </w:rPr>
              <w:t>3</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41</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DL380P G8</w:t>
            </w:r>
          </w:p>
        </w:tc>
        <w:tc>
          <w:tcPr>
            <w:tcW w:w="1040" w:type="dxa"/>
            <w:shd w:val="clear" w:color="auto" w:fill="auto"/>
            <w:vAlign w:val="center"/>
          </w:tcPr>
          <w:p>
            <w:pPr>
              <w:widowControl/>
              <w:jc w:val="center"/>
              <w:rPr>
                <w:color w:val="000000"/>
                <w:kern w:val="0"/>
              </w:rPr>
            </w:pPr>
            <w:r>
              <w:rPr>
                <w:rFonts w:hint="eastAsia"/>
                <w:color w:val="000000"/>
                <w:kern w:val="0"/>
              </w:rPr>
              <w:t>5</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42</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DL580 G8</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43</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DL580 G7</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44</w:t>
            </w:r>
          </w:p>
        </w:tc>
        <w:tc>
          <w:tcPr>
            <w:tcW w:w="1041" w:type="dxa"/>
            <w:shd w:val="clear" w:color="auto" w:fill="auto"/>
            <w:vAlign w:val="center"/>
          </w:tcPr>
          <w:p>
            <w:pPr>
              <w:widowControl/>
              <w:jc w:val="center"/>
              <w:rPr>
                <w:color w:val="000000"/>
                <w:kern w:val="0"/>
              </w:rPr>
            </w:pPr>
            <w:r>
              <w:rPr>
                <w:rFonts w:hint="eastAsia"/>
                <w:color w:val="000000"/>
                <w:kern w:val="0"/>
              </w:rPr>
              <w:t>服务器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DL380 G3</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45</w:t>
            </w:r>
          </w:p>
        </w:tc>
        <w:tc>
          <w:tcPr>
            <w:tcW w:w="1041" w:type="dxa"/>
            <w:shd w:val="clear" w:color="auto" w:fill="auto"/>
          </w:tcPr>
          <w:p>
            <w:pPr>
              <w:widowControl/>
              <w:jc w:val="center"/>
              <w:rPr>
                <w:color w:val="000000"/>
                <w:kern w:val="0"/>
              </w:rPr>
            </w:pPr>
            <w:r>
              <w:rPr>
                <w:rFonts w:hint="eastAsia"/>
                <w:color w:val="000000"/>
                <w:kern w:val="0"/>
              </w:rPr>
              <w:t>服务器</w:t>
            </w:r>
          </w:p>
        </w:tc>
        <w:tc>
          <w:tcPr>
            <w:tcW w:w="1140" w:type="dxa"/>
            <w:shd w:val="clear" w:color="auto" w:fill="auto"/>
          </w:tcPr>
          <w:p>
            <w:pPr>
              <w:widowControl/>
              <w:jc w:val="center"/>
              <w:rPr>
                <w:color w:val="000000"/>
                <w:kern w:val="0"/>
              </w:rPr>
            </w:pPr>
            <w:r>
              <w:rPr>
                <w:rFonts w:hint="eastAsia"/>
                <w:color w:val="000000"/>
                <w:kern w:val="0"/>
              </w:rPr>
              <w:t>华为</w:t>
            </w:r>
          </w:p>
        </w:tc>
        <w:tc>
          <w:tcPr>
            <w:tcW w:w="1969" w:type="dxa"/>
            <w:shd w:val="clear" w:color="auto" w:fill="auto"/>
          </w:tcPr>
          <w:p>
            <w:pPr>
              <w:widowControl/>
              <w:jc w:val="center"/>
              <w:rPr>
                <w:color w:val="000000"/>
                <w:kern w:val="0"/>
              </w:rPr>
            </w:pPr>
            <w:r>
              <w:rPr>
                <w:rFonts w:hint="eastAsia"/>
                <w:color w:val="000000"/>
                <w:kern w:val="0"/>
              </w:rPr>
              <w:t>2288HV5</w:t>
            </w:r>
          </w:p>
        </w:tc>
        <w:tc>
          <w:tcPr>
            <w:tcW w:w="1040" w:type="dxa"/>
            <w:shd w:val="clear" w:color="auto" w:fill="auto"/>
          </w:tcPr>
          <w:p>
            <w:pPr>
              <w:widowControl/>
              <w:jc w:val="center"/>
              <w:rPr>
                <w:color w:val="000000"/>
                <w:kern w:val="0"/>
              </w:rPr>
            </w:pPr>
            <w:r>
              <w:rPr>
                <w:rFonts w:hint="eastAsia"/>
                <w:color w:val="000000"/>
                <w:kern w:val="0"/>
              </w:rPr>
              <w:t>1</w:t>
            </w:r>
          </w:p>
        </w:tc>
        <w:tc>
          <w:tcPr>
            <w:tcW w:w="1040" w:type="dxa"/>
            <w:shd w:val="clear" w:color="auto" w:fill="auto"/>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46</w:t>
            </w:r>
          </w:p>
        </w:tc>
        <w:tc>
          <w:tcPr>
            <w:tcW w:w="1041" w:type="dxa"/>
            <w:shd w:val="clear" w:color="auto" w:fill="auto"/>
          </w:tcPr>
          <w:p>
            <w:pPr>
              <w:widowControl/>
              <w:jc w:val="center"/>
              <w:rPr>
                <w:color w:val="000000"/>
                <w:kern w:val="0"/>
              </w:rPr>
            </w:pPr>
            <w:r>
              <w:rPr>
                <w:rFonts w:hint="eastAsia"/>
                <w:color w:val="000000"/>
                <w:kern w:val="0"/>
              </w:rPr>
              <w:t>服务器</w:t>
            </w:r>
          </w:p>
        </w:tc>
        <w:tc>
          <w:tcPr>
            <w:tcW w:w="1140" w:type="dxa"/>
            <w:shd w:val="clear" w:color="auto" w:fill="auto"/>
          </w:tcPr>
          <w:p>
            <w:pPr>
              <w:widowControl/>
              <w:jc w:val="center"/>
              <w:rPr>
                <w:color w:val="000000"/>
                <w:kern w:val="0"/>
              </w:rPr>
            </w:pPr>
            <w:r>
              <w:rPr>
                <w:rFonts w:hint="eastAsia"/>
                <w:color w:val="000000"/>
                <w:kern w:val="0"/>
              </w:rPr>
              <w:t>联想</w:t>
            </w:r>
          </w:p>
        </w:tc>
        <w:tc>
          <w:tcPr>
            <w:tcW w:w="1969" w:type="dxa"/>
            <w:shd w:val="clear" w:color="auto" w:fill="auto"/>
          </w:tcPr>
          <w:p>
            <w:pPr>
              <w:widowControl/>
              <w:jc w:val="center"/>
              <w:rPr>
                <w:color w:val="000000"/>
                <w:kern w:val="0"/>
              </w:rPr>
            </w:pPr>
            <w:r>
              <w:rPr>
                <w:rFonts w:hint="eastAsia"/>
                <w:color w:val="000000"/>
                <w:kern w:val="0"/>
              </w:rPr>
              <w:t>RD 650</w:t>
            </w:r>
          </w:p>
        </w:tc>
        <w:tc>
          <w:tcPr>
            <w:tcW w:w="1040" w:type="dxa"/>
            <w:shd w:val="clear" w:color="auto" w:fill="auto"/>
          </w:tcPr>
          <w:p>
            <w:pPr>
              <w:widowControl/>
              <w:jc w:val="center"/>
              <w:rPr>
                <w:color w:val="000000"/>
                <w:kern w:val="0"/>
              </w:rPr>
            </w:pPr>
            <w:r>
              <w:rPr>
                <w:rFonts w:hint="eastAsia"/>
                <w:color w:val="000000"/>
                <w:kern w:val="0"/>
              </w:rPr>
              <w:t>1</w:t>
            </w:r>
          </w:p>
        </w:tc>
        <w:tc>
          <w:tcPr>
            <w:tcW w:w="1040" w:type="dxa"/>
            <w:shd w:val="clear" w:color="auto" w:fill="auto"/>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47</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isilon-nl-series</w:t>
            </w:r>
          </w:p>
        </w:tc>
        <w:tc>
          <w:tcPr>
            <w:tcW w:w="1040" w:type="dxa"/>
            <w:shd w:val="clear" w:color="auto" w:fill="auto"/>
            <w:vAlign w:val="center"/>
          </w:tcPr>
          <w:p>
            <w:pPr>
              <w:widowControl/>
              <w:jc w:val="center"/>
              <w:rPr>
                <w:color w:val="000000"/>
                <w:kern w:val="0"/>
              </w:rPr>
            </w:pPr>
            <w:r>
              <w:rPr>
                <w:rFonts w:hint="eastAsia"/>
                <w:color w:val="000000"/>
                <w:kern w:val="0"/>
              </w:rPr>
              <w:t>3</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48</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MD3400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41" w:type="dxa"/>
            <w:shd w:val="clear" w:color="auto" w:fill="auto"/>
            <w:vAlign w:val="center"/>
          </w:tcPr>
          <w:p>
            <w:pPr>
              <w:widowControl/>
              <w:jc w:val="center"/>
              <w:rPr>
                <w:color w:val="000000"/>
                <w:kern w:val="0"/>
              </w:rPr>
            </w:pPr>
            <w:r>
              <w:rPr>
                <w:rFonts w:hint="eastAsia"/>
                <w:color w:val="000000"/>
                <w:kern w:val="0"/>
              </w:rPr>
              <w:t>49</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HUAWEI</w:t>
            </w:r>
          </w:p>
        </w:tc>
        <w:tc>
          <w:tcPr>
            <w:tcW w:w="1969" w:type="dxa"/>
            <w:shd w:val="clear" w:color="auto" w:fill="auto"/>
            <w:vAlign w:val="center"/>
          </w:tcPr>
          <w:p>
            <w:pPr>
              <w:widowControl/>
              <w:jc w:val="center"/>
              <w:rPr>
                <w:color w:val="000000"/>
                <w:kern w:val="0"/>
              </w:rPr>
            </w:pPr>
            <w:r>
              <w:rPr>
                <w:rFonts w:hint="eastAsia"/>
                <w:color w:val="000000"/>
                <w:kern w:val="0"/>
              </w:rPr>
              <w:t>Ocean store 5500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041" w:type="dxa"/>
            <w:shd w:val="clear" w:color="auto" w:fill="auto"/>
            <w:vAlign w:val="center"/>
          </w:tcPr>
          <w:p>
            <w:pPr>
              <w:widowControl/>
              <w:jc w:val="center"/>
              <w:rPr>
                <w:color w:val="000000"/>
                <w:kern w:val="0"/>
              </w:rPr>
            </w:pPr>
            <w:r>
              <w:rPr>
                <w:rFonts w:hint="eastAsia"/>
                <w:color w:val="000000"/>
                <w:kern w:val="0"/>
              </w:rPr>
              <w:t>50</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HUAWEI</w:t>
            </w:r>
          </w:p>
        </w:tc>
        <w:tc>
          <w:tcPr>
            <w:tcW w:w="1969" w:type="dxa"/>
            <w:shd w:val="clear" w:color="auto" w:fill="auto"/>
            <w:vAlign w:val="center"/>
          </w:tcPr>
          <w:p>
            <w:pPr>
              <w:widowControl/>
              <w:jc w:val="center"/>
              <w:rPr>
                <w:color w:val="000000"/>
                <w:kern w:val="0"/>
              </w:rPr>
            </w:pPr>
            <w:r>
              <w:rPr>
                <w:rFonts w:hint="eastAsia"/>
                <w:color w:val="000000"/>
                <w:kern w:val="0"/>
              </w:rPr>
              <w:t>Ocean store 5500扩展柜</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41" w:type="dxa"/>
            <w:shd w:val="clear" w:color="auto" w:fill="auto"/>
            <w:vAlign w:val="center"/>
          </w:tcPr>
          <w:p>
            <w:pPr>
              <w:widowControl/>
              <w:jc w:val="center"/>
              <w:rPr>
                <w:color w:val="000000"/>
                <w:kern w:val="0"/>
              </w:rPr>
            </w:pPr>
            <w:r>
              <w:rPr>
                <w:rFonts w:hint="eastAsia"/>
                <w:color w:val="000000"/>
                <w:kern w:val="0"/>
              </w:rPr>
              <w:t>51</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HUAWEI</w:t>
            </w:r>
          </w:p>
        </w:tc>
        <w:tc>
          <w:tcPr>
            <w:tcW w:w="1969" w:type="dxa"/>
            <w:shd w:val="clear" w:color="auto" w:fill="auto"/>
            <w:vAlign w:val="center"/>
          </w:tcPr>
          <w:p>
            <w:pPr>
              <w:widowControl/>
              <w:jc w:val="center"/>
              <w:rPr>
                <w:color w:val="000000"/>
                <w:kern w:val="0"/>
              </w:rPr>
            </w:pPr>
            <w:r>
              <w:rPr>
                <w:rFonts w:hint="eastAsia"/>
                <w:color w:val="000000"/>
                <w:kern w:val="0"/>
              </w:rPr>
              <w:t>OceanStor Durado 5600 V6</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52</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Recover Point</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53</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sc100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54</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DELL</w:t>
            </w:r>
          </w:p>
        </w:tc>
        <w:tc>
          <w:tcPr>
            <w:tcW w:w="1969" w:type="dxa"/>
            <w:shd w:val="clear" w:color="auto" w:fill="auto"/>
            <w:vAlign w:val="center"/>
          </w:tcPr>
          <w:p>
            <w:pPr>
              <w:widowControl/>
              <w:jc w:val="center"/>
              <w:rPr>
                <w:color w:val="000000"/>
                <w:kern w:val="0"/>
              </w:rPr>
            </w:pPr>
            <w:r>
              <w:rPr>
                <w:rFonts w:hint="eastAsia"/>
                <w:color w:val="000000"/>
                <w:kern w:val="0"/>
              </w:rPr>
              <w:t>SCv2020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55</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UNITY 300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56</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UNITY400</w:t>
            </w:r>
          </w:p>
        </w:tc>
        <w:tc>
          <w:tcPr>
            <w:tcW w:w="1040" w:type="dxa"/>
            <w:shd w:val="clear" w:color="auto" w:fill="auto"/>
            <w:vAlign w:val="center"/>
          </w:tcPr>
          <w:p>
            <w:pPr>
              <w:widowControl/>
              <w:jc w:val="center"/>
              <w:rPr>
                <w:color w:val="000000"/>
                <w:kern w:val="0"/>
              </w:rPr>
            </w:pPr>
            <w:r>
              <w:rPr>
                <w:rFonts w:hint="eastAsia"/>
                <w:color w:val="000000"/>
                <w:kern w:val="0"/>
              </w:rPr>
              <w:t>3</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57</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UNITY450F</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58</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VMAX20K</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59</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VMAX100K</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60</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VNX5150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61</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VPLEX-2</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62</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日立存储</w:t>
            </w:r>
          </w:p>
        </w:tc>
        <w:tc>
          <w:tcPr>
            <w:tcW w:w="1969" w:type="dxa"/>
            <w:shd w:val="clear" w:color="auto" w:fill="auto"/>
            <w:vAlign w:val="center"/>
          </w:tcPr>
          <w:p>
            <w:pPr>
              <w:widowControl/>
              <w:jc w:val="center"/>
              <w:rPr>
                <w:color w:val="000000"/>
                <w:kern w:val="0"/>
              </w:rPr>
            </w:pPr>
            <w:r>
              <w:rPr>
                <w:rFonts w:hint="eastAsia"/>
                <w:color w:val="000000"/>
                <w:kern w:val="0"/>
              </w:rPr>
              <w:t>VSP G200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63</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VXN5100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64</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3Par 8400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65</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HP</w:t>
            </w:r>
          </w:p>
        </w:tc>
        <w:tc>
          <w:tcPr>
            <w:tcW w:w="1969" w:type="dxa"/>
            <w:shd w:val="clear" w:color="auto" w:fill="auto"/>
            <w:vAlign w:val="center"/>
          </w:tcPr>
          <w:p>
            <w:pPr>
              <w:widowControl/>
              <w:jc w:val="center"/>
              <w:rPr>
                <w:color w:val="000000"/>
                <w:kern w:val="0"/>
              </w:rPr>
            </w:pPr>
            <w:r>
              <w:rPr>
                <w:rFonts w:hint="eastAsia"/>
                <w:color w:val="000000"/>
                <w:kern w:val="0"/>
              </w:rPr>
              <w:t>MSL3040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041" w:type="dxa"/>
            <w:shd w:val="clear" w:color="auto" w:fill="auto"/>
            <w:vAlign w:val="center"/>
          </w:tcPr>
          <w:p>
            <w:pPr>
              <w:widowControl/>
              <w:jc w:val="center"/>
              <w:rPr>
                <w:color w:val="000000"/>
                <w:kern w:val="0"/>
              </w:rPr>
            </w:pPr>
            <w:r>
              <w:rPr>
                <w:rFonts w:hint="eastAsia"/>
                <w:color w:val="000000"/>
                <w:kern w:val="0"/>
              </w:rPr>
              <w:t>66</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HUAWEI</w:t>
            </w:r>
          </w:p>
        </w:tc>
        <w:tc>
          <w:tcPr>
            <w:tcW w:w="1969" w:type="dxa"/>
            <w:shd w:val="clear" w:color="auto" w:fill="auto"/>
            <w:vAlign w:val="center"/>
          </w:tcPr>
          <w:p>
            <w:pPr>
              <w:widowControl/>
              <w:jc w:val="center"/>
              <w:rPr>
                <w:color w:val="000000"/>
                <w:kern w:val="0"/>
              </w:rPr>
            </w:pPr>
            <w:r>
              <w:rPr>
                <w:rFonts w:hint="eastAsia"/>
                <w:color w:val="000000"/>
                <w:kern w:val="0"/>
              </w:rPr>
              <w:t>Ocean store 5500 V3扩展柜</w:t>
            </w:r>
          </w:p>
        </w:tc>
        <w:tc>
          <w:tcPr>
            <w:tcW w:w="1040" w:type="dxa"/>
            <w:shd w:val="clear" w:color="auto" w:fill="auto"/>
            <w:vAlign w:val="center"/>
          </w:tcPr>
          <w:p>
            <w:pPr>
              <w:widowControl/>
              <w:jc w:val="center"/>
              <w:rPr>
                <w:color w:val="000000"/>
                <w:kern w:val="0"/>
              </w:rPr>
            </w:pPr>
            <w:r>
              <w:rPr>
                <w:rFonts w:hint="eastAsia"/>
                <w:color w:val="000000"/>
                <w:kern w:val="0"/>
              </w:rPr>
              <w:t>2</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41" w:type="dxa"/>
            <w:shd w:val="clear" w:color="auto" w:fill="auto"/>
            <w:vAlign w:val="center"/>
          </w:tcPr>
          <w:p>
            <w:pPr>
              <w:widowControl/>
              <w:jc w:val="center"/>
              <w:rPr>
                <w:color w:val="000000"/>
                <w:kern w:val="0"/>
              </w:rPr>
            </w:pPr>
            <w:r>
              <w:rPr>
                <w:rFonts w:hint="eastAsia"/>
                <w:color w:val="000000"/>
                <w:kern w:val="0"/>
              </w:rPr>
              <w:t>67</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HUAWEI</w:t>
            </w:r>
          </w:p>
        </w:tc>
        <w:tc>
          <w:tcPr>
            <w:tcW w:w="1969" w:type="dxa"/>
            <w:shd w:val="clear" w:color="auto" w:fill="auto"/>
            <w:vAlign w:val="center"/>
          </w:tcPr>
          <w:p>
            <w:pPr>
              <w:widowControl/>
              <w:jc w:val="center"/>
              <w:rPr>
                <w:color w:val="000000"/>
                <w:kern w:val="0"/>
              </w:rPr>
            </w:pPr>
            <w:r>
              <w:rPr>
                <w:rFonts w:hint="eastAsia"/>
                <w:color w:val="000000"/>
                <w:kern w:val="0"/>
              </w:rPr>
              <w:t>OceanStor5500 V3</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68</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EMC</w:t>
            </w:r>
          </w:p>
        </w:tc>
        <w:tc>
          <w:tcPr>
            <w:tcW w:w="1969" w:type="dxa"/>
            <w:shd w:val="clear" w:color="auto" w:fill="auto"/>
            <w:vAlign w:val="center"/>
          </w:tcPr>
          <w:p>
            <w:pPr>
              <w:widowControl/>
              <w:jc w:val="center"/>
              <w:rPr>
                <w:color w:val="000000"/>
                <w:kern w:val="0"/>
              </w:rPr>
            </w:pPr>
            <w:r>
              <w:rPr>
                <w:rFonts w:hint="eastAsia"/>
                <w:color w:val="000000"/>
                <w:kern w:val="0"/>
              </w:rPr>
              <w:t>UNITY500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41" w:type="dxa"/>
            <w:shd w:val="clear" w:color="auto" w:fill="auto"/>
            <w:vAlign w:val="center"/>
          </w:tcPr>
          <w:p>
            <w:pPr>
              <w:widowControl/>
              <w:jc w:val="center"/>
              <w:rPr>
                <w:color w:val="000000"/>
                <w:kern w:val="0"/>
              </w:rPr>
            </w:pPr>
            <w:r>
              <w:rPr>
                <w:rFonts w:hint="eastAsia"/>
                <w:color w:val="000000"/>
                <w:kern w:val="0"/>
              </w:rPr>
              <w:t>69</w:t>
            </w:r>
          </w:p>
        </w:tc>
        <w:tc>
          <w:tcPr>
            <w:tcW w:w="1041" w:type="dxa"/>
            <w:shd w:val="clear" w:color="auto" w:fill="auto"/>
            <w:vAlign w:val="center"/>
          </w:tcPr>
          <w:p>
            <w:pPr>
              <w:widowControl/>
              <w:jc w:val="center"/>
              <w:rPr>
                <w:color w:val="000000"/>
                <w:kern w:val="0"/>
              </w:rPr>
            </w:pPr>
            <w:r>
              <w:rPr>
                <w:rFonts w:hint="eastAsia"/>
                <w:color w:val="000000"/>
                <w:kern w:val="0"/>
              </w:rPr>
              <w:t>存储</w:t>
            </w:r>
          </w:p>
        </w:tc>
        <w:tc>
          <w:tcPr>
            <w:tcW w:w="1140" w:type="dxa"/>
            <w:shd w:val="clear" w:color="auto" w:fill="auto"/>
            <w:vAlign w:val="center"/>
          </w:tcPr>
          <w:p>
            <w:pPr>
              <w:widowControl/>
              <w:jc w:val="center"/>
              <w:rPr>
                <w:color w:val="000000"/>
                <w:kern w:val="0"/>
              </w:rPr>
            </w:pPr>
            <w:r>
              <w:rPr>
                <w:rFonts w:hint="eastAsia"/>
                <w:color w:val="000000"/>
                <w:kern w:val="0"/>
              </w:rPr>
              <w:t>联想</w:t>
            </w:r>
          </w:p>
        </w:tc>
        <w:tc>
          <w:tcPr>
            <w:tcW w:w="1969" w:type="dxa"/>
            <w:shd w:val="clear" w:color="auto" w:fill="auto"/>
            <w:vAlign w:val="center"/>
          </w:tcPr>
          <w:p>
            <w:pPr>
              <w:widowControl/>
              <w:jc w:val="center"/>
              <w:rPr>
                <w:color w:val="000000"/>
                <w:kern w:val="0"/>
              </w:rPr>
            </w:pPr>
            <w:r>
              <w:rPr>
                <w:rFonts w:hint="eastAsia"/>
                <w:color w:val="000000"/>
                <w:kern w:val="0"/>
              </w:rPr>
              <w:t>V7000</w:t>
            </w:r>
          </w:p>
        </w:tc>
        <w:tc>
          <w:tcPr>
            <w:tcW w:w="1040" w:type="dxa"/>
            <w:shd w:val="clear" w:color="auto" w:fill="auto"/>
            <w:vAlign w:val="center"/>
          </w:tcPr>
          <w:p>
            <w:pPr>
              <w:widowControl/>
              <w:jc w:val="center"/>
              <w:rPr>
                <w:color w:val="000000"/>
                <w:kern w:val="0"/>
              </w:rPr>
            </w:pPr>
            <w:r>
              <w:rPr>
                <w:rFonts w:hint="eastAsia"/>
                <w:color w:val="000000"/>
                <w:kern w:val="0"/>
              </w:rPr>
              <w:t>1</w:t>
            </w:r>
          </w:p>
        </w:tc>
        <w:tc>
          <w:tcPr>
            <w:tcW w:w="1040" w:type="dxa"/>
            <w:shd w:val="clear" w:color="auto" w:fill="auto"/>
            <w:vAlign w:val="center"/>
          </w:tcPr>
          <w:p>
            <w:pPr>
              <w:widowControl/>
              <w:jc w:val="center"/>
              <w:rPr>
                <w:color w:val="000000"/>
                <w:kern w:val="0"/>
              </w:rPr>
            </w:pPr>
            <w:r>
              <w:rPr>
                <w:rFonts w:hint="eastAsia"/>
                <w:color w:val="000000"/>
                <w:kern w:val="0"/>
              </w:rPr>
              <w:t>台</w:t>
            </w:r>
          </w:p>
        </w:tc>
        <w:tc>
          <w:tcPr>
            <w:tcW w:w="1040" w:type="dxa"/>
            <w:shd w:val="clear" w:color="auto" w:fill="auto"/>
            <w:vAlign w:val="center"/>
          </w:tcPr>
          <w:p>
            <w:pPr>
              <w:widowControl/>
              <w:jc w:val="center"/>
              <w:rPr>
                <w:color w:val="000000"/>
                <w:kern w:val="0"/>
              </w:rPr>
            </w:pPr>
            <w:r>
              <w:rPr>
                <w:rFonts w:hint="eastAsia"/>
                <w:color w:val="000000"/>
                <w:kern w:val="0"/>
              </w:rPr>
              <w:t>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5191" w:type="dxa"/>
            <w:gridSpan w:val="4"/>
            <w:shd w:val="clear" w:color="auto" w:fill="auto"/>
            <w:vAlign w:val="center"/>
          </w:tcPr>
          <w:p>
            <w:pPr>
              <w:widowControl/>
              <w:jc w:val="center"/>
              <w:rPr>
                <w:b/>
                <w:bCs/>
                <w:color w:val="000000"/>
                <w:kern w:val="0"/>
              </w:rPr>
            </w:pPr>
            <w:r>
              <w:rPr>
                <w:rFonts w:hint="eastAsia"/>
                <w:b/>
                <w:bCs/>
                <w:color w:val="000000"/>
                <w:kern w:val="0"/>
              </w:rPr>
              <w:t>总计：</w:t>
            </w:r>
          </w:p>
        </w:tc>
        <w:tc>
          <w:tcPr>
            <w:tcW w:w="3120" w:type="dxa"/>
            <w:gridSpan w:val="3"/>
            <w:shd w:val="clear" w:color="auto" w:fill="auto"/>
            <w:vAlign w:val="center"/>
          </w:tcPr>
          <w:p>
            <w:pPr>
              <w:widowControl/>
              <w:jc w:val="center"/>
              <w:rPr>
                <w:b/>
                <w:bCs/>
                <w:color w:val="000000"/>
                <w:kern w:val="0"/>
              </w:rPr>
            </w:pPr>
            <w:r>
              <w:rPr>
                <w:rFonts w:hint="eastAsia"/>
                <w:b/>
                <w:bCs/>
                <w:color w:val="000000"/>
                <w:kern w:val="0"/>
              </w:rPr>
              <w:t>195</w:t>
            </w:r>
          </w:p>
        </w:tc>
      </w:tr>
    </w:tbl>
    <w:p/>
    <w:p>
      <w:pPr>
        <w:pStyle w:val="7"/>
      </w:pPr>
      <w:r>
        <w:rPr>
          <w:rFonts w:hint="eastAsia"/>
        </w:rPr>
        <w:t>2</w:t>
      </w:r>
      <w:r>
        <w:t xml:space="preserve">.1.1.2 </w:t>
      </w:r>
      <w:r>
        <w:rPr>
          <w:rFonts w:hint="eastAsia"/>
        </w:rPr>
        <w:t>免费维保期内的设备清单（下面简称“保内”）</w:t>
      </w:r>
    </w:p>
    <w:tbl>
      <w:tblPr>
        <w:tblStyle w:val="34"/>
        <w:tblW w:w="828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453"/>
        <w:gridCol w:w="1116"/>
        <w:gridCol w:w="2004"/>
        <w:gridCol w:w="732"/>
        <w:gridCol w:w="83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1075" w:type="dxa"/>
            <w:shd w:val="clear" w:color="auto" w:fill="FFFFFF"/>
          </w:tcPr>
          <w:p>
            <w:pPr>
              <w:widowControl/>
              <w:jc w:val="center"/>
              <w:textAlignment w:val="top"/>
              <w:rPr>
                <w:rFonts w:cs="微软雅黑"/>
                <w:b/>
                <w:bCs/>
                <w:color w:val="000000"/>
              </w:rPr>
            </w:pPr>
            <w:r>
              <w:rPr>
                <w:rFonts w:hint="eastAsia" w:cs="微软雅黑"/>
                <w:b/>
                <w:bCs/>
                <w:color w:val="000000"/>
                <w:kern w:val="0"/>
                <w:lang w:bidi="ar"/>
              </w:rPr>
              <w:t>序号</w:t>
            </w:r>
          </w:p>
        </w:tc>
        <w:tc>
          <w:tcPr>
            <w:tcW w:w="1453" w:type="dxa"/>
            <w:shd w:val="clear" w:color="auto" w:fill="FFFFFF"/>
          </w:tcPr>
          <w:p>
            <w:pPr>
              <w:widowControl/>
              <w:jc w:val="center"/>
              <w:textAlignment w:val="top"/>
              <w:rPr>
                <w:rFonts w:cs="微软雅黑"/>
                <w:b/>
                <w:bCs/>
                <w:color w:val="000000"/>
              </w:rPr>
            </w:pPr>
            <w:r>
              <w:rPr>
                <w:rFonts w:hint="eastAsia" w:cs="微软雅黑"/>
                <w:b/>
                <w:bCs/>
                <w:color w:val="000000"/>
                <w:kern w:val="0"/>
                <w:lang w:bidi="ar"/>
              </w:rPr>
              <w:t>设备类型</w:t>
            </w:r>
          </w:p>
        </w:tc>
        <w:tc>
          <w:tcPr>
            <w:tcW w:w="1116" w:type="dxa"/>
            <w:shd w:val="clear" w:color="auto" w:fill="FFFFFF"/>
          </w:tcPr>
          <w:p>
            <w:pPr>
              <w:widowControl/>
              <w:jc w:val="center"/>
              <w:textAlignment w:val="top"/>
              <w:rPr>
                <w:rFonts w:cs="微软雅黑"/>
                <w:b/>
                <w:bCs/>
                <w:color w:val="000000"/>
              </w:rPr>
            </w:pPr>
            <w:r>
              <w:rPr>
                <w:rFonts w:hint="eastAsia" w:cs="微软雅黑"/>
                <w:b/>
                <w:bCs/>
                <w:color w:val="000000"/>
                <w:kern w:val="0"/>
                <w:lang w:bidi="ar"/>
              </w:rPr>
              <w:t>品牌</w:t>
            </w:r>
          </w:p>
        </w:tc>
        <w:tc>
          <w:tcPr>
            <w:tcW w:w="2004" w:type="dxa"/>
            <w:shd w:val="clear" w:color="auto" w:fill="FFFFFF"/>
          </w:tcPr>
          <w:p>
            <w:pPr>
              <w:widowControl/>
              <w:jc w:val="center"/>
              <w:textAlignment w:val="top"/>
              <w:rPr>
                <w:rFonts w:cs="微软雅黑"/>
                <w:b/>
                <w:bCs/>
                <w:color w:val="000000"/>
              </w:rPr>
            </w:pPr>
            <w:r>
              <w:rPr>
                <w:rFonts w:hint="eastAsia" w:cs="微软雅黑"/>
                <w:b/>
                <w:bCs/>
                <w:color w:val="000000"/>
                <w:kern w:val="0"/>
                <w:lang w:bidi="ar"/>
              </w:rPr>
              <w:t>型号</w:t>
            </w:r>
          </w:p>
        </w:tc>
        <w:tc>
          <w:tcPr>
            <w:tcW w:w="732" w:type="dxa"/>
            <w:shd w:val="clear" w:color="auto" w:fill="FFFFFF"/>
          </w:tcPr>
          <w:p>
            <w:pPr>
              <w:widowControl/>
              <w:jc w:val="center"/>
              <w:textAlignment w:val="top"/>
              <w:rPr>
                <w:rFonts w:cs="微软雅黑"/>
                <w:b/>
                <w:bCs/>
                <w:color w:val="000000"/>
              </w:rPr>
            </w:pPr>
            <w:r>
              <w:rPr>
                <w:rFonts w:hint="eastAsia" w:cs="微软雅黑"/>
                <w:b/>
                <w:bCs/>
                <w:color w:val="000000"/>
                <w:kern w:val="0"/>
                <w:lang w:bidi="ar"/>
              </w:rPr>
              <w:t>数量</w:t>
            </w:r>
          </w:p>
        </w:tc>
        <w:tc>
          <w:tcPr>
            <w:tcW w:w="830" w:type="dxa"/>
            <w:shd w:val="clear" w:color="auto" w:fill="FFFFFF"/>
          </w:tcPr>
          <w:p>
            <w:pPr>
              <w:widowControl/>
              <w:jc w:val="center"/>
              <w:textAlignment w:val="top"/>
              <w:rPr>
                <w:rFonts w:cs="微软雅黑"/>
                <w:b/>
                <w:bCs/>
                <w:color w:val="000000"/>
              </w:rPr>
            </w:pPr>
            <w:r>
              <w:rPr>
                <w:rFonts w:hint="eastAsia" w:cs="微软雅黑"/>
                <w:b/>
                <w:bCs/>
                <w:color w:val="000000"/>
                <w:kern w:val="0"/>
                <w:lang w:bidi="ar"/>
              </w:rPr>
              <w:t>单位</w:t>
            </w:r>
          </w:p>
        </w:tc>
        <w:tc>
          <w:tcPr>
            <w:tcW w:w="1077" w:type="dxa"/>
            <w:shd w:val="clear" w:color="auto" w:fill="FFFFFF"/>
          </w:tcPr>
          <w:p>
            <w:pPr>
              <w:widowControl/>
              <w:jc w:val="center"/>
              <w:textAlignment w:val="top"/>
              <w:rPr>
                <w:rFonts w:cs="微软雅黑"/>
                <w:b/>
                <w:bCs/>
                <w:color w:val="000000"/>
              </w:rPr>
            </w:pPr>
            <w:r>
              <w:rPr>
                <w:rFonts w:hint="eastAsia" w:cs="微软雅黑"/>
                <w:b/>
                <w:bCs/>
                <w:color w:val="000000"/>
                <w:kern w:val="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75" w:type="dxa"/>
            <w:shd w:val="clear" w:color="auto" w:fill="auto"/>
          </w:tcPr>
          <w:p>
            <w:pPr>
              <w:widowControl/>
              <w:jc w:val="center"/>
              <w:textAlignment w:val="top"/>
              <w:rPr>
                <w:rFonts w:cs="微软雅黑"/>
                <w:color w:val="000000"/>
              </w:rPr>
            </w:pPr>
            <w:r>
              <w:rPr>
                <w:rFonts w:hint="eastAsia" w:cs="微软雅黑"/>
                <w:color w:val="000000"/>
                <w:kern w:val="0"/>
                <w:lang w:bidi="ar"/>
              </w:rPr>
              <w:t>1</w:t>
            </w:r>
          </w:p>
        </w:tc>
        <w:tc>
          <w:tcPr>
            <w:tcW w:w="1453" w:type="dxa"/>
            <w:shd w:val="clear" w:color="auto" w:fill="auto"/>
          </w:tcPr>
          <w:p>
            <w:pPr>
              <w:widowControl/>
              <w:jc w:val="center"/>
              <w:textAlignment w:val="top"/>
              <w:rPr>
                <w:rFonts w:cs="微软雅黑"/>
                <w:color w:val="000000"/>
              </w:rPr>
            </w:pPr>
            <w:r>
              <w:rPr>
                <w:rFonts w:hint="eastAsia" w:cs="微软雅黑"/>
                <w:color w:val="000000"/>
                <w:kern w:val="0"/>
                <w:lang w:bidi="ar"/>
              </w:rPr>
              <w:t>服务器</w:t>
            </w:r>
          </w:p>
        </w:tc>
        <w:tc>
          <w:tcPr>
            <w:tcW w:w="1116" w:type="dxa"/>
            <w:shd w:val="clear" w:color="auto" w:fill="auto"/>
          </w:tcPr>
          <w:p>
            <w:pPr>
              <w:widowControl/>
              <w:jc w:val="center"/>
              <w:textAlignment w:val="top"/>
              <w:rPr>
                <w:rFonts w:cs="微软雅黑"/>
                <w:color w:val="000000"/>
              </w:rPr>
            </w:pPr>
            <w:r>
              <w:rPr>
                <w:rFonts w:hint="eastAsia" w:cs="微软雅黑"/>
                <w:color w:val="000000"/>
                <w:kern w:val="0"/>
                <w:lang w:bidi="ar"/>
              </w:rPr>
              <w:t>DELL</w:t>
            </w:r>
          </w:p>
        </w:tc>
        <w:tc>
          <w:tcPr>
            <w:tcW w:w="2004" w:type="dxa"/>
            <w:shd w:val="clear" w:color="auto" w:fill="auto"/>
          </w:tcPr>
          <w:p>
            <w:pPr>
              <w:widowControl/>
              <w:jc w:val="center"/>
              <w:textAlignment w:val="top"/>
              <w:rPr>
                <w:rFonts w:cs="微软雅黑"/>
                <w:color w:val="000000"/>
              </w:rPr>
            </w:pPr>
            <w:r>
              <w:rPr>
                <w:rFonts w:hint="eastAsia" w:cs="微软雅黑"/>
                <w:color w:val="000000"/>
                <w:kern w:val="0"/>
                <w:lang w:bidi="ar"/>
              </w:rPr>
              <w:t>DELLR740</w:t>
            </w:r>
          </w:p>
        </w:tc>
        <w:tc>
          <w:tcPr>
            <w:tcW w:w="732" w:type="dxa"/>
            <w:shd w:val="clear" w:color="auto" w:fill="auto"/>
          </w:tcPr>
          <w:p>
            <w:pPr>
              <w:widowControl/>
              <w:jc w:val="center"/>
              <w:textAlignment w:val="top"/>
              <w:rPr>
                <w:rFonts w:cs="微软雅黑"/>
                <w:color w:val="000000"/>
              </w:rPr>
            </w:pPr>
            <w:r>
              <w:rPr>
                <w:rFonts w:hint="eastAsia" w:cs="微软雅黑"/>
                <w:color w:val="000000"/>
                <w:kern w:val="0"/>
                <w:lang w:bidi="ar"/>
              </w:rPr>
              <w:t>1</w:t>
            </w:r>
          </w:p>
        </w:tc>
        <w:tc>
          <w:tcPr>
            <w:tcW w:w="830" w:type="dxa"/>
            <w:shd w:val="clear" w:color="auto" w:fill="auto"/>
          </w:tcPr>
          <w:p>
            <w:pPr>
              <w:widowControl/>
              <w:jc w:val="center"/>
              <w:textAlignment w:val="top"/>
              <w:rPr>
                <w:rFonts w:cs="微软雅黑"/>
                <w:color w:val="000000"/>
              </w:rPr>
            </w:pPr>
            <w:r>
              <w:rPr>
                <w:rFonts w:hint="eastAsia" w:cs="微软雅黑"/>
                <w:color w:val="000000"/>
                <w:kern w:val="0"/>
                <w:lang w:bidi="ar"/>
              </w:rPr>
              <w:t>台</w:t>
            </w:r>
          </w:p>
        </w:tc>
        <w:tc>
          <w:tcPr>
            <w:tcW w:w="1077" w:type="dxa"/>
            <w:shd w:val="clear" w:color="auto" w:fill="auto"/>
          </w:tcPr>
          <w:p>
            <w:pPr>
              <w:widowControl/>
              <w:jc w:val="center"/>
              <w:textAlignment w:val="top"/>
              <w:rPr>
                <w:rFonts w:cs="微软雅黑"/>
                <w:color w:val="000000"/>
              </w:rPr>
            </w:pPr>
            <w:r>
              <w:rPr>
                <w:rFonts w:hint="eastAsia" w:cs="微软雅黑"/>
                <w:color w:val="000000"/>
                <w:kern w:val="0"/>
                <w:lang w:bidi="ar"/>
              </w:rPr>
              <w:t>保内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75" w:type="dxa"/>
            <w:shd w:val="clear" w:color="auto" w:fill="auto"/>
          </w:tcPr>
          <w:p>
            <w:pPr>
              <w:widowControl/>
              <w:jc w:val="center"/>
              <w:textAlignment w:val="top"/>
              <w:rPr>
                <w:rFonts w:cs="微软雅黑"/>
                <w:color w:val="000000"/>
              </w:rPr>
            </w:pPr>
            <w:r>
              <w:rPr>
                <w:rFonts w:hint="eastAsia" w:cs="微软雅黑"/>
                <w:color w:val="000000"/>
                <w:kern w:val="0"/>
                <w:lang w:bidi="ar"/>
              </w:rPr>
              <w:t>2</w:t>
            </w:r>
          </w:p>
        </w:tc>
        <w:tc>
          <w:tcPr>
            <w:tcW w:w="1453" w:type="dxa"/>
            <w:shd w:val="clear" w:color="auto" w:fill="auto"/>
          </w:tcPr>
          <w:p>
            <w:pPr>
              <w:widowControl/>
              <w:jc w:val="center"/>
              <w:textAlignment w:val="top"/>
              <w:rPr>
                <w:rFonts w:cs="微软雅黑"/>
                <w:color w:val="000000"/>
              </w:rPr>
            </w:pPr>
            <w:r>
              <w:rPr>
                <w:rFonts w:hint="eastAsia" w:cs="微软雅黑"/>
                <w:color w:val="000000"/>
                <w:kern w:val="0"/>
                <w:lang w:bidi="ar"/>
              </w:rPr>
              <w:t>光纤交换机</w:t>
            </w:r>
          </w:p>
        </w:tc>
        <w:tc>
          <w:tcPr>
            <w:tcW w:w="1116" w:type="dxa"/>
            <w:shd w:val="clear" w:color="auto" w:fill="auto"/>
          </w:tcPr>
          <w:p>
            <w:pPr>
              <w:widowControl/>
              <w:jc w:val="center"/>
              <w:textAlignment w:val="top"/>
              <w:rPr>
                <w:rFonts w:cs="微软雅黑"/>
                <w:color w:val="000000"/>
              </w:rPr>
            </w:pPr>
            <w:r>
              <w:rPr>
                <w:rFonts w:hint="eastAsia" w:cs="微软雅黑"/>
                <w:color w:val="000000"/>
                <w:kern w:val="0"/>
                <w:lang w:bidi="ar"/>
              </w:rPr>
              <w:t>DELL</w:t>
            </w:r>
          </w:p>
        </w:tc>
        <w:tc>
          <w:tcPr>
            <w:tcW w:w="2004" w:type="dxa"/>
            <w:shd w:val="clear" w:color="auto" w:fill="auto"/>
          </w:tcPr>
          <w:p>
            <w:pPr>
              <w:widowControl/>
              <w:jc w:val="center"/>
              <w:textAlignment w:val="top"/>
              <w:rPr>
                <w:rFonts w:cs="微软雅黑"/>
                <w:color w:val="000000"/>
              </w:rPr>
            </w:pPr>
            <w:r>
              <w:rPr>
                <w:rFonts w:hint="eastAsia" w:cs="微软雅黑"/>
                <w:color w:val="000000"/>
                <w:kern w:val="0"/>
                <w:lang w:bidi="ar"/>
              </w:rPr>
              <w:t>EMC DS-6630A</w:t>
            </w:r>
          </w:p>
        </w:tc>
        <w:tc>
          <w:tcPr>
            <w:tcW w:w="732" w:type="dxa"/>
            <w:shd w:val="clear" w:color="auto" w:fill="auto"/>
          </w:tcPr>
          <w:p>
            <w:pPr>
              <w:widowControl/>
              <w:jc w:val="center"/>
              <w:textAlignment w:val="top"/>
              <w:rPr>
                <w:rFonts w:cs="微软雅黑"/>
                <w:color w:val="000000"/>
              </w:rPr>
            </w:pPr>
            <w:r>
              <w:rPr>
                <w:rFonts w:hint="eastAsia" w:cs="微软雅黑"/>
                <w:color w:val="000000"/>
                <w:kern w:val="0"/>
                <w:lang w:bidi="ar"/>
              </w:rPr>
              <w:t>1</w:t>
            </w:r>
          </w:p>
        </w:tc>
        <w:tc>
          <w:tcPr>
            <w:tcW w:w="830" w:type="dxa"/>
            <w:shd w:val="clear" w:color="auto" w:fill="auto"/>
          </w:tcPr>
          <w:p>
            <w:pPr>
              <w:widowControl/>
              <w:jc w:val="center"/>
              <w:textAlignment w:val="top"/>
              <w:rPr>
                <w:rFonts w:cs="微软雅黑"/>
                <w:color w:val="000000"/>
              </w:rPr>
            </w:pPr>
            <w:r>
              <w:rPr>
                <w:rFonts w:hint="eastAsia" w:cs="微软雅黑"/>
                <w:color w:val="000000"/>
                <w:kern w:val="0"/>
                <w:lang w:bidi="ar"/>
              </w:rPr>
              <w:t>台</w:t>
            </w:r>
          </w:p>
        </w:tc>
        <w:tc>
          <w:tcPr>
            <w:tcW w:w="1077" w:type="dxa"/>
            <w:shd w:val="clear" w:color="auto" w:fill="auto"/>
          </w:tcPr>
          <w:p>
            <w:pPr>
              <w:widowControl/>
              <w:jc w:val="center"/>
              <w:textAlignment w:val="top"/>
              <w:rPr>
                <w:rFonts w:cs="微软雅黑"/>
                <w:color w:val="000000"/>
              </w:rPr>
            </w:pPr>
            <w:r>
              <w:rPr>
                <w:rFonts w:hint="eastAsia" w:cs="微软雅黑"/>
                <w:color w:val="000000"/>
                <w:kern w:val="0"/>
                <w:lang w:bidi="ar"/>
              </w:rPr>
              <w:t>保内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75" w:type="dxa"/>
            <w:shd w:val="clear" w:color="auto" w:fill="auto"/>
          </w:tcPr>
          <w:p>
            <w:pPr>
              <w:widowControl/>
              <w:jc w:val="center"/>
              <w:textAlignment w:val="top"/>
              <w:rPr>
                <w:rFonts w:cs="微软雅黑"/>
                <w:color w:val="000000"/>
              </w:rPr>
            </w:pPr>
            <w:r>
              <w:rPr>
                <w:rFonts w:cs="微软雅黑"/>
                <w:color w:val="000000"/>
                <w:kern w:val="0"/>
                <w:lang w:bidi="ar"/>
              </w:rPr>
              <w:t>3</w:t>
            </w:r>
          </w:p>
        </w:tc>
        <w:tc>
          <w:tcPr>
            <w:tcW w:w="1453" w:type="dxa"/>
            <w:shd w:val="clear" w:color="auto" w:fill="auto"/>
          </w:tcPr>
          <w:p>
            <w:pPr>
              <w:widowControl/>
              <w:jc w:val="center"/>
              <w:textAlignment w:val="top"/>
              <w:rPr>
                <w:rFonts w:cs="微软雅黑"/>
                <w:color w:val="000000"/>
              </w:rPr>
            </w:pPr>
            <w:r>
              <w:rPr>
                <w:rFonts w:hint="eastAsia" w:cs="微软雅黑"/>
                <w:color w:val="000000"/>
                <w:kern w:val="0"/>
                <w:lang w:bidi="ar"/>
              </w:rPr>
              <w:t>光纤交换机</w:t>
            </w:r>
          </w:p>
        </w:tc>
        <w:tc>
          <w:tcPr>
            <w:tcW w:w="1116" w:type="dxa"/>
            <w:shd w:val="clear" w:color="auto" w:fill="auto"/>
          </w:tcPr>
          <w:p>
            <w:pPr>
              <w:widowControl/>
              <w:jc w:val="center"/>
              <w:textAlignment w:val="top"/>
              <w:rPr>
                <w:rFonts w:cs="微软雅黑"/>
                <w:color w:val="000000"/>
              </w:rPr>
            </w:pPr>
            <w:r>
              <w:rPr>
                <w:rFonts w:hint="eastAsia" w:cs="微软雅黑"/>
                <w:color w:val="000000"/>
                <w:kern w:val="0"/>
                <w:lang w:bidi="ar"/>
              </w:rPr>
              <w:t>DELL</w:t>
            </w:r>
          </w:p>
        </w:tc>
        <w:tc>
          <w:tcPr>
            <w:tcW w:w="2004" w:type="dxa"/>
            <w:shd w:val="clear" w:color="auto" w:fill="auto"/>
          </w:tcPr>
          <w:p>
            <w:pPr>
              <w:widowControl/>
              <w:jc w:val="center"/>
              <w:textAlignment w:val="top"/>
              <w:rPr>
                <w:rFonts w:cs="微软雅黑"/>
                <w:color w:val="000000"/>
              </w:rPr>
            </w:pPr>
            <w:r>
              <w:rPr>
                <w:rFonts w:hint="eastAsia" w:cs="微软雅黑"/>
                <w:color w:val="000000"/>
                <w:kern w:val="0"/>
                <w:lang w:bidi="ar"/>
              </w:rPr>
              <w:t>EMC DS-6630B</w:t>
            </w:r>
          </w:p>
        </w:tc>
        <w:tc>
          <w:tcPr>
            <w:tcW w:w="732" w:type="dxa"/>
            <w:shd w:val="clear" w:color="auto" w:fill="auto"/>
          </w:tcPr>
          <w:p>
            <w:pPr>
              <w:widowControl/>
              <w:jc w:val="center"/>
              <w:textAlignment w:val="top"/>
              <w:rPr>
                <w:rFonts w:cs="微软雅黑"/>
                <w:color w:val="000000"/>
              </w:rPr>
            </w:pPr>
            <w:r>
              <w:rPr>
                <w:rFonts w:hint="eastAsia" w:cs="微软雅黑"/>
                <w:color w:val="000000"/>
                <w:kern w:val="0"/>
                <w:lang w:bidi="ar"/>
              </w:rPr>
              <w:t>1</w:t>
            </w:r>
          </w:p>
        </w:tc>
        <w:tc>
          <w:tcPr>
            <w:tcW w:w="830" w:type="dxa"/>
            <w:shd w:val="clear" w:color="auto" w:fill="auto"/>
          </w:tcPr>
          <w:p>
            <w:pPr>
              <w:widowControl/>
              <w:jc w:val="center"/>
              <w:textAlignment w:val="top"/>
              <w:rPr>
                <w:rFonts w:cs="微软雅黑"/>
                <w:color w:val="000000"/>
              </w:rPr>
            </w:pPr>
            <w:r>
              <w:rPr>
                <w:rFonts w:hint="eastAsia" w:cs="微软雅黑"/>
                <w:color w:val="000000"/>
                <w:kern w:val="0"/>
                <w:lang w:bidi="ar"/>
              </w:rPr>
              <w:t>台</w:t>
            </w:r>
          </w:p>
        </w:tc>
        <w:tc>
          <w:tcPr>
            <w:tcW w:w="1077" w:type="dxa"/>
            <w:shd w:val="clear" w:color="auto" w:fill="auto"/>
          </w:tcPr>
          <w:p>
            <w:pPr>
              <w:widowControl/>
              <w:jc w:val="center"/>
              <w:textAlignment w:val="top"/>
              <w:rPr>
                <w:rFonts w:cs="微软雅黑"/>
                <w:color w:val="000000"/>
              </w:rPr>
            </w:pPr>
            <w:r>
              <w:rPr>
                <w:rFonts w:hint="eastAsia" w:cs="微软雅黑"/>
                <w:color w:val="000000"/>
                <w:kern w:val="0"/>
                <w:lang w:bidi="ar"/>
              </w:rPr>
              <w:t>保内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75" w:type="dxa"/>
            <w:shd w:val="clear" w:color="auto" w:fill="auto"/>
          </w:tcPr>
          <w:p>
            <w:pPr>
              <w:widowControl/>
              <w:jc w:val="center"/>
              <w:textAlignment w:val="top"/>
              <w:rPr>
                <w:rFonts w:cs="微软雅黑"/>
                <w:color w:val="000000"/>
              </w:rPr>
            </w:pPr>
            <w:r>
              <w:rPr>
                <w:rFonts w:cs="微软雅黑"/>
                <w:color w:val="000000"/>
                <w:kern w:val="0"/>
                <w:lang w:bidi="ar"/>
              </w:rPr>
              <w:t>4</w:t>
            </w:r>
          </w:p>
        </w:tc>
        <w:tc>
          <w:tcPr>
            <w:tcW w:w="1453" w:type="dxa"/>
            <w:shd w:val="clear" w:color="auto" w:fill="auto"/>
          </w:tcPr>
          <w:p>
            <w:pPr>
              <w:widowControl/>
              <w:jc w:val="center"/>
              <w:textAlignment w:val="top"/>
              <w:rPr>
                <w:rFonts w:cs="微软雅黑"/>
                <w:color w:val="000000"/>
              </w:rPr>
            </w:pPr>
            <w:r>
              <w:rPr>
                <w:rFonts w:hint="eastAsia" w:cs="微软雅黑"/>
                <w:color w:val="000000"/>
                <w:kern w:val="0"/>
                <w:lang w:bidi="ar"/>
              </w:rPr>
              <w:t>服务器</w:t>
            </w:r>
          </w:p>
        </w:tc>
        <w:tc>
          <w:tcPr>
            <w:tcW w:w="1116" w:type="dxa"/>
            <w:shd w:val="clear" w:color="auto" w:fill="auto"/>
          </w:tcPr>
          <w:p>
            <w:pPr>
              <w:widowControl/>
              <w:jc w:val="center"/>
              <w:textAlignment w:val="top"/>
              <w:rPr>
                <w:rFonts w:cs="微软雅黑"/>
                <w:color w:val="000000"/>
              </w:rPr>
            </w:pPr>
            <w:r>
              <w:rPr>
                <w:rFonts w:hint="eastAsia" w:cs="微软雅黑"/>
                <w:color w:val="000000"/>
                <w:kern w:val="0"/>
                <w:lang w:bidi="ar"/>
              </w:rPr>
              <w:t>SmartX</w:t>
            </w:r>
          </w:p>
        </w:tc>
        <w:tc>
          <w:tcPr>
            <w:tcW w:w="2004" w:type="dxa"/>
            <w:shd w:val="clear" w:color="auto" w:fill="auto"/>
          </w:tcPr>
          <w:p>
            <w:pPr>
              <w:widowControl/>
              <w:jc w:val="center"/>
              <w:textAlignment w:val="top"/>
              <w:rPr>
                <w:rFonts w:cs="微软雅黑"/>
                <w:color w:val="000000"/>
              </w:rPr>
            </w:pPr>
            <w:r>
              <w:rPr>
                <w:rFonts w:hint="eastAsia" w:cs="微软雅黑"/>
                <w:color w:val="000000"/>
                <w:kern w:val="0"/>
                <w:lang w:bidi="ar"/>
              </w:rPr>
              <w:t>Halo7100L</w:t>
            </w:r>
          </w:p>
        </w:tc>
        <w:tc>
          <w:tcPr>
            <w:tcW w:w="732" w:type="dxa"/>
            <w:shd w:val="clear" w:color="auto" w:fill="auto"/>
          </w:tcPr>
          <w:p>
            <w:pPr>
              <w:widowControl/>
              <w:jc w:val="center"/>
              <w:textAlignment w:val="top"/>
              <w:rPr>
                <w:rFonts w:cs="微软雅黑"/>
                <w:color w:val="000000"/>
              </w:rPr>
            </w:pPr>
            <w:r>
              <w:rPr>
                <w:rFonts w:hint="eastAsia" w:cs="微软雅黑"/>
                <w:color w:val="000000"/>
                <w:kern w:val="0"/>
                <w:lang w:bidi="ar"/>
              </w:rPr>
              <w:t>4</w:t>
            </w:r>
          </w:p>
        </w:tc>
        <w:tc>
          <w:tcPr>
            <w:tcW w:w="830" w:type="dxa"/>
            <w:shd w:val="clear" w:color="auto" w:fill="auto"/>
          </w:tcPr>
          <w:p>
            <w:pPr>
              <w:widowControl/>
              <w:jc w:val="center"/>
              <w:textAlignment w:val="top"/>
              <w:rPr>
                <w:rFonts w:cs="微软雅黑"/>
                <w:color w:val="000000"/>
              </w:rPr>
            </w:pPr>
            <w:r>
              <w:rPr>
                <w:rFonts w:hint="eastAsia" w:cs="微软雅黑"/>
                <w:color w:val="000000"/>
                <w:kern w:val="0"/>
                <w:lang w:bidi="ar"/>
              </w:rPr>
              <w:t>台</w:t>
            </w:r>
          </w:p>
        </w:tc>
        <w:tc>
          <w:tcPr>
            <w:tcW w:w="1077" w:type="dxa"/>
            <w:shd w:val="clear" w:color="auto" w:fill="auto"/>
          </w:tcPr>
          <w:p>
            <w:pPr>
              <w:widowControl/>
              <w:jc w:val="center"/>
              <w:textAlignment w:val="top"/>
              <w:rPr>
                <w:rFonts w:cs="微软雅黑"/>
                <w:color w:val="000000"/>
              </w:rPr>
            </w:pPr>
            <w:r>
              <w:rPr>
                <w:rFonts w:hint="eastAsia" w:cs="微软雅黑"/>
                <w:color w:val="000000"/>
                <w:kern w:val="0"/>
                <w:lang w:bidi="ar"/>
              </w:rPr>
              <w:t>保内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75" w:type="dxa"/>
            <w:shd w:val="clear" w:color="auto" w:fill="auto"/>
          </w:tcPr>
          <w:p>
            <w:pPr>
              <w:widowControl/>
              <w:jc w:val="center"/>
              <w:textAlignment w:val="top"/>
              <w:rPr>
                <w:rFonts w:cs="微软雅黑"/>
                <w:color w:val="000000"/>
              </w:rPr>
            </w:pPr>
            <w:r>
              <w:rPr>
                <w:rFonts w:cs="微软雅黑"/>
                <w:color w:val="000000"/>
                <w:kern w:val="0"/>
                <w:lang w:bidi="ar"/>
              </w:rPr>
              <w:t>5</w:t>
            </w:r>
          </w:p>
        </w:tc>
        <w:tc>
          <w:tcPr>
            <w:tcW w:w="1453" w:type="dxa"/>
            <w:shd w:val="clear" w:color="auto" w:fill="auto"/>
          </w:tcPr>
          <w:p>
            <w:pPr>
              <w:widowControl/>
              <w:jc w:val="center"/>
              <w:textAlignment w:val="top"/>
              <w:rPr>
                <w:rFonts w:cs="微软雅黑"/>
                <w:color w:val="000000"/>
              </w:rPr>
            </w:pPr>
            <w:r>
              <w:rPr>
                <w:rFonts w:hint="eastAsia" w:cs="微软雅黑"/>
                <w:color w:val="000000"/>
                <w:kern w:val="0"/>
                <w:lang w:bidi="ar"/>
              </w:rPr>
              <w:t>服务器</w:t>
            </w:r>
          </w:p>
        </w:tc>
        <w:tc>
          <w:tcPr>
            <w:tcW w:w="1116" w:type="dxa"/>
            <w:shd w:val="clear" w:color="auto" w:fill="auto"/>
          </w:tcPr>
          <w:p>
            <w:pPr>
              <w:widowControl/>
              <w:jc w:val="center"/>
              <w:textAlignment w:val="top"/>
              <w:rPr>
                <w:rFonts w:cs="微软雅黑"/>
                <w:color w:val="000000"/>
              </w:rPr>
            </w:pPr>
            <w:r>
              <w:rPr>
                <w:rFonts w:hint="eastAsia" w:cs="微软雅黑"/>
                <w:color w:val="000000"/>
                <w:kern w:val="0"/>
                <w:lang w:bidi="ar"/>
              </w:rPr>
              <w:t>H3C</w:t>
            </w:r>
          </w:p>
        </w:tc>
        <w:tc>
          <w:tcPr>
            <w:tcW w:w="2004" w:type="dxa"/>
            <w:shd w:val="clear" w:color="auto" w:fill="auto"/>
          </w:tcPr>
          <w:p>
            <w:pPr>
              <w:widowControl/>
              <w:jc w:val="center"/>
              <w:textAlignment w:val="top"/>
              <w:rPr>
                <w:rFonts w:cs="微软雅黑"/>
                <w:color w:val="000000"/>
              </w:rPr>
            </w:pPr>
            <w:r>
              <w:rPr>
                <w:rFonts w:hint="eastAsia" w:cs="微软雅黑"/>
                <w:color w:val="000000"/>
                <w:kern w:val="0"/>
                <w:lang w:bidi="ar"/>
              </w:rPr>
              <w:t>R390X G2</w:t>
            </w:r>
          </w:p>
        </w:tc>
        <w:tc>
          <w:tcPr>
            <w:tcW w:w="732" w:type="dxa"/>
            <w:shd w:val="clear" w:color="auto" w:fill="auto"/>
          </w:tcPr>
          <w:p>
            <w:pPr>
              <w:widowControl/>
              <w:jc w:val="center"/>
              <w:textAlignment w:val="top"/>
              <w:rPr>
                <w:rFonts w:cs="微软雅黑"/>
                <w:color w:val="000000"/>
              </w:rPr>
            </w:pPr>
            <w:r>
              <w:rPr>
                <w:rFonts w:hint="eastAsia" w:cs="微软雅黑"/>
                <w:color w:val="000000"/>
                <w:kern w:val="0"/>
                <w:lang w:bidi="ar"/>
              </w:rPr>
              <w:t>1</w:t>
            </w:r>
          </w:p>
        </w:tc>
        <w:tc>
          <w:tcPr>
            <w:tcW w:w="830" w:type="dxa"/>
            <w:shd w:val="clear" w:color="auto" w:fill="auto"/>
          </w:tcPr>
          <w:p>
            <w:pPr>
              <w:widowControl/>
              <w:jc w:val="center"/>
              <w:textAlignment w:val="top"/>
              <w:rPr>
                <w:rFonts w:cs="微软雅黑"/>
                <w:color w:val="000000"/>
              </w:rPr>
            </w:pPr>
            <w:r>
              <w:rPr>
                <w:rFonts w:hint="eastAsia" w:cs="微软雅黑"/>
                <w:color w:val="000000"/>
                <w:kern w:val="0"/>
                <w:lang w:bidi="ar"/>
              </w:rPr>
              <w:t>台</w:t>
            </w:r>
          </w:p>
        </w:tc>
        <w:tc>
          <w:tcPr>
            <w:tcW w:w="1077" w:type="dxa"/>
            <w:shd w:val="clear" w:color="auto" w:fill="auto"/>
          </w:tcPr>
          <w:p>
            <w:pPr>
              <w:widowControl/>
              <w:jc w:val="center"/>
              <w:textAlignment w:val="top"/>
              <w:rPr>
                <w:rFonts w:cs="微软雅黑"/>
                <w:color w:val="000000"/>
              </w:rPr>
            </w:pPr>
            <w:r>
              <w:rPr>
                <w:rFonts w:hint="eastAsia" w:cs="微软雅黑"/>
                <w:color w:val="000000"/>
                <w:kern w:val="0"/>
                <w:lang w:bidi="ar"/>
              </w:rPr>
              <w:t>保内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648" w:type="dxa"/>
            <w:gridSpan w:val="4"/>
            <w:shd w:val="clear" w:color="auto" w:fill="auto"/>
            <w:vAlign w:val="center"/>
          </w:tcPr>
          <w:p>
            <w:pPr>
              <w:widowControl/>
              <w:jc w:val="center"/>
              <w:textAlignment w:val="center"/>
              <w:rPr>
                <w:rFonts w:cs="微软雅黑"/>
                <w:b/>
                <w:bCs/>
                <w:color w:val="000000"/>
              </w:rPr>
            </w:pPr>
            <w:r>
              <w:rPr>
                <w:rFonts w:hint="eastAsia" w:cs="微软雅黑"/>
                <w:b/>
                <w:bCs/>
                <w:color w:val="000000"/>
                <w:kern w:val="0"/>
                <w:lang w:bidi="ar"/>
              </w:rPr>
              <w:t>总计：</w:t>
            </w:r>
          </w:p>
        </w:tc>
        <w:tc>
          <w:tcPr>
            <w:tcW w:w="2639" w:type="dxa"/>
            <w:gridSpan w:val="3"/>
            <w:shd w:val="clear" w:color="auto" w:fill="auto"/>
          </w:tcPr>
          <w:p>
            <w:pPr>
              <w:widowControl/>
              <w:jc w:val="center"/>
              <w:textAlignment w:val="top"/>
              <w:rPr>
                <w:rFonts w:cs="微软雅黑"/>
                <w:b/>
                <w:bCs/>
                <w:color w:val="000000"/>
              </w:rPr>
            </w:pPr>
            <w:r>
              <w:rPr>
                <w:rFonts w:hint="eastAsia" w:cs="微软雅黑"/>
                <w:b/>
                <w:bCs/>
                <w:color w:val="000000"/>
                <w:kern w:val="0"/>
                <w:lang w:bidi="ar"/>
              </w:rPr>
              <w:t>8台</w:t>
            </w:r>
          </w:p>
        </w:tc>
      </w:tr>
    </w:tbl>
    <w:p>
      <w:pPr>
        <w:spacing w:line="360" w:lineRule="auto"/>
      </w:pPr>
      <w:r>
        <w:rPr>
          <w:rFonts w:hint="eastAsia"/>
        </w:rPr>
        <w:t>备注：服务商需对过保设备提供备件供应服务；保质期内设备如有故障需及时响应，协助院方联系厂商解决故障。</w:t>
      </w:r>
    </w:p>
    <w:p>
      <w:pPr>
        <w:pStyle w:val="6"/>
        <w:rPr>
          <w:rFonts w:hAnsi="宋体"/>
        </w:rPr>
      </w:pPr>
      <w:r>
        <w:rPr>
          <w:rFonts w:hint="eastAsia" w:hAnsi="宋体"/>
        </w:rPr>
        <w:t>2</w:t>
      </w:r>
      <w:r>
        <w:rPr>
          <w:rFonts w:hAnsi="宋体"/>
        </w:rPr>
        <w:t>.1.</w:t>
      </w:r>
      <w:r>
        <w:rPr>
          <w:rFonts w:hint="eastAsia" w:hAnsi="宋体"/>
        </w:rPr>
        <w:t>2</w:t>
      </w:r>
      <w:r>
        <w:rPr>
          <w:rFonts w:hAnsi="宋体"/>
        </w:rPr>
        <w:t xml:space="preserve"> </w:t>
      </w:r>
      <w:r>
        <w:rPr>
          <w:rFonts w:hint="eastAsia" w:hAnsi="宋体"/>
        </w:rPr>
        <w:t>服务报障及在线技术支持</w:t>
      </w:r>
    </w:p>
    <w:p>
      <w:pPr>
        <w:pStyle w:val="45"/>
        <w:numPr>
          <w:ilvl w:val="0"/>
          <w:numId w:val="3"/>
        </w:numPr>
        <w:spacing w:line="360" w:lineRule="auto"/>
        <w:ind w:firstLineChars="0"/>
      </w:pPr>
      <w:r>
        <w:rPr>
          <w:rFonts w:hint="eastAsia"/>
        </w:rPr>
        <w:t>7×2</w:t>
      </w:r>
      <w:r>
        <w:t>4</w:t>
      </w:r>
      <w:r>
        <w:rPr>
          <w:rFonts w:hint="eastAsia"/>
        </w:rPr>
        <w:t>小时报障模式：要求服务商提供固定的7×24小时故障受理电话服务，并设有400报修和技术热线电话。</w:t>
      </w:r>
    </w:p>
    <w:p>
      <w:pPr>
        <w:pStyle w:val="45"/>
        <w:numPr>
          <w:ilvl w:val="0"/>
          <w:numId w:val="3"/>
        </w:numPr>
        <w:spacing w:line="360" w:lineRule="auto"/>
        <w:ind w:firstLineChars="0"/>
      </w:pPr>
      <w:r>
        <w:rPr>
          <w:rFonts w:hint="eastAsia"/>
        </w:rPr>
        <w:t>在线技术支持：要求服务商热线接听技术人员接听电话后，能对问题进行初步的分析和判断，通过技术咨询解决部分问题，尽可能地提高解决问题的效率。因设备软件的版本原因而对系统的正常运行产生不良影响或安全隐患的，要求免费提供设备软件的升级服务。</w:t>
      </w:r>
    </w:p>
    <w:p>
      <w:pPr>
        <w:pStyle w:val="45"/>
        <w:numPr>
          <w:ilvl w:val="0"/>
          <w:numId w:val="3"/>
        </w:numPr>
        <w:spacing w:line="360" w:lineRule="auto"/>
        <w:ind w:firstLineChars="0"/>
      </w:pPr>
      <w:r>
        <w:rPr>
          <w:rFonts w:hint="eastAsia"/>
        </w:rPr>
        <w:t>详细的记录：要求投标服务商热线接听人员对用户信息及故障进行详细的记录，以确保上门服务的技术人员看到详细的信息，保证用户不会被重复的询问同样的问题。</w:t>
      </w:r>
    </w:p>
    <w:p>
      <w:pPr>
        <w:spacing w:line="360" w:lineRule="auto"/>
      </w:pPr>
    </w:p>
    <w:p>
      <w:pPr>
        <w:pStyle w:val="6"/>
        <w:rPr>
          <w:rFonts w:hAnsi="宋体"/>
        </w:rPr>
      </w:pPr>
      <w:r>
        <w:rPr>
          <w:rFonts w:hint="eastAsia" w:hAnsi="宋体"/>
        </w:rPr>
        <w:t>2</w:t>
      </w:r>
      <w:r>
        <w:rPr>
          <w:rFonts w:hAnsi="宋体"/>
        </w:rPr>
        <w:t>.1.</w:t>
      </w:r>
      <w:r>
        <w:rPr>
          <w:rFonts w:hint="eastAsia" w:hAnsi="宋体"/>
        </w:rPr>
        <w:t>3</w:t>
      </w:r>
      <w:r>
        <w:rPr>
          <w:rFonts w:hAnsi="宋体"/>
        </w:rPr>
        <w:t xml:space="preserve"> </w:t>
      </w:r>
      <w:r>
        <w:rPr>
          <w:rFonts w:hint="eastAsia" w:hAnsi="宋体"/>
        </w:rPr>
        <w:t>硬件系统故障恢复服务</w:t>
      </w:r>
    </w:p>
    <w:p>
      <w:pPr>
        <w:spacing w:line="360" w:lineRule="auto"/>
        <w:ind w:firstLine="420" w:firstLineChars="200"/>
      </w:pPr>
      <w:r>
        <w:rPr>
          <w:rFonts w:hint="eastAsia"/>
        </w:rPr>
        <w:t>服务商必须</w:t>
      </w:r>
      <w:r>
        <w:rPr>
          <w:rFonts w:hint="eastAsia"/>
          <w:color w:val="000000"/>
        </w:rPr>
        <w:t>负责对参保设备所有硬件做故障诊断、保修及系统性能维护，</w:t>
      </w:r>
      <w:r>
        <w:rPr>
          <w:rFonts w:hint="eastAsia"/>
        </w:rPr>
        <w:t>负责对清单中硬件设备发生故障的所有设备配件进行免费维修、更换，该项费用包括在本项目报价总价内，用户无需另外支付。如更换的维保设备属涉及有不可外泄的数据内容，则必须等用户方将针对该设备的数据作删除处理后再归还。要求所有更换的备件必须全新或功能全新，且型号不得低于故障设备规格型号档次。硬件设备维保服务主要包括以下内容：</w:t>
      </w:r>
    </w:p>
    <w:p>
      <w:pPr>
        <w:pStyle w:val="45"/>
        <w:numPr>
          <w:ilvl w:val="0"/>
          <w:numId w:val="4"/>
        </w:numPr>
        <w:spacing w:line="360" w:lineRule="auto"/>
        <w:ind w:firstLineChars="0"/>
      </w:pPr>
      <w:r>
        <w:rPr>
          <w:rFonts w:hint="eastAsia"/>
        </w:rPr>
        <w:t>服务器硬件安装配置（含主机所有板卡、电源、硬盘等硬件部分）；</w:t>
      </w:r>
    </w:p>
    <w:p>
      <w:pPr>
        <w:pStyle w:val="45"/>
        <w:numPr>
          <w:ilvl w:val="0"/>
          <w:numId w:val="4"/>
        </w:numPr>
        <w:spacing w:line="360" w:lineRule="auto"/>
        <w:ind w:firstLineChars="0"/>
      </w:pPr>
      <w:r>
        <w:rPr>
          <w:rFonts w:hint="eastAsia"/>
        </w:rPr>
        <w:t>提供系统切换、升级、设备扩容服务时的技术支持；</w:t>
      </w:r>
    </w:p>
    <w:p>
      <w:pPr>
        <w:pStyle w:val="45"/>
        <w:numPr>
          <w:ilvl w:val="0"/>
          <w:numId w:val="4"/>
        </w:numPr>
        <w:spacing w:line="360" w:lineRule="auto"/>
        <w:ind w:firstLineChars="0"/>
      </w:pPr>
      <w:r>
        <w:rPr>
          <w:rFonts w:hint="eastAsia"/>
        </w:rPr>
        <w:t>服务器的现场硬件故障诊断、备件更换与维修；</w:t>
      </w:r>
    </w:p>
    <w:p>
      <w:pPr>
        <w:pStyle w:val="45"/>
        <w:numPr>
          <w:ilvl w:val="0"/>
          <w:numId w:val="4"/>
        </w:numPr>
        <w:spacing w:line="360" w:lineRule="auto"/>
        <w:ind w:firstLineChars="0"/>
      </w:pPr>
      <w:r>
        <w:rPr>
          <w:rFonts w:hint="eastAsia"/>
        </w:rPr>
        <w:t>存储设备的安装配置，现场硬件故障诊断、备件更换与维修；</w:t>
      </w:r>
    </w:p>
    <w:p>
      <w:pPr>
        <w:pStyle w:val="45"/>
        <w:numPr>
          <w:ilvl w:val="0"/>
          <w:numId w:val="4"/>
        </w:numPr>
        <w:spacing w:line="360" w:lineRule="auto"/>
        <w:ind w:firstLineChars="0"/>
      </w:pPr>
      <w:r>
        <w:rPr>
          <w:rFonts w:hint="eastAsia"/>
        </w:rPr>
        <w:t>按需要对硬件进行微代码升级；</w:t>
      </w:r>
    </w:p>
    <w:p>
      <w:pPr>
        <w:pStyle w:val="45"/>
        <w:numPr>
          <w:ilvl w:val="0"/>
          <w:numId w:val="4"/>
        </w:numPr>
        <w:spacing w:line="360" w:lineRule="auto"/>
        <w:ind w:firstLineChars="0"/>
        <w:rPr>
          <w:color w:val="000000"/>
        </w:rPr>
      </w:pPr>
      <w:r>
        <w:rPr>
          <w:rFonts w:hint="eastAsia"/>
          <w:color w:val="000000"/>
        </w:rPr>
        <w:t>按需要安装补丁程序；</w:t>
      </w:r>
    </w:p>
    <w:p>
      <w:pPr>
        <w:pStyle w:val="45"/>
        <w:numPr>
          <w:ilvl w:val="0"/>
          <w:numId w:val="4"/>
        </w:numPr>
        <w:spacing w:line="360" w:lineRule="auto"/>
        <w:ind w:firstLineChars="0"/>
      </w:pPr>
      <w:r>
        <w:rPr>
          <w:rFonts w:hint="eastAsia"/>
          <w:color w:val="000000"/>
        </w:rPr>
        <w:t>操作系统健康检查，系统基本的性能分析；</w:t>
      </w:r>
    </w:p>
    <w:p>
      <w:pPr>
        <w:pStyle w:val="45"/>
        <w:numPr>
          <w:ilvl w:val="0"/>
          <w:numId w:val="4"/>
        </w:numPr>
        <w:spacing w:line="360" w:lineRule="auto"/>
        <w:ind w:firstLineChars="0"/>
      </w:pPr>
      <w:r>
        <w:rPr>
          <w:rFonts w:hint="eastAsia"/>
        </w:rPr>
        <w:t>为过保设备实行备件</w:t>
      </w:r>
      <w:r>
        <w:t>先行服务</w:t>
      </w:r>
      <w:r>
        <w:rPr>
          <w:rFonts w:hint="eastAsia"/>
        </w:rPr>
        <w:t>。</w:t>
      </w:r>
    </w:p>
    <w:p>
      <w:pPr>
        <w:spacing w:line="360" w:lineRule="auto"/>
      </w:pPr>
    </w:p>
    <w:p>
      <w:pPr>
        <w:pStyle w:val="6"/>
        <w:rPr>
          <w:rFonts w:hAnsi="宋体"/>
        </w:rPr>
      </w:pPr>
      <w:bookmarkStart w:id="0" w:name="_Hlk127952363"/>
      <w:r>
        <w:rPr>
          <w:rFonts w:hint="eastAsia" w:hAnsi="宋体"/>
        </w:rPr>
        <w:t>2</w:t>
      </w:r>
      <w:r>
        <w:rPr>
          <w:rFonts w:hAnsi="宋体"/>
        </w:rPr>
        <w:t>.1.</w:t>
      </w:r>
      <w:r>
        <w:rPr>
          <w:rFonts w:hint="eastAsia" w:hAnsi="宋体"/>
        </w:rPr>
        <w:t>4</w:t>
      </w:r>
      <w:r>
        <w:rPr>
          <w:rFonts w:hAnsi="宋体"/>
        </w:rPr>
        <w:t xml:space="preserve"> </w:t>
      </w:r>
      <w:r>
        <w:rPr>
          <w:rFonts w:hint="eastAsia" w:hAnsi="宋体"/>
        </w:rPr>
        <w:t>专属备机备件服务</w:t>
      </w:r>
    </w:p>
    <w:p>
      <w:pPr>
        <w:pStyle w:val="45"/>
        <w:numPr>
          <w:ilvl w:val="0"/>
          <w:numId w:val="5"/>
        </w:numPr>
        <w:spacing w:line="360" w:lineRule="auto"/>
        <w:ind w:firstLineChars="0"/>
      </w:pPr>
      <w:r>
        <w:rPr>
          <w:rFonts w:hint="eastAsia"/>
        </w:rPr>
        <w:t>服务商必须提供在广州设立的备件库及其备件库所在地详细信息。为保障服务质量和修复时限，要求服务商针对本次项目过保设备清单中的设备部署专用备机备件，服务期间不得挪用其他项目，并列出备机备件清单，供用户查验。</w:t>
      </w:r>
    </w:p>
    <w:p>
      <w:pPr>
        <w:pStyle w:val="45"/>
        <w:numPr>
          <w:ilvl w:val="0"/>
          <w:numId w:val="5"/>
        </w:numPr>
        <w:spacing w:line="360" w:lineRule="auto"/>
        <w:ind w:firstLineChars="0"/>
      </w:pPr>
      <w:r>
        <w:rPr>
          <w:rFonts w:hint="eastAsia"/>
        </w:rPr>
        <w:t>要求服务商针对过保设备的重要性，准备以下备件和备机，按照采购人要求把核心重要备件和备机放置现场。当设备出现故障时，由服务商技术人员及时取备件解决故障，或在故障无法在规定时限内修复启用备机，以确保用户业务系统的及时恢复。平时备件备机可以用来做测试、培训讲课使用，备件备机清单如下：</w:t>
      </w:r>
    </w:p>
    <w:bookmarkEnd w:id="0"/>
    <w:p>
      <w:pPr>
        <w:pStyle w:val="7"/>
      </w:pPr>
      <w:r>
        <w:rPr>
          <w:rFonts w:hint="eastAsia"/>
        </w:rPr>
        <w:t>2</w:t>
      </w:r>
      <w:r>
        <w:t>.1.</w:t>
      </w:r>
      <w:r>
        <w:rPr>
          <w:rFonts w:hint="eastAsia"/>
        </w:rPr>
        <w:t>4</w:t>
      </w:r>
      <w:r>
        <w:t xml:space="preserve">.1 </w:t>
      </w:r>
      <w:r>
        <w:rPr>
          <w:rFonts w:hint="eastAsia"/>
        </w:rPr>
        <w:t>备件清单</w:t>
      </w:r>
    </w:p>
    <w:p>
      <w:pPr>
        <w:ind w:firstLine="420" w:firstLineChars="200"/>
      </w:pPr>
      <w:r>
        <w:t>(</w:t>
      </w:r>
      <w:r>
        <w:rPr>
          <w:rFonts w:hint="eastAsia"/>
        </w:rPr>
        <w:t>按照甲方要求可适当调整</w:t>
      </w:r>
      <w:r>
        <w:t>)</w:t>
      </w:r>
    </w:p>
    <w:tbl>
      <w:tblPr>
        <w:tblStyle w:val="34"/>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432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0" w:type="dxa"/>
            <w:shd w:val="clear" w:color="auto" w:fill="auto"/>
            <w:noWrap/>
            <w:vAlign w:val="center"/>
          </w:tcPr>
          <w:p>
            <w:pPr>
              <w:widowControl/>
              <w:jc w:val="center"/>
              <w:rPr>
                <w:b/>
                <w:bCs/>
                <w:color w:val="000000"/>
                <w:kern w:val="0"/>
              </w:rPr>
            </w:pPr>
            <w:r>
              <w:rPr>
                <w:rFonts w:hint="eastAsia"/>
                <w:b/>
                <w:bCs/>
                <w:color w:val="000000"/>
                <w:kern w:val="0"/>
              </w:rPr>
              <w:t>产品名称</w:t>
            </w:r>
          </w:p>
        </w:tc>
        <w:tc>
          <w:tcPr>
            <w:tcW w:w="4320" w:type="dxa"/>
            <w:shd w:val="clear" w:color="auto" w:fill="auto"/>
            <w:noWrap/>
            <w:vAlign w:val="center"/>
          </w:tcPr>
          <w:p>
            <w:pPr>
              <w:widowControl/>
              <w:rPr>
                <w:b/>
                <w:bCs/>
                <w:color w:val="000000"/>
                <w:kern w:val="0"/>
              </w:rPr>
            </w:pPr>
            <w:r>
              <w:rPr>
                <w:rFonts w:hint="eastAsia"/>
                <w:b/>
                <w:bCs/>
                <w:color w:val="000000"/>
                <w:kern w:val="0"/>
              </w:rPr>
              <w:t>型号规格</w:t>
            </w:r>
          </w:p>
        </w:tc>
        <w:tc>
          <w:tcPr>
            <w:tcW w:w="1660" w:type="dxa"/>
            <w:shd w:val="clear" w:color="auto" w:fill="auto"/>
            <w:noWrap/>
            <w:vAlign w:val="center"/>
          </w:tcPr>
          <w:p>
            <w:pPr>
              <w:widowControl/>
              <w:jc w:val="center"/>
              <w:rPr>
                <w:b/>
                <w:bCs/>
                <w:color w:val="000000"/>
                <w:kern w:val="0"/>
              </w:rPr>
            </w:pPr>
            <w:r>
              <w:rPr>
                <w:rFonts w:hint="eastAsia"/>
                <w:b/>
                <w:bCs/>
                <w:color w:val="000000"/>
                <w:kern w:val="0"/>
              </w:rPr>
              <w:t>数量（块）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HP SAS  硬盘</w:t>
            </w:r>
          </w:p>
        </w:tc>
        <w:tc>
          <w:tcPr>
            <w:tcW w:w="4320" w:type="dxa"/>
            <w:shd w:val="clear" w:color="auto" w:fill="auto"/>
            <w:noWrap/>
            <w:vAlign w:val="center"/>
          </w:tcPr>
          <w:p>
            <w:pPr>
              <w:widowControl/>
              <w:rPr>
                <w:color w:val="000000"/>
                <w:kern w:val="0"/>
              </w:rPr>
            </w:pPr>
            <w:r>
              <w:rPr>
                <w:rFonts w:hint="eastAsia"/>
                <w:color w:val="000000"/>
                <w:kern w:val="0"/>
              </w:rPr>
              <w:t>72G  /7.2K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146G /10K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300G /10K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1T   /7.2K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HP SCSI 硬盘</w:t>
            </w:r>
          </w:p>
        </w:tc>
        <w:tc>
          <w:tcPr>
            <w:tcW w:w="4320" w:type="dxa"/>
            <w:shd w:val="clear" w:color="auto" w:fill="auto"/>
            <w:noWrap/>
            <w:vAlign w:val="center"/>
          </w:tcPr>
          <w:p>
            <w:pPr>
              <w:widowControl/>
              <w:rPr>
                <w:color w:val="000000"/>
                <w:kern w:val="0"/>
              </w:rPr>
            </w:pPr>
            <w:r>
              <w:rPr>
                <w:rFonts w:hint="eastAsia"/>
                <w:color w:val="000000"/>
                <w:kern w:val="0"/>
              </w:rPr>
              <w:t>72G  /7.2K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146G /10K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300G /10K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HP SATA 硬盘</w:t>
            </w:r>
          </w:p>
        </w:tc>
        <w:tc>
          <w:tcPr>
            <w:tcW w:w="4320" w:type="dxa"/>
            <w:shd w:val="clear" w:color="auto" w:fill="auto"/>
            <w:noWrap/>
            <w:vAlign w:val="center"/>
          </w:tcPr>
          <w:p>
            <w:pPr>
              <w:widowControl/>
              <w:rPr>
                <w:color w:val="000000"/>
                <w:kern w:val="0"/>
              </w:rPr>
            </w:pPr>
            <w:r>
              <w:rPr>
                <w:rFonts w:hint="eastAsia"/>
                <w:color w:val="000000"/>
                <w:kern w:val="0"/>
              </w:rPr>
              <w:t>300G /7.2K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500G /7.2K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IBM SAS 硬盘</w:t>
            </w:r>
          </w:p>
        </w:tc>
        <w:tc>
          <w:tcPr>
            <w:tcW w:w="4320" w:type="dxa"/>
            <w:shd w:val="clear" w:color="auto" w:fill="auto"/>
            <w:noWrap/>
            <w:vAlign w:val="center"/>
          </w:tcPr>
          <w:p>
            <w:pPr>
              <w:widowControl/>
              <w:rPr>
                <w:color w:val="000000"/>
                <w:kern w:val="0"/>
              </w:rPr>
            </w:pPr>
            <w:r>
              <w:rPr>
                <w:rFonts w:hint="eastAsia"/>
                <w:color w:val="000000"/>
                <w:kern w:val="0"/>
              </w:rPr>
              <w:t>146G /10K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300G /10K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600GB/10K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EMC SATA2 硬盘</w:t>
            </w:r>
          </w:p>
        </w:tc>
        <w:tc>
          <w:tcPr>
            <w:tcW w:w="4320" w:type="dxa"/>
            <w:shd w:val="clear" w:color="auto" w:fill="auto"/>
            <w:noWrap/>
            <w:vAlign w:val="center"/>
          </w:tcPr>
          <w:p>
            <w:pPr>
              <w:widowControl/>
              <w:rPr>
                <w:color w:val="000000"/>
                <w:kern w:val="0"/>
              </w:rPr>
            </w:pPr>
            <w:r>
              <w:rPr>
                <w:rFonts w:hint="eastAsia"/>
                <w:color w:val="000000"/>
                <w:kern w:val="0"/>
              </w:rPr>
              <w:t>300GB/7.2K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300GB/10K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500GB/7.2K  HDD</w:t>
            </w:r>
          </w:p>
        </w:tc>
        <w:tc>
          <w:tcPr>
            <w:tcW w:w="1660" w:type="dxa"/>
            <w:shd w:val="clear" w:color="auto" w:fill="auto"/>
            <w:noWrap/>
            <w:vAlign w:val="center"/>
          </w:tcPr>
          <w:p>
            <w:pPr>
              <w:widowControl/>
              <w:jc w:val="center"/>
              <w:rPr>
                <w:color w:val="000000"/>
                <w:kern w:val="0"/>
              </w:rPr>
            </w:pPr>
            <w:r>
              <w:rPr>
                <w:rFonts w:hint="eastAsia"/>
                <w:color w:val="000000"/>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1T GB/7.2K  HDD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EMC存储</w:t>
            </w:r>
          </w:p>
        </w:tc>
        <w:tc>
          <w:tcPr>
            <w:tcW w:w="4320" w:type="dxa"/>
            <w:shd w:val="clear" w:color="auto" w:fill="auto"/>
            <w:noWrap/>
            <w:vAlign w:val="center"/>
          </w:tcPr>
          <w:p>
            <w:pPr>
              <w:widowControl/>
              <w:rPr>
                <w:color w:val="000000"/>
                <w:kern w:val="0"/>
              </w:rPr>
            </w:pPr>
            <w:r>
              <w:rPr>
                <w:rFonts w:hint="eastAsia"/>
                <w:color w:val="000000"/>
                <w:kern w:val="0"/>
              </w:rPr>
              <w:t>600G SAS SSD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 xml:space="preserve">1.2T SAS SSD </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 xml:space="preserve">1.6T SAS SSD </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color w:val="000000"/>
                <w:kern w:val="0"/>
              </w:rPr>
              <w:t xml:space="preserve">2TB </w:t>
            </w:r>
            <w:r>
              <w:rPr>
                <w:rFonts w:hint="eastAsia"/>
                <w:color w:val="000000"/>
                <w:kern w:val="0"/>
              </w:rPr>
              <w:t>SAS SSD</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华为存储</w:t>
            </w:r>
          </w:p>
        </w:tc>
        <w:tc>
          <w:tcPr>
            <w:tcW w:w="4320" w:type="dxa"/>
            <w:shd w:val="clear" w:color="auto" w:fill="auto"/>
            <w:noWrap/>
            <w:vAlign w:val="center"/>
          </w:tcPr>
          <w:p>
            <w:pPr>
              <w:widowControl/>
              <w:rPr>
                <w:color w:val="000000"/>
                <w:kern w:val="0"/>
              </w:rPr>
            </w:pPr>
            <w:r>
              <w:rPr>
                <w:rFonts w:hint="eastAsia"/>
                <w:color w:val="000000"/>
                <w:kern w:val="0"/>
              </w:rPr>
              <w:t>2TB SAS 7.2K</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4TB SAS 7.2K</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8TB SAS 7.2K</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HP 内存</w:t>
            </w:r>
          </w:p>
        </w:tc>
        <w:tc>
          <w:tcPr>
            <w:tcW w:w="4320" w:type="dxa"/>
            <w:shd w:val="clear" w:color="auto" w:fill="auto"/>
            <w:noWrap/>
            <w:vAlign w:val="center"/>
          </w:tcPr>
          <w:p>
            <w:pPr>
              <w:widowControl/>
              <w:rPr>
                <w:color w:val="000000"/>
                <w:kern w:val="0"/>
              </w:rPr>
            </w:pPr>
            <w:r>
              <w:rPr>
                <w:rFonts w:hint="eastAsia"/>
                <w:color w:val="000000"/>
                <w:kern w:val="0"/>
              </w:rPr>
              <w:t>4GB DDR2</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8GB DDR3</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16GB DDR3</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IBM 内存</w:t>
            </w:r>
          </w:p>
        </w:tc>
        <w:tc>
          <w:tcPr>
            <w:tcW w:w="4320" w:type="dxa"/>
            <w:shd w:val="clear" w:color="auto" w:fill="auto"/>
            <w:noWrap/>
            <w:vAlign w:val="center"/>
          </w:tcPr>
          <w:p>
            <w:pPr>
              <w:widowControl/>
              <w:rPr>
                <w:color w:val="000000"/>
                <w:kern w:val="0"/>
              </w:rPr>
            </w:pPr>
            <w:r>
              <w:rPr>
                <w:rFonts w:hint="eastAsia"/>
                <w:color w:val="000000"/>
                <w:kern w:val="0"/>
              </w:rPr>
              <w:t>4GB DDR3</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8GB DDR3</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16GB DDR3</w:t>
            </w:r>
          </w:p>
        </w:tc>
        <w:tc>
          <w:tcPr>
            <w:tcW w:w="1660" w:type="dxa"/>
            <w:shd w:val="clear" w:color="auto" w:fill="auto"/>
            <w:noWrap/>
            <w:vAlign w:val="center"/>
          </w:tcPr>
          <w:p>
            <w:pPr>
              <w:widowControl/>
              <w:jc w:val="center"/>
              <w:rPr>
                <w:color w:val="000000"/>
                <w:kern w:val="0"/>
              </w:rPr>
            </w:pPr>
            <w:r>
              <w:rPr>
                <w:rFonts w:hint="eastAsia"/>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主板</w:t>
            </w:r>
          </w:p>
        </w:tc>
        <w:tc>
          <w:tcPr>
            <w:tcW w:w="4320" w:type="dxa"/>
            <w:shd w:val="clear" w:color="auto" w:fill="auto"/>
            <w:noWrap/>
            <w:vAlign w:val="center"/>
          </w:tcPr>
          <w:p>
            <w:pPr>
              <w:widowControl/>
              <w:rPr>
                <w:color w:val="000000"/>
                <w:kern w:val="0"/>
              </w:rPr>
            </w:pPr>
            <w:r>
              <w:rPr>
                <w:rFonts w:hint="eastAsia"/>
                <w:color w:val="000000"/>
                <w:kern w:val="0"/>
              </w:rPr>
              <w:t>HP DL580G9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DL580G7</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DL380G7</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DL380G8</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DL388G9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DELL R730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DELL R720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IBM X3650 M3</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电源模块</w:t>
            </w:r>
          </w:p>
        </w:tc>
        <w:tc>
          <w:tcPr>
            <w:tcW w:w="4320" w:type="dxa"/>
            <w:shd w:val="clear" w:color="auto" w:fill="auto"/>
            <w:noWrap/>
            <w:vAlign w:val="center"/>
          </w:tcPr>
          <w:p>
            <w:pPr>
              <w:widowControl/>
              <w:rPr>
                <w:color w:val="000000"/>
                <w:kern w:val="0"/>
              </w:rPr>
            </w:pPr>
            <w:r>
              <w:rPr>
                <w:rFonts w:hint="eastAsia"/>
                <w:color w:val="000000"/>
                <w:kern w:val="0"/>
              </w:rPr>
              <w:t>HP DL580G9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DL580G7</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DL380G7</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DL380G8</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DL388G9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DELL R730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DELL R720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IBM X3650 M3</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I/0板</w:t>
            </w:r>
          </w:p>
        </w:tc>
        <w:tc>
          <w:tcPr>
            <w:tcW w:w="4320" w:type="dxa"/>
            <w:shd w:val="clear" w:color="auto" w:fill="auto"/>
            <w:noWrap/>
            <w:vAlign w:val="center"/>
          </w:tcPr>
          <w:p>
            <w:pPr>
              <w:widowControl/>
              <w:rPr>
                <w:color w:val="000000"/>
                <w:kern w:val="0"/>
              </w:rPr>
            </w:pPr>
            <w:r>
              <w:rPr>
                <w:rFonts w:hint="eastAsia"/>
                <w:color w:val="000000"/>
                <w:kern w:val="0"/>
              </w:rPr>
              <w:t>HP DL580G9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DL580G7</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DL380G7</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DL380G8</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DL388G9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DELL R730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DELL R720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IBM X3650 M3</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硬盘笼</w:t>
            </w:r>
          </w:p>
        </w:tc>
        <w:tc>
          <w:tcPr>
            <w:tcW w:w="4320" w:type="dxa"/>
            <w:shd w:val="clear" w:color="auto" w:fill="auto"/>
            <w:noWrap/>
            <w:vAlign w:val="center"/>
          </w:tcPr>
          <w:p>
            <w:pPr>
              <w:widowControl/>
              <w:rPr>
                <w:color w:val="000000"/>
                <w:kern w:val="0"/>
              </w:rPr>
            </w:pPr>
            <w:r>
              <w:rPr>
                <w:rFonts w:hint="eastAsia"/>
                <w:color w:val="000000"/>
                <w:kern w:val="0"/>
              </w:rPr>
              <w:t>HP DL580G9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DL580G7</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DL380G7</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DL380G8</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HP DL388G9</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DELL R730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DELL R720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IBM X3550 M4</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IBM X3650 M3</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控制器</w:t>
            </w:r>
          </w:p>
        </w:tc>
        <w:tc>
          <w:tcPr>
            <w:tcW w:w="4320" w:type="dxa"/>
            <w:shd w:val="clear" w:color="auto" w:fill="auto"/>
            <w:noWrap/>
            <w:vAlign w:val="center"/>
          </w:tcPr>
          <w:p>
            <w:pPr>
              <w:widowControl/>
              <w:rPr>
                <w:color w:val="000000"/>
                <w:kern w:val="0"/>
              </w:rPr>
            </w:pPr>
            <w:r>
              <w:rPr>
                <w:rFonts w:hint="eastAsia"/>
                <w:color w:val="000000"/>
                <w:kern w:val="0"/>
              </w:rPr>
              <w:t>EMC Isilon</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EMC VNX5100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EMC VMAX100K</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电源模块</w:t>
            </w:r>
          </w:p>
        </w:tc>
        <w:tc>
          <w:tcPr>
            <w:tcW w:w="4320" w:type="dxa"/>
            <w:shd w:val="clear" w:color="auto" w:fill="auto"/>
            <w:noWrap/>
            <w:vAlign w:val="center"/>
          </w:tcPr>
          <w:p>
            <w:pPr>
              <w:widowControl/>
              <w:rPr>
                <w:color w:val="000000"/>
                <w:kern w:val="0"/>
              </w:rPr>
            </w:pPr>
            <w:r>
              <w:rPr>
                <w:rFonts w:hint="eastAsia"/>
                <w:color w:val="000000"/>
                <w:kern w:val="0"/>
              </w:rPr>
              <w:t>EMC Isilon</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EMC VNX5100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EMC VMAX100K</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shd w:val="clear" w:color="auto" w:fill="auto"/>
            <w:noWrap/>
            <w:vAlign w:val="center"/>
          </w:tcPr>
          <w:p>
            <w:pPr>
              <w:widowControl/>
              <w:jc w:val="center"/>
              <w:rPr>
                <w:color w:val="000000"/>
                <w:kern w:val="0"/>
              </w:rPr>
            </w:pPr>
            <w:r>
              <w:rPr>
                <w:rFonts w:hint="eastAsia"/>
                <w:color w:val="000000"/>
                <w:kern w:val="0"/>
              </w:rPr>
              <w:t>电池</w:t>
            </w:r>
          </w:p>
        </w:tc>
        <w:tc>
          <w:tcPr>
            <w:tcW w:w="4320" w:type="dxa"/>
            <w:shd w:val="clear" w:color="auto" w:fill="auto"/>
            <w:noWrap/>
            <w:vAlign w:val="center"/>
          </w:tcPr>
          <w:p>
            <w:pPr>
              <w:widowControl/>
              <w:rPr>
                <w:color w:val="000000"/>
                <w:kern w:val="0"/>
              </w:rPr>
            </w:pPr>
            <w:r>
              <w:rPr>
                <w:rFonts w:hint="eastAsia"/>
                <w:color w:val="000000"/>
                <w:kern w:val="0"/>
              </w:rPr>
              <w:t>EMC Isilon</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EMC VNX5100</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widowControl/>
              <w:jc w:val="left"/>
              <w:rPr>
                <w:color w:val="000000"/>
                <w:kern w:val="0"/>
              </w:rPr>
            </w:pPr>
          </w:p>
        </w:tc>
        <w:tc>
          <w:tcPr>
            <w:tcW w:w="4320" w:type="dxa"/>
            <w:shd w:val="clear" w:color="auto" w:fill="auto"/>
            <w:noWrap/>
            <w:vAlign w:val="center"/>
          </w:tcPr>
          <w:p>
            <w:pPr>
              <w:widowControl/>
              <w:rPr>
                <w:color w:val="000000"/>
                <w:kern w:val="0"/>
              </w:rPr>
            </w:pPr>
            <w:r>
              <w:rPr>
                <w:rFonts w:hint="eastAsia"/>
                <w:color w:val="000000"/>
                <w:kern w:val="0"/>
              </w:rPr>
              <w:t>EMC VMAX100K</w:t>
            </w:r>
          </w:p>
        </w:tc>
        <w:tc>
          <w:tcPr>
            <w:tcW w:w="1660" w:type="dxa"/>
            <w:shd w:val="clear" w:color="auto" w:fill="auto"/>
            <w:noWrap/>
            <w:vAlign w:val="center"/>
          </w:tcPr>
          <w:p>
            <w:pPr>
              <w:widowControl/>
              <w:jc w:val="center"/>
              <w:rPr>
                <w:color w:val="000000"/>
                <w:kern w:val="0"/>
              </w:rPr>
            </w:pPr>
            <w:r>
              <w:rPr>
                <w:rFonts w:hint="eastAsia"/>
                <w:color w:val="000000"/>
                <w:kern w:val="0"/>
              </w:rPr>
              <w:t>1</w:t>
            </w:r>
          </w:p>
        </w:tc>
      </w:tr>
    </w:tbl>
    <w:p/>
    <w:p>
      <w:pPr>
        <w:pStyle w:val="7"/>
        <w:tabs>
          <w:tab w:val="left" w:pos="2329"/>
        </w:tabs>
      </w:pPr>
      <w:r>
        <w:rPr>
          <w:rFonts w:hint="eastAsia"/>
        </w:rPr>
        <w:t>2</w:t>
      </w:r>
      <w:r>
        <w:t>.1.</w:t>
      </w:r>
      <w:r>
        <w:rPr>
          <w:rFonts w:hint="eastAsia"/>
        </w:rPr>
        <w:t>4</w:t>
      </w:r>
      <w:r>
        <w:t xml:space="preserve">.2 </w:t>
      </w:r>
      <w:r>
        <w:rPr>
          <w:rFonts w:hint="eastAsia"/>
        </w:rPr>
        <w:t>备机清单</w:t>
      </w:r>
      <w:r>
        <w:tab/>
      </w:r>
    </w:p>
    <w:p>
      <w:pPr>
        <w:ind w:firstLine="420" w:firstLineChars="200"/>
      </w:pPr>
      <w:r>
        <w:rPr>
          <w:color w:val="000000"/>
          <w:kern w:val="0"/>
        </w:rPr>
        <w:t>(</w:t>
      </w:r>
      <w:r>
        <w:rPr>
          <w:rFonts w:hint="eastAsia"/>
        </w:rPr>
        <w:t>按照甲方要求可适当调整</w:t>
      </w:r>
      <w:r>
        <w:t>)</w:t>
      </w:r>
    </w:p>
    <w:tbl>
      <w:tblPr>
        <w:tblStyle w:val="34"/>
        <w:tblW w:w="8217" w:type="dxa"/>
        <w:tblInd w:w="0" w:type="dxa"/>
        <w:tblLayout w:type="autofit"/>
        <w:tblCellMar>
          <w:top w:w="0" w:type="dxa"/>
          <w:left w:w="108" w:type="dxa"/>
          <w:bottom w:w="0" w:type="dxa"/>
          <w:right w:w="108" w:type="dxa"/>
        </w:tblCellMar>
      </w:tblPr>
      <w:tblGrid>
        <w:gridCol w:w="1696"/>
        <w:gridCol w:w="5245"/>
        <w:gridCol w:w="1276"/>
      </w:tblGrid>
      <w:tr>
        <w:tblPrEx>
          <w:tblCellMar>
            <w:top w:w="0" w:type="dxa"/>
            <w:left w:w="108" w:type="dxa"/>
            <w:bottom w:w="0" w:type="dxa"/>
            <w:right w:w="108" w:type="dxa"/>
          </w:tblCellMar>
        </w:tblPrEx>
        <w:trPr>
          <w:trHeight w:val="300" w:hRule="atLeast"/>
          <w:tblHeader/>
        </w:trPr>
        <w:tc>
          <w:tcPr>
            <w:tcW w:w="1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b/>
                <w:bCs/>
                <w:color w:val="000000"/>
                <w:kern w:val="0"/>
              </w:rPr>
            </w:pPr>
            <w:r>
              <w:rPr>
                <w:rFonts w:hint="eastAsia"/>
                <w:b/>
                <w:bCs/>
                <w:color w:val="000000"/>
                <w:kern w:val="0"/>
              </w:rPr>
              <w:t>产品名称</w:t>
            </w:r>
          </w:p>
        </w:tc>
        <w:tc>
          <w:tcPr>
            <w:tcW w:w="5245" w:type="dxa"/>
            <w:tcBorders>
              <w:top w:val="single" w:color="auto" w:sz="4" w:space="0"/>
              <w:left w:val="nil"/>
              <w:bottom w:val="single" w:color="auto" w:sz="4" w:space="0"/>
              <w:right w:val="single" w:color="auto" w:sz="4" w:space="0"/>
            </w:tcBorders>
            <w:shd w:val="clear" w:color="auto" w:fill="auto"/>
            <w:noWrap/>
            <w:vAlign w:val="center"/>
          </w:tcPr>
          <w:p>
            <w:pPr>
              <w:widowControl/>
              <w:rPr>
                <w:b/>
                <w:bCs/>
                <w:color w:val="000000"/>
                <w:kern w:val="0"/>
              </w:rPr>
            </w:pPr>
            <w:r>
              <w:rPr>
                <w:rFonts w:hint="eastAsia"/>
                <w:b/>
                <w:bCs/>
                <w:color w:val="000000"/>
                <w:kern w:val="0"/>
              </w:rPr>
              <w:t>配置（不低于）</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kern w:val="0"/>
              </w:rPr>
            </w:pPr>
            <w:r>
              <w:rPr>
                <w:rFonts w:hint="eastAsia"/>
                <w:b/>
                <w:bCs/>
                <w:color w:val="000000"/>
                <w:kern w:val="0"/>
              </w:rPr>
              <w:t>数量（台）</w:t>
            </w:r>
          </w:p>
        </w:tc>
      </w:tr>
      <w:tr>
        <w:tblPrEx>
          <w:tblCellMar>
            <w:top w:w="0" w:type="dxa"/>
            <w:left w:w="108" w:type="dxa"/>
            <w:bottom w:w="0" w:type="dxa"/>
            <w:right w:w="108" w:type="dxa"/>
          </w:tblCellMar>
        </w:tblPrEx>
        <w:trPr>
          <w:trHeight w:val="870" w:hRule="atLeast"/>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rPr>
                <w:color w:val="000000"/>
                <w:kern w:val="0"/>
              </w:rPr>
            </w:pPr>
            <w:r>
              <w:rPr>
                <w:rFonts w:hint="eastAsia"/>
                <w:color w:val="000000"/>
                <w:kern w:val="0"/>
              </w:rPr>
              <w:t>HP DL580 G9</w:t>
            </w:r>
          </w:p>
        </w:tc>
        <w:tc>
          <w:tcPr>
            <w:tcW w:w="5245" w:type="dxa"/>
            <w:tcBorders>
              <w:top w:val="nil"/>
              <w:left w:val="nil"/>
              <w:bottom w:val="single" w:color="auto" w:sz="4" w:space="0"/>
              <w:right w:val="single" w:color="auto" w:sz="4" w:space="0"/>
            </w:tcBorders>
            <w:shd w:val="clear" w:color="auto" w:fill="auto"/>
            <w:vAlign w:val="center"/>
          </w:tcPr>
          <w:p>
            <w:pPr>
              <w:widowControl/>
              <w:rPr>
                <w:color w:val="000000"/>
                <w:kern w:val="0"/>
              </w:rPr>
            </w:pPr>
            <w:r>
              <w:rPr>
                <w:rFonts w:hint="eastAsia"/>
                <w:color w:val="000000"/>
                <w:kern w:val="0"/>
              </w:rPr>
              <w:t>Xeon E7-4820 v3 10C 1.901.86GHz /内存：4GB (2 x 2GB) PC2-3200 DDR2 /硬盘：300G（10K）*2/冗余电源</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rPr>
            </w:pPr>
            <w:r>
              <w:rPr>
                <w:rFonts w:hint="eastAsia"/>
                <w:color w:val="000000"/>
                <w:kern w:val="0"/>
              </w:rPr>
              <w:t>1</w:t>
            </w:r>
          </w:p>
        </w:tc>
      </w:tr>
      <w:tr>
        <w:tblPrEx>
          <w:tblCellMar>
            <w:top w:w="0" w:type="dxa"/>
            <w:left w:w="108" w:type="dxa"/>
            <w:bottom w:w="0" w:type="dxa"/>
            <w:right w:w="108" w:type="dxa"/>
          </w:tblCellMar>
        </w:tblPrEx>
        <w:trPr>
          <w:trHeight w:val="870" w:hRule="atLeast"/>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rPr>
                <w:color w:val="000000"/>
                <w:kern w:val="0"/>
              </w:rPr>
            </w:pPr>
            <w:r>
              <w:rPr>
                <w:rFonts w:hint="eastAsia"/>
                <w:color w:val="000000"/>
                <w:kern w:val="0"/>
              </w:rPr>
              <w:t>HP DL580 G7</w:t>
            </w:r>
          </w:p>
        </w:tc>
        <w:tc>
          <w:tcPr>
            <w:tcW w:w="5245" w:type="dxa"/>
            <w:tcBorders>
              <w:top w:val="nil"/>
              <w:left w:val="nil"/>
              <w:bottom w:val="single" w:color="auto" w:sz="4" w:space="0"/>
              <w:right w:val="single" w:color="auto" w:sz="4" w:space="0"/>
            </w:tcBorders>
            <w:shd w:val="clear" w:color="auto" w:fill="auto"/>
            <w:vAlign w:val="center"/>
          </w:tcPr>
          <w:p>
            <w:pPr>
              <w:widowControl/>
              <w:rPr>
                <w:color w:val="000000"/>
                <w:kern w:val="0"/>
              </w:rPr>
            </w:pPr>
            <w:r>
              <w:rPr>
                <w:rFonts w:hint="eastAsia"/>
                <w:color w:val="000000"/>
                <w:kern w:val="0"/>
              </w:rPr>
              <w:t>Xeon E7-4807 6C 1.86GHz MP 3.66GHz /内存：4GB (2 x 2GB) PC2-3200 DDR2 /硬盘：300G（10K）*2/冗余电源</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rPr>
            </w:pPr>
            <w:r>
              <w:rPr>
                <w:rFonts w:hint="eastAsia"/>
                <w:color w:val="000000"/>
                <w:kern w:val="0"/>
              </w:rPr>
              <w:t>1</w:t>
            </w:r>
          </w:p>
        </w:tc>
      </w:tr>
      <w:tr>
        <w:tblPrEx>
          <w:tblCellMar>
            <w:top w:w="0" w:type="dxa"/>
            <w:left w:w="108" w:type="dxa"/>
            <w:bottom w:w="0" w:type="dxa"/>
            <w:right w:w="108" w:type="dxa"/>
          </w:tblCellMar>
        </w:tblPrEx>
        <w:trPr>
          <w:trHeight w:val="1155" w:hRule="atLeast"/>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rPr>
                <w:color w:val="000000"/>
                <w:kern w:val="0"/>
              </w:rPr>
            </w:pPr>
            <w:r>
              <w:rPr>
                <w:rFonts w:hint="eastAsia"/>
                <w:color w:val="000000"/>
                <w:kern w:val="0"/>
              </w:rPr>
              <w:t>HP DL380 G9</w:t>
            </w:r>
          </w:p>
        </w:tc>
        <w:tc>
          <w:tcPr>
            <w:tcW w:w="5245" w:type="dxa"/>
            <w:tcBorders>
              <w:top w:val="nil"/>
              <w:left w:val="nil"/>
              <w:bottom w:val="single" w:color="auto" w:sz="4" w:space="0"/>
              <w:right w:val="single" w:color="auto" w:sz="4" w:space="0"/>
            </w:tcBorders>
            <w:shd w:val="clear" w:color="auto" w:fill="auto"/>
            <w:vAlign w:val="center"/>
          </w:tcPr>
          <w:p>
            <w:pPr>
              <w:widowControl/>
              <w:rPr>
                <w:color w:val="000000"/>
                <w:kern w:val="0"/>
              </w:rPr>
            </w:pPr>
            <w:r>
              <w:rPr>
                <w:rFonts w:hint="eastAsia"/>
                <w:color w:val="000000"/>
                <w:kern w:val="0"/>
              </w:rPr>
              <w:t>CPU: Xeon E5-2609 v3 6C 1.9GHz/内存: DDR2 ECC REG 4G*2 / 硬盘： 73GB*4 支持raid0+1+5 /网络控制器: 10/100/1000 以太网络  网卡数量: 2个/标准电源</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rPr>
            </w:pPr>
            <w:r>
              <w:rPr>
                <w:rFonts w:hint="eastAsia"/>
                <w:color w:val="000000"/>
                <w:kern w:val="0"/>
              </w:rPr>
              <w:t>1</w:t>
            </w:r>
          </w:p>
        </w:tc>
      </w:tr>
      <w:tr>
        <w:tblPrEx>
          <w:tblCellMar>
            <w:top w:w="0" w:type="dxa"/>
            <w:left w:w="108" w:type="dxa"/>
            <w:bottom w:w="0" w:type="dxa"/>
            <w:right w:w="108" w:type="dxa"/>
          </w:tblCellMar>
        </w:tblPrEx>
        <w:trPr>
          <w:trHeight w:val="1155" w:hRule="atLeast"/>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rPr>
                <w:color w:val="000000"/>
                <w:kern w:val="0"/>
              </w:rPr>
            </w:pPr>
            <w:r>
              <w:rPr>
                <w:rFonts w:hint="eastAsia"/>
                <w:color w:val="000000"/>
                <w:kern w:val="0"/>
              </w:rPr>
              <w:t>HP DL380 G7</w:t>
            </w:r>
          </w:p>
        </w:tc>
        <w:tc>
          <w:tcPr>
            <w:tcW w:w="5245" w:type="dxa"/>
            <w:tcBorders>
              <w:top w:val="nil"/>
              <w:left w:val="nil"/>
              <w:bottom w:val="single" w:color="auto" w:sz="4" w:space="0"/>
              <w:right w:val="single" w:color="auto" w:sz="4" w:space="0"/>
            </w:tcBorders>
            <w:shd w:val="clear" w:color="auto" w:fill="auto"/>
            <w:vAlign w:val="center"/>
          </w:tcPr>
          <w:p>
            <w:pPr>
              <w:widowControl/>
              <w:rPr>
                <w:color w:val="000000"/>
                <w:kern w:val="0"/>
              </w:rPr>
            </w:pPr>
            <w:r>
              <w:rPr>
                <w:rFonts w:hint="eastAsia"/>
                <w:color w:val="000000"/>
                <w:kern w:val="0"/>
              </w:rPr>
              <w:t>CPU: Xeon E5506 4C 2.13GHz/内存: DDR2 ECC REG 4G*2 / 硬盘： 73GB*4 支持raid0+1+5 /网络控制器: 10/100/1000 以太网络  网卡数量: 2个/标准电源</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rPr>
            </w:pPr>
            <w:r>
              <w:rPr>
                <w:rFonts w:hint="eastAsia"/>
                <w:color w:val="000000"/>
                <w:kern w:val="0"/>
              </w:rPr>
              <w:t>1</w:t>
            </w:r>
          </w:p>
        </w:tc>
      </w:tr>
      <w:tr>
        <w:tblPrEx>
          <w:tblCellMar>
            <w:top w:w="0" w:type="dxa"/>
            <w:left w:w="108" w:type="dxa"/>
            <w:bottom w:w="0" w:type="dxa"/>
            <w:right w:w="108" w:type="dxa"/>
          </w:tblCellMar>
        </w:tblPrEx>
        <w:trPr>
          <w:trHeight w:val="1440" w:hRule="atLeast"/>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rPr>
                <w:color w:val="000000"/>
                <w:kern w:val="0"/>
              </w:rPr>
            </w:pPr>
            <w:r>
              <w:rPr>
                <w:rFonts w:hint="eastAsia"/>
                <w:color w:val="000000"/>
                <w:kern w:val="0"/>
              </w:rPr>
              <w:t>HP DL380 G8</w:t>
            </w:r>
          </w:p>
        </w:tc>
        <w:tc>
          <w:tcPr>
            <w:tcW w:w="5245" w:type="dxa"/>
            <w:tcBorders>
              <w:top w:val="nil"/>
              <w:left w:val="nil"/>
              <w:bottom w:val="single" w:color="auto" w:sz="4" w:space="0"/>
              <w:right w:val="single" w:color="auto" w:sz="4" w:space="0"/>
            </w:tcBorders>
            <w:shd w:val="clear" w:color="auto" w:fill="auto"/>
            <w:vAlign w:val="center"/>
          </w:tcPr>
          <w:p>
            <w:pPr>
              <w:widowControl/>
              <w:rPr>
                <w:color w:val="000000"/>
                <w:kern w:val="0"/>
              </w:rPr>
            </w:pPr>
            <w:r>
              <w:rPr>
                <w:rFonts w:hint="eastAsia"/>
                <w:color w:val="000000"/>
                <w:kern w:val="0"/>
              </w:rPr>
              <w:t>处理器类型：Xeon E5-2609 2.4GHz 4C/内存：FBD1GB 5300F*2 硬盘：HP 73GB 2.5 寸 10K SAS*2（8 盘位，最大支持2.4TB)/阵列卡：P400（512M 缓存） /网卡：双千兆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rPr>
            </w:pPr>
            <w:r>
              <w:rPr>
                <w:rFonts w:hint="eastAsia"/>
                <w:color w:val="000000"/>
                <w:kern w:val="0"/>
              </w:rPr>
              <w:t>1</w:t>
            </w:r>
          </w:p>
        </w:tc>
      </w:tr>
      <w:tr>
        <w:tblPrEx>
          <w:tblCellMar>
            <w:top w:w="0" w:type="dxa"/>
            <w:left w:w="108" w:type="dxa"/>
            <w:bottom w:w="0" w:type="dxa"/>
            <w:right w:w="108" w:type="dxa"/>
          </w:tblCellMar>
        </w:tblPrEx>
        <w:trPr>
          <w:trHeight w:val="1440" w:hRule="atLeast"/>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rPr>
                <w:color w:val="000000"/>
                <w:kern w:val="0"/>
              </w:rPr>
            </w:pPr>
            <w:r>
              <w:rPr>
                <w:rFonts w:hint="eastAsia"/>
                <w:color w:val="000000"/>
                <w:kern w:val="0"/>
              </w:rPr>
              <w:t>HP DL388 G9</w:t>
            </w:r>
          </w:p>
        </w:tc>
        <w:tc>
          <w:tcPr>
            <w:tcW w:w="5245" w:type="dxa"/>
            <w:tcBorders>
              <w:top w:val="nil"/>
              <w:left w:val="nil"/>
              <w:bottom w:val="single" w:color="auto" w:sz="4" w:space="0"/>
              <w:right w:val="single" w:color="auto" w:sz="4" w:space="0"/>
            </w:tcBorders>
            <w:shd w:val="clear" w:color="auto" w:fill="auto"/>
            <w:vAlign w:val="center"/>
          </w:tcPr>
          <w:p>
            <w:pPr>
              <w:widowControl/>
              <w:rPr>
                <w:color w:val="000000"/>
                <w:kern w:val="0"/>
              </w:rPr>
            </w:pPr>
            <w:r>
              <w:rPr>
                <w:rFonts w:hint="eastAsia"/>
                <w:color w:val="000000"/>
                <w:kern w:val="0"/>
              </w:rPr>
              <w:t>处理器类型：Xeon E5-2609 v3 1.9GHz 6C /内存：FBD1GB 5300F*2 硬盘：HP 73GB 2.5 寸 10K SAS*2（8 盘位，最大支持2.4TB)/阵列卡：P400（512M 缓存） /网卡：双千兆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rPr>
            </w:pPr>
            <w:r>
              <w:rPr>
                <w:rFonts w:hint="eastAsia"/>
                <w:color w:val="000000"/>
                <w:kern w:val="0"/>
              </w:rPr>
              <w:t>1</w:t>
            </w:r>
          </w:p>
        </w:tc>
      </w:tr>
      <w:tr>
        <w:tblPrEx>
          <w:tblCellMar>
            <w:top w:w="0" w:type="dxa"/>
            <w:left w:w="108" w:type="dxa"/>
            <w:bottom w:w="0" w:type="dxa"/>
            <w:right w:w="108" w:type="dxa"/>
          </w:tblCellMar>
        </w:tblPrEx>
        <w:trPr>
          <w:trHeight w:val="1155" w:hRule="atLeast"/>
        </w:trPr>
        <w:tc>
          <w:tcPr>
            <w:tcW w:w="1696" w:type="dxa"/>
            <w:tcBorders>
              <w:top w:val="nil"/>
              <w:left w:val="single" w:color="auto" w:sz="4" w:space="0"/>
              <w:bottom w:val="single" w:color="auto" w:sz="4" w:space="0"/>
              <w:right w:val="single" w:color="auto" w:sz="4" w:space="0"/>
            </w:tcBorders>
            <w:shd w:val="clear" w:color="auto" w:fill="auto"/>
            <w:noWrap/>
            <w:vAlign w:val="center"/>
          </w:tcPr>
          <w:p>
            <w:pPr>
              <w:widowControl/>
              <w:rPr>
                <w:color w:val="000000"/>
                <w:kern w:val="0"/>
              </w:rPr>
            </w:pPr>
            <w:r>
              <w:rPr>
                <w:rFonts w:hint="eastAsia"/>
                <w:color w:val="000000"/>
                <w:kern w:val="0"/>
              </w:rPr>
              <w:t>IBM X3650 M3</w:t>
            </w:r>
          </w:p>
        </w:tc>
        <w:tc>
          <w:tcPr>
            <w:tcW w:w="5245" w:type="dxa"/>
            <w:tcBorders>
              <w:top w:val="nil"/>
              <w:left w:val="nil"/>
              <w:bottom w:val="single" w:color="auto" w:sz="4" w:space="0"/>
              <w:right w:val="single" w:color="auto" w:sz="4" w:space="0"/>
            </w:tcBorders>
            <w:shd w:val="clear" w:color="auto" w:fill="auto"/>
            <w:vAlign w:val="center"/>
          </w:tcPr>
          <w:p>
            <w:pPr>
              <w:widowControl/>
              <w:rPr>
                <w:color w:val="000000"/>
                <w:kern w:val="0"/>
              </w:rPr>
            </w:pPr>
            <w:r>
              <w:rPr>
                <w:rFonts w:hint="eastAsia"/>
                <w:color w:val="000000"/>
                <w:kern w:val="0"/>
              </w:rPr>
              <w:t>CPU: Xeon 5620 2.4GHz 4C/内存: DDR3 ECC REG 4G*2 / 硬盘： 300GB*4 支持raid0+1+5 /网络控制器: 10/100/1000 以太网络  网卡数量: 2个/标准电源</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rPr>
            </w:pPr>
            <w:r>
              <w:rPr>
                <w:rFonts w:hint="eastAsia"/>
                <w:color w:val="000000"/>
                <w:kern w:val="0"/>
              </w:rPr>
              <w:t>1</w:t>
            </w:r>
          </w:p>
        </w:tc>
      </w:tr>
    </w:tbl>
    <w:p/>
    <w:p>
      <w:pPr>
        <w:pStyle w:val="6"/>
        <w:rPr>
          <w:rFonts w:hAnsi="宋体"/>
        </w:rPr>
      </w:pPr>
      <w:r>
        <w:rPr>
          <w:rFonts w:hint="eastAsia" w:hAnsi="宋体"/>
        </w:rPr>
        <w:t>2</w:t>
      </w:r>
      <w:r>
        <w:rPr>
          <w:rFonts w:hAnsi="宋体"/>
        </w:rPr>
        <w:t>.1.</w:t>
      </w:r>
      <w:r>
        <w:rPr>
          <w:rFonts w:hint="eastAsia" w:hAnsi="宋体"/>
        </w:rPr>
        <w:t>5</w:t>
      </w:r>
      <w:r>
        <w:rPr>
          <w:rFonts w:hAnsi="宋体"/>
        </w:rPr>
        <w:t xml:space="preserve"> </w:t>
      </w:r>
      <w:r>
        <w:rPr>
          <w:rFonts w:hint="eastAsia" w:hAnsi="宋体"/>
        </w:rPr>
        <w:t>硬件系统巡检服务</w:t>
      </w:r>
    </w:p>
    <w:p>
      <w:pPr>
        <w:spacing w:line="360" w:lineRule="auto"/>
        <w:ind w:firstLine="420" w:firstLineChars="200"/>
      </w:pPr>
      <w:r>
        <w:rPr>
          <w:rFonts w:hint="eastAsia"/>
        </w:rPr>
        <w:t>提供每年不少于</w:t>
      </w:r>
      <w:r>
        <w:t>12</w:t>
      </w:r>
      <w:r>
        <w:rPr>
          <w:rFonts w:hint="eastAsia"/>
        </w:rPr>
        <w:t>次的硬件系统巡检保养服务，定时对系统运行性能进行检测、风险评估及优化调整，以减少故障发生率及延长使用寿命，主要包括（但不限于）以下内容</w:t>
      </w:r>
    </w:p>
    <w:p>
      <w:pPr>
        <w:pStyle w:val="45"/>
        <w:widowControl/>
        <w:numPr>
          <w:ilvl w:val="0"/>
          <w:numId w:val="6"/>
        </w:numPr>
        <w:spacing w:line="360" w:lineRule="auto"/>
        <w:ind w:firstLineChars="0"/>
        <w:jc w:val="left"/>
      </w:pPr>
      <w:r>
        <w:rPr>
          <w:rFonts w:hint="eastAsia"/>
        </w:rPr>
        <w:t>场地环境检查</w:t>
      </w:r>
    </w:p>
    <w:p>
      <w:pPr>
        <w:pStyle w:val="45"/>
        <w:widowControl/>
        <w:numPr>
          <w:ilvl w:val="0"/>
          <w:numId w:val="6"/>
        </w:numPr>
        <w:spacing w:line="360" w:lineRule="auto"/>
        <w:ind w:firstLineChars="0"/>
        <w:jc w:val="left"/>
      </w:pPr>
      <w:r>
        <w:rPr>
          <w:rFonts w:hint="eastAsia"/>
        </w:rPr>
        <w:t>主机硬件系统检查</w:t>
      </w:r>
    </w:p>
    <w:p>
      <w:pPr>
        <w:pStyle w:val="45"/>
        <w:widowControl/>
        <w:numPr>
          <w:ilvl w:val="0"/>
          <w:numId w:val="6"/>
        </w:numPr>
        <w:spacing w:line="360" w:lineRule="auto"/>
        <w:ind w:firstLineChars="0"/>
        <w:jc w:val="left"/>
      </w:pPr>
      <w:r>
        <w:rPr>
          <w:rFonts w:hint="eastAsia"/>
        </w:rPr>
        <w:t>检测系统性能及运行状况，查验系统的日志文件</w:t>
      </w:r>
    </w:p>
    <w:p>
      <w:pPr>
        <w:pStyle w:val="45"/>
        <w:widowControl/>
        <w:numPr>
          <w:ilvl w:val="0"/>
          <w:numId w:val="6"/>
        </w:numPr>
        <w:spacing w:line="360" w:lineRule="auto"/>
        <w:ind w:firstLineChars="0"/>
        <w:jc w:val="left"/>
      </w:pPr>
      <w:r>
        <w:rPr>
          <w:rFonts w:hint="eastAsia"/>
        </w:rPr>
        <w:t>服务器、存储系统集群检查</w:t>
      </w:r>
    </w:p>
    <w:p>
      <w:pPr>
        <w:pStyle w:val="45"/>
        <w:widowControl/>
        <w:numPr>
          <w:ilvl w:val="0"/>
          <w:numId w:val="6"/>
        </w:numPr>
        <w:spacing w:line="360" w:lineRule="auto"/>
        <w:ind w:firstLineChars="0"/>
        <w:jc w:val="left"/>
      </w:pPr>
      <w:r>
        <w:rPr>
          <w:rFonts w:hint="eastAsia"/>
        </w:rPr>
        <w:t>系统配置及备份检查</w:t>
      </w:r>
    </w:p>
    <w:p>
      <w:pPr>
        <w:pStyle w:val="45"/>
        <w:widowControl/>
        <w:numPr>
          <w:ilvl w:val="0"/>
          <w:numId w:val="6"/>
        </w:numPr>
        <w:spacing w:line="360" w:lineRule="auto"/>
        <w:ind w:firstLineChars="0"/>
        <w:jc w:val="left"/>
      </w:pPr>
      <w:r>
        <w:rPr>
          <w:rFonts w:hint="eastAsia"/>
        </w:rPr>
        <w:t>发现系统的各种报警信息，并做出相应的处理</w:t>
      </w:r>
    </w:p>
    <w:p>
      <w:pPr>
        <w:pStyle w:val="45"/>
        <w:widowControl/>
        <w:numPr>
          <w:ilvl w:val="0"/>
          <w:numId w:val="6"/>
        </w:numPr>
        <w:spacing w:line="360" w:lineRule="auto"/>
        <w:ind w:firstLineChars="0"/>
        <w:jc w:val="left"/>
      </w:pPr>
      <w:r>
        <w:rPr>
          <w:rFonts w:hint="eastAsia"/>
        </w:rPr>
        <w:t>发现操作系统故障，应进行排查、恢复及系统重装</w:t>
      </w:r>
    </w:p>
    <w:p>
      <w:pPr>
        <w:pStyle w:val="45"/>
        <w:widowControl/>
        <w:numPr>
          <w:ilvl w:val="0"/>
          <w:numId w:val="6"/>
        </w:numPr>
        <w:spacing w:line="360" w:lineRule="auto"/>
        <w:ind w:firstLineChars="0"/>
        <w:jc w:val="left"/>
      </w:pPr>
      <w:r>
        <w:rPr>
          <w:rFonts w:hint="eastAsia"/>
        </w:rPr>
        <w:t>配合用户对应用系统进行故障诊断、故障处理、联调、优化等</w:t>
      </w:r>
    </w:p>
    <w:p>
      <w:pPr>
        <w:pStyle w:val="45"/>
        <w:widowControl/>
        <w:numPr>
          <w:ilvl w:val="0"/>
          <w:numId w:val="6"/>
        </w:numPr>
        <w:spacing w:line="360" w:lineRule="auto"/>
        <w:ind w:firstLineChars="0"/>
        <w:jc w:val="left"/>
      </w:pPr>
      <w:r>
        <w:rPr>
          <w:rFonts w:hint="eastAsia"/>
        </w:rPr>
        <w:t>硬件设备系统总体性能评估</w:t>
      </w:r>
    </w:p>
    <w:p>
      <w:pPr>
        <w:pStyle w:val="45"/>
        <w:widowControl/>
        <w:numPr>
          <w:ilvl w:val="0"/>
          <w:numId w:val="6"/>
        </w:numPr>
        <w:spacing w:line="360" w:lineRule="auto"/>
        <w:ind w:firstLineChars="0"/>
        <w:jc w:val="left"/>
      </w:pPr>
      <w:r>
        <w:rPr>
          <w:rFonts w:hint="eastAsia"/>
        </w:rPr>
        <w:t>每次巡检保养服务要有详细的记录，并在一周内向用户提交巡检服务报告</w:t>
      </w:r>
    </w:p>
    <w:p>
      <w:pPr>
        <w:pStyle w:val="45"/>
        <w:widowControl/>
        <w:numPr>
          <w:ilvl w:val="0"/>
          <w:numId w:val="6"/>
        </w:numPr>
        <w:spacing w:line="360" w:lineRule="auto"/>
        <w:ind w:firstLineChars="0"/>
        <w:jc w:val="left"/>
      </w:pPr>
      <w:r>
        <w:rPr>
          <w:rFonts w:hint="eastAsia"/>
        </w:rPr>
        <w:t>巡检中发现乙方设备信息有更改必须及时更新，并在巡检服务报告中注明，并协助乙方对所有设备添加标签标注其设备应用信息。</w:t>
      </w:r>
    </w:p>
    <w:p>
      <w:pPr>
        <w:widowControl/>
        <w:jc w:val="left"/>
      </w:pPr>
      <w:r>
        <w:br w:type="page"/>
      </w:r>
    </w:p>
    <w:p>
      <w:pPr>
        <w:pStyle w:val="5"/>
      </w:pPr>
      <w:r>
        <w:rPr>
          <w:rFonts w:hint="eastAsia"/>
        </w:rPr>
        <w:t>2</w:t>
      </w:r>
      <w:r>
        <w:t xml:space="preserve">.2 </w:t>
      </w:r>
      <w:r>
        <w:rPr>
          <w:rFonts w:hint="eastAsia"/>
        </w:rPr>
        <w:t>数据库维护服务</w:t>
      </w:r>
    </w:p>
    <w:p>
      <w:pPr>
        <w:pStyle w:val="6"/>
        <w:rPr>
          <w:rFonts w:hAnsi="宋体"/>
        </w:rPr>
      </w:pPr>
      <w:r>
        <w:rPr>
          <w:rFonts w:hint="eastAsia" w:hAnsi="宋体"/>
        </w:rPr>
        <w:t>2</w:t>
      </w:r>
      <w:r>
        <w:rPr>
          <w:rFonts w:hAnsi="宋体"/>
        </w:rPr>
        <w:t xml:space="preserve">.2.1 </w:t>
      </w:r>
      <w:r>
        <w:rPr>
          <w:rFonts w:hint="eastAsia" w:hAnsi="宋体"/>
        </w:rPr>
        <w:t>核心应用系统（HIS、LIS、P</w:t>
      </w:r>
      <w:r>
        <w:rPr>
          <w:rFonts w:hAnsi="宋体"/>
        </w:rPr>
        <w:t>ACS</w:t>
      </w:r>
      <w:r>
        <w:rPr>
          <w:rFonts w:hint="eastAsia" w:hAnsi="宋体"/>
        </w:rPr>
        <w:t>、EMR、CDR等）数据库维护服务</w:t>
      </w:r>
    </w:p>
    <w:tbl>
      <w:tblPr>
        <w:tblStyle w:val="34"/>
        <w:tblW w:w="933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9"/>
        <w:gridCol w:w="1608"/>
        <w:gridCol w:w="3366"/>
        <w:gridCol w:w="951"/>
        <w:gridCol w:w="699"/>
        <w:gridCol w:w="192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rPr>
            </w:pPr>
            <w:r>
              <w:rPr>
                <w:rFonts w:hint="eastAsia" w:cs="微软雅黑"/>
                <w:b/>
                <w:color w:val="000000"/>
              </w:rPr>
              <w:t>序号</w:t>
            </w:r>
          </w:p>
        </w:tc>
        <w:tc>
          <w:tcPr>
            <w:tcW w:w="1608" w:type="dxa"/>
            <w:tcBorders>
              <w:top w:val="single" w:color="000000" w:sz="4" w:space="0"/>
              <w:left w:val="nil"/>
              <w:bottom w:val="single" w:color="000000" w:sz="4" w:space="0"/>
              <w:right w:val="single" w:color="000000" w:sz="4" w:space="0"/>
            </w:tcBorders>
            <w:vAlign w:val="center"/>
          </w:tcPr>
          <w:p>
            <w:pPr>
              <w:jc w:val="center"/>
              <w:rPr>
                <w:rFonts w:cs="微软雅黑"/>
              </w:rPr>
            </w:pPr>
            <w:r>
              <w:rPr>
                <w:rFonts w:hint="eastAsia" w:cs="微软雅黑"/>
                <w:b/>
                <w:color w:val="000000"/>
              </w:rPr>
              <w:t>数据库名称</w:t>
            </w:r>
          </w:p>
        </w:tc>
        <w:tc>
          <w:tcPr>
            <w:tcW w:w="3366" w:type="dxa"/>
            <w:tcBorders>
              <w:top w:val="single" w:color="000000" w:sz="4" w:space="0"/>
              <w:left w:val="nil"/>
              <w:bottom w:val="single" w:color="000000" w:sz="4" w:space="0"/>
              <w:right w:val="single" w:color="000000" w:sz="4" w:space="0"/>
            </w:tcBorders>
            <w:vAlign w:val="center"/>
          </w:tcPr>
          <w:p>
            <w:pPr>
              <w:jc w:val="center"/>
              <w:rPr>
                <w:rFonts w:cs="微软雅黑"/>
              </w:rPr>
            </w:pPr>
            <w:r>
              <w:rPr>
                <w:rFonts w:hint="eastAsia" w:cs="微软雅黑"/>
                <w:b/>
                <w:color w:val="000000"/>
              </w:rPr>
              <w:t>版本</w:t>
            </w:r>
          </w:p>
        </w:tc>
        <w:tc>
          <w:tcPr>
            <w:tcW w:w="951" w:type="dxa"/>
            <w:tcBorders>
              <w:top w:val="single" w:color="000000" w:sz="4" w:space="0"/>
              <w:left w:val="nil"/>
              <w:bottom w:val="single" w:color="000000" w:sz="4" w:space="0"/>
              <w:right w:val="single" w:color="000000" w:sz="4" w:space="0"/>
            </w:tcBorders>
            <w:vAlign w:val="center"/>
          </w:tcPr>
          <w:p>
            <w:pPr>
              <w:jc w:val="center"/>
              <w:rPr>
                <w:rFonts w:cs="微软雅黑"/>
              </w:rPr>
            </w:pPr>
            <w:r>
              <w:rPr>
                <w:rFonts w:hint="eastAsia" w:cs="微软雅黑"/>
                <w:b/>
                <w:color w:val="000000"/>
              </w:rPr>
              <w:t>数量</w:t>
            </w:r>
          </w:p>
        </w:tc>
        <w:tc>
          <w:tcPr>
            <w:tcW w:w="699" w:type="dxa"/>
            <w:tcBorders>
              <w:top w:val="single" w:color="000000" w:sz="4" w:space="0"/>
              <w:left w:val="nil"/>
              <w:bottom w:val="single" w:color="000000" w:sz="4" w:space="0"/>
              <w:right w:val="single" w:color="000000" w:sz="4" w:space="0"/>
            </w:tcBorders>
            <w:vAlign w:val="center"/>
          </w:tcPr>
          <w:p>
            <w:pPr>
              <w:jc w:val="center"/>
              <w:rPr>
                <w:rFonts w:cs="微软雅黑"/>
              </w:rPr>
            </w:pPr>
            <w:r>
              <w:rPr>
                <w:rFonts w:hint="eastAsia" w:cs="微软雅黑"/>
                <w:b/>
                <w:color w:val="000000"/>
              </w:rPr>
              <w:t>单位</w:t>
            </w:r>
          </w:p>
        </w:tc>
        <w:tc>
          <w:tcPr>
            <w:tcW w:w="1926" w:type="dxa"/>
            <w:tcBorders>
              <w:top w:val="single" w:color="000000" w:sz="4" w:space="0"/>
              <w:left w:val="nil"/>
              <w:bottom w:val="single" w:color="000000" w:sz="4" w:space="0"/>
              <w:right w:val="single" w:color="000000" w:sz="4" w:space="0"/>
            </w:tcBorders>
            <w:vAlign w:val="center"/>
          </w:tcPr>
          <w:p>
            <w:pPr>
              <w:jc w:val="center"/>
              <w:rPr>
                <w:rFonts w:cs="微软雅黑"/>
              </w:rPr>
            </w:pPr>
            <w:r>
              <w:rPr>
                <w:rFonts w:hint="eastAsia" w:cs="微软雅黑"/>
                <w:b/>
                <w:color w:val="000000"/>
              </w:rPr>
              <w:t>数据量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789" w:type="dxa"/>
            <w:tcBorders>
              <w:top w:val="nil"/>
              <w:left w:val="single" w:color="000000" w:sz="4" w:space="0"/>
              <w:bottom w:val="single" w:color="000000" w:sz="4" w:space="0"/>
              <w:right w:val="single" w:color="000000" w:sz="4" w:space="0"/>
            </w:tcBorders>
            <w:vAlign w:val="center"/>
          </w:tcPr>
          <w:p>
            <w:pPr>
              <w:jc w:val="center"/>
              <w:rPr>
                <w:rFonts w:cs="微软雅黑"/>
              </w:rPr>
            </w:pPr>
            <w:r>
              <w:rPr>
                <w:rFonts w:hint="eastAsia" w:cs="微软雅黑"/>
                <w:color w:val="000000"/>
              </w:rPr>
              <w:t>1</w:t>
            </w:r>
          </w:p>
        </w:tc>
        <w:tc>
          <w:tcPr>
            <w:tcW w:w="1608" w:type="dxa"/>
            <w:tcBorders>
              <w:top w:val="nil"/>
              <w:left w:val="nil"/>
              <w:bottom w:val="single" w:color="000000" w:sz="4" w:space="0"/>
              <w:right w:val="single" w:color="000000" w:sz="4" w:space="0"/>
            </w:tcBorders>
            <w:vAlign w:val="center"/>
          </w:tcPr>
          <w:p>
            <w:pPr>
              <w:jc w:val="center"/>
              <w:rPr>
                <w:rFonts w:cs="微软雅黑"/>
              </w:rPr>
            </w:pPr>
            <w:r>
              <w:rPr>
                <w:rFonts w:hint="eastAsia" w:cs="微软雅黑"/>
                <w:color w:val="000000"/>
              </w:rPr>
              <w:t>SQLSERVER</w:t>
            </w:r>
          </w:p>
        </w:tc>
        <w:tc>
          <w:tcPr>
            <w:tcW w:w="3366" w:type="dxa"/>
            <w:tcBorders>
              <w:top w:val="nil"/>
              <w:left w:val="nil"/>
              <w:bottom w:val="single" w:color="000000" w:sz="4" w:space="0"/>
              <w:right w:val="single" w:color="000000" w:sz="4" w:space="0"/>
            </w:tcBorders>
            <w:vAlign w:val="center"/>
          </w:tcPr>
          <w:p>
            <w:pPr>
              <w:jc w:val="center"/>
              <w:rPr>
                <w:rFonts w:cs="微软雅黑"/>
              </w:rPr>
            </w:pPr>
            <w:r>
              <w:rPr>
                <w:rFonts w:hint="eastAsia" w:cs="微软雅黑"/>
                <w:color w:val="000000"/>
              </w:rPr>
              <w:t>sqlserver 2008/2012/2014</w:t>
            </w:r>
          </w:p>
        </w:tc>
        <w:tc>
          <w:tcPr>
            <w:tcW w:w="951" w:type="dxa"/>
            <w:tcBorders>
              <w:top w:val="nil"/>
              <w:left w:val="nil"/>
              <w:bottom w:val="single" w:color="000000" w:sz="4" w:space="0"/>
              <w:right w:val="single" w:color="000000" w:sz="4" w:space="0"/>
            </w:tcBorders>
            <w:vAlign w:val="center"/>
          </w:tcPr>
          <w:p>
            <w:pPr>
              <w:jc w:val="center"/>
              <w:rPr>
                <w:rFonts w:hint="default" w:eastAsia="宋体" w:cs="微软雅黑"/>
                <w:lang w:val="en-US" w:eastAsia="zh-CN"/>
              </w:rPr>
            </w:pPr>
            <w:r>
              <w:rPr>
                <w:rFonts w:hint="eastAsia" w:cs="微软雅黑"/>
                <w:lang w:val="en-US" w:eastAsia="zh-CN"/>
              </w:rPr>
              <w:t>≥20</w:t>
            </w:r>
            <w:bookmarkStart w:id="2" w:name="_GoBack"/>
            <w:bookmarkEnd w:id="2"/>
          </w:p>
        </w:tc>
        <w:tc>
          <w:tcPr>
            <w:tcW w:w="699" w:type="dxa"/>
            <w:tcBorders>
              <w:top w:val="nil"/>
              <w:left w:val="nil"/>
              <w:bottom w:val="single" w:color="000000" w:sz="4" w:space="0"/>
              <w:right w:val="single" w:color="000000" w:sz="4" w:space="0"/>
            </w:tcBorders>
            <w:vAlign w:val="center"/>
          </w:tcPr>
          <w:p>
            <w:pPr>
              <w:jc w:val="center"/>
              <w:rPr>
                <w:rFonts w:cs="微软雅黑"/>
              </w:rPr>
            </w:pPr>
            <w:r>
              <w:rPr>
                <w:rFonts w:hint="eastAsia" w:cs="微软雅黑"/>
                <w:color w:val="000000"/>
              </w:rPr>
              <w:t>套</w:t>
            </w:r>
          </w:p>
        </w:tc>
        <w:tc>
          <w:tcPr>
            <w:tcW w:w="1926" w:type="dxa"/>
            <w:tcBorders>
              <w:top w:val="nil"/>
              <w:left w:val="nil"/>
              <w:bottom w:val="single" w:color="000000" w:sz="4" w:space="0"/>
              <w:right w:val="single" w:color="000000" w:sz="4" w:space="0"/>
            </w:tcBorders>
            <w:vAlign w:val="center"/>
          </w:tcPr>
          <w:p>
            <w:pPr>
              <w:jc w:val="center"/>
              <w:rPr>
                <w:rFonts w:cs="微软雅黑"/>
              </w:rPr>
            </w:pPr>
            <w:r>
              <w:rPr>
                <w:rFonts w:hint="eastAsia" w:cs="微软雅黑"/>
                <w:color w:val="000000"/>
              </w:rPr>
              <w:t>数据量TB级别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789" w:type="dxa"/>
            <w:tcBorders>
              <w:top w:val="nil"/>
              <w:left w:val="single" w:color="000000" w:sz="4" w:space="0"/>
              <w:bottom w:val="single" w:color="000000" w:sz="4" w:space="0"/>
              <w:right w:val="single" w:color="000000" w:sz="4" w:space="0"/>
            </w:tcBorders>
            <w:vAlign w:val="center"/>
          </w:tcPr>
          <w:p>
            <w:pPr>
              <w:jc w:val="center"/>
              <w:rPr>
                <w:rFonts w:cs="微软雅黑"/>
              </w:rPr>
            </w:pPr>
            <w:r>
              <w:rPr>
                <w:rFonts w:hint="eastAsia" w:cs="微软雅黑"/>
                <w:color w:val="000000"/>
              </w:rPr>
              <w:t>2</w:t>
            </w:r>
          </w:p>
        </w:tc>
        <w:tc>
          <w:tcPr>
            <w:tcW w:w="1608" w:type="dxa"/>
            <w:tcBorders>
              <w:top w:val="nil"/>
              <w:left w:val="nil"/>
              <w:bottom w:val="single" w:color="000000" w:sz="4" w:space="0"/>
              <w:right w:val="single" w:color="000000" w:sz="4" w:space="0"/>
            </w:tcBorders>
            <w:vAlign w:val="center"/>
          </w:tcPr>
          <w:p>
            <w:pPr>
              <w:jc w:val="center"/>
              <w:rPr>
                <w:rFonts w:cs="微软雅黑"/>
              </w:rPr>
            </w:pPr>
            <w:r>
              <w:rPr>
                <w:rFonts w:hint="eastAsia" w:cs="微软雅黑"/>
                <w:color w:val="000000"/>
              </w:rPr>
              <w:t>Oracle</w:t>
            </w:r>
          </w:p>
        </w:tc>
        <w:tc>
          <w:tcPr>
            <w:tcW w:w="3366" w:type="dxa"/>
            <w:tcBorders>
              <w:top w:val="nil"/>
              <w:left w:val="nil"/>
              <w:bottom w:val="single" w:color="000000" w:sz="4" w:space="0"/>
              <w:right w:val="single" w:color="000000" w:sz="4" w:space="0"/>
            </w:tcBorders>
            <w:vAlign w:val="center"/>
          </w:tcPr>
          <w:p>
            <w:pPr>
              <w:jc w:val="center"/>
              <w:rPr>
                <w:rFonts w:cs="微软雅黑"/>
              </w:rPr>
            </w:pPr>
            <w:r>
              <w:rPr>
                <w:rFonts w:hint="eastAsia" w:cs="微软雅黑"/>
                <w:color w:val="000000"/>
              </w:rPr>
              <w:t>oracle 11g/12c/19c</w:t>
            </w:r>
          </w:p>
        </w:tc>
        <w:tc>
          <w:tcPr>
            <w:tcW w:w="951" w:type="dxa"/>
            <w:tcBorders>
              <w:top w:val="nil"/>
              <w:left w:val="nil"/>
              <w:bottom w:val="single" w:color="000000" w:sz="4" w:space="0"/>
              <w:right w:val="single" w:color="000000" w:sz="4" w:space="0"/>
            </w:tcBorders>
            <w:vAlign w:val="center"/>
          </w:tcPr>
          <w:p>
            <w:pPr>
              <w:jc w:val="center"/>
              <w:rPr>
                <w:rFonts w:hint="default" w:eastAsia="宋体" w:cs="微软雅黑"/>
                <w:lang w:val="en-US" w:eastAsia="zh-CN"/>
              </w:rPr>
            </w:pPr>
            <w:r>
              <w:rPr>
                <w:rFonts w:hint="eastAsia" w:cs="微软雅黑"/>
                <w:lang w:val="en-US" w:eastAsia="zh-CN"/>
              </w:rPr>
              <w:t>≥15</w:t>
            </w:r>
          </w:p>
        </w:tc>
        <w:tc>
          <w:tcPr>
            <w:tcW w:w="699" w:type="dxa"/>
            <w:tcBorders>
              <w:top w:val="nil"/>
              <w:left w:val="nil"/>
              <w:bottom w:val="single" w:color="000000" w:sz="4" w:space="0"/>
              <w:right w:val="single" w:color="000000" w:sz="4" w:space="0"/>
            </w:tcBorders>
            <w:vAlign w:val="center"/>
          </w:tcPr>
          <w:p>
            <w:pPr>
              <w:jc w:val="center"/>
              <w:rPr>
                <w:rFonts w:cs="微软雅黑"/>
              </w:rPr>
            </w:pPr>
            <w:r>
              <w:rPr>
                <w:rFonts w:hint="eastAsia" w:cs="微软雅黑"/>
                <w:color w:val="000000"/>
              </w:rPr>
              <w:t>套</w:t>
            </w:r>
          </w:p>
        </w:tc>
        <w:tc>
          <w:tcPr>
            <w:tcW w:w="1926" w:type="dxa"/>
            <w:tcBorders>
              <w:top w:val="nil"/>
              <w:left w:val="nil"/>
              <w:bottom w:val="single" w:color="000000" w:sz="4" w:space="0"/>
              <w:right w:val="single" w:color="000000" w:sz="4" w:space="0"/>
            </w:tcBorders>
            <w:vAlign w:val="center"/>
          </w:tcPr>
          <w:p>
            <w:pPr>
              <w:jc w:val="center"/>
              <w:rPr>
                <w:rFonts w:cs="微软雅黑"/>
              </w:rPr>
            </w:pPr>
            <w:r>
              <w:rPr>
                <w:rFonts w:hint="eastAsia" w:cs="微软雅黑"/>
                <w:color w:val="000000"/>
              </w:rPr>
              <w:t>数据量TB级别</w:t>
            </w:r>
          </w:p>
        </w:tc>
      </w:tr>
    </w:tbl>
    <w:p/>
    <w:p>
      <w:pPr>
        <w:pStyle w:val="6"/>
        <w:rPr>
          <w:rFonts w:hAnsi="宋体"/>
        </w:rPr>
      </w:pPr>
      <w:r>
        <w:rPr>
          <w:rFonts w:hint="eastAsia" w:hAnsi="宋体"/>
        </w:rPr>
        <w:t>2</w:t>
      </w:r>
      <w:r>
        <w:rPr>
          <w:rFonts w:hAnsi="宋体"/>
        </w:rPr>
        <w:t>.2.</w:t>
      </w:r>
      <w:r>
        <w:rPr>
          <w:rFonts w:hint="eastAsia" w:hAnsi="宋体"/>
        </w:rPr>
        <w:t>2</w:t>
      </w:r>
      <w:r>
        <w:rPr>
          <w:rFonts w:hAnsi="宋体"/>
        </w:rPr>
        <w:t xml:space="preserve"> </w:t>
      </w:r>
      <w:r>
        <w:rPr>
          <w:rFonts w:hint="eastAsia" w:hAnsi="宋体"/>
        </w:rPr>
        <w:t>远程及现场支持服务</w:t>
      </w:r>
    </w:p>
    <w:p>
      <w:pPr>
        <w:pStyle w:val="45"/>
        <w:widowControl/>
        <w:numPr>
          <w:ilvl w:val="0"/>
          <w:numId w:val="7"/>
        </w:numPr>
        <w:spacing w:line="360" w:lineRule="auto"/>
        <w:ind w:hanging="436" w:firstLineChars="0"/>
        <w:jc w:val="left"/>
      </w:pPr>
      <w:r>
        <w:rPr>
          <w:rFonts w:hint="eastAsia"/>
        </w:rPr>
        <w:t>电话支持服务</w:t>
      </w:r>
    </w:p>
    <w:p>
      <w:pPr>
        <w:pStyle w:val="45"/>
        <w:spacing w:line="360" w:lineRule="auto"/>
      </w:pPr>
      <w:r>
        <w:rPr>
          <w:rFonts w:hint="eastAsia"/>
        </w:rPr>
        <w:t>服务商应提供400电话响应热线，电话响应热线</w:t>
      </w:r>
      <w:r>
        <w:rPr>
          <w:rFonts w:hint="eastAsia" w:cs="Arial"/>
        </w:rPr>
        <w:t>7</w:t>
      </w:r>
      <w:r>
        <w:rPr>
          <w:rFonts w:hint="eastAsia"/>
        </w:rPr>
        <w:t>×</w:t>
      </w:r>
      <w:r>
        <w:rPr>
          <w:rFonts w:hint="eastAsia" w:cs="Arial"/>
        </w:rPr>
        <w:t>24</w:t>
      </w:r>
      <w:r>
        <w:rPr>
          <w:rFonts w:hint="eastAsia"/>
        </w:rPr>
        <w:t>的全天侯不间断的电话服务和信服务。本项目可通过电话响应中心在线支持服务获得直接的技术支持、咨询，以及获取快速技术支持响应。</w:t>
      </w:r>
    </w:p>
    <w:p>
      <w:pPr>
        <w:pStyle w:val="45"/>
        <w:widowControl/>
        <w:numPr>
          <w:ilvl w:val="0"/>
          <w:numId w:val="7"/>
        </w:numPr>
        <w:spacing w:line="360" w:lineRule="auto"/>
        <w:ind w:hanging="436" w:firstLineChars="0"/>
        <w:jc w:val="left"/>
      </w:pPr>
      <w:r>
        <w:rPr>
          <w:rFonts w:hint="eastAsia"/>
        </w:rPr>
        <w:t>远程支持</w:t>
      </w:r>
    </w:p>
    <w:p>
      <w:pPr>
        <w:pStyle w:val="45"/>
        <w:spacing w:line="360" w:lineRule="auto"/>
      </w:pPr>
      <w:r>
        <w:rPr>
          <w:rFonts w:hint="eastAsia"/>
        </w:rPr>
        <w:t>服务商对于本项目提供</w:t>
      </w:r>
      <w:r>
        <w:rPr>
          <w:rFonts w:hint="eastAsia" w:cs="Arial"/>
        </w:rPr>
        <w:t>7</w:t>
      </w:r>
      <w:r>
        <w:rPr>
          <w:rFonts w:hint="eastAsia"/>
        </w:rPr>
        <w:t>×</w:t>
      </w:r>
      <w:r>
        <w:rPr>
          <w:rFonts w:hint="eastAsia" w:cs="Arial"/>
        </w:rPr>
        <w:t>24</w:t>
      </w:r>
      <w:r>
        <w:rPr>
          <w:rFonts w:hint="eastAsia"/>
        </w:rPr>
        <w:t>小时的远程服务，远程服务的方式有电话、QQ、微信、网站、EMAIL等，工程师会将问题录入导系统中，并且会对用户信息及问题进行详细地分析和判断，保障本项目业务稳定运行并提供解决方案，若不能排除故障，需升级现场支持继续解决故障。</w:t>
      </w:r>
    </w:p>
    <w:p>
      <w:pPr>
        <w:pStyle w:val="45"/>
        <w:widowControl/>
        <w:numPr>
          <w:ilvl w:val="0"/>
          <w:numId w:val="7"/>
        </w:numPr>
        <w:spacing w:line="360" w:lineRule="auto"/>
        <w:ind w:hanging="436" w:firstLineChars="0"/>
        <w:jc w:val="left"/>
      </w:pPr>
      <w:r>
        <w:rPr>
          <w:rFonts w:hint="eastAsia"/>
        </w:rPr>
        <w:t>现场支持</w:t>
      </w:r>
    </w:p>
    <w:p>
      <w:pPr>
        <w:pStyle w:val="45"/>
        <w:spacing w:line="360" w:lineRule="auto"/>
      </w:pPr>
      <w:r>
        <w:rPr>
          <w:rFonts w:hint="eastAsia"/>
        </w:rPr>
        <w:t>服务商收到本项目报障或服务请求后，供应商根据服务级别和相关要求进行响应，对于无法在电话中解决的问题，及时安排现场人员到用户现场进行故障的处理，</w:t>
      </w:r>
    </w:p>
    <w:p>
      <w:pPr>
        <w:pStyle w:val="45"/>
        <w:spacing w:line="360" w:lineRule="auto"/>
      </w:pPr>
    </w:p>
    <w:p>
      <w:pPr>
        <w:pStyle w:val="6"/>
        <w:rPr>
          <w:rFonts w:hAnsi="宋体"/>
        </w:rPr>
      </w:pPr>
      <w:r>
        <w:rPr>
          <w:rFonts w:hint="eastAsia" w:hAnsi="宋体"/>
        </w:rPr>
        <w:t>2</w:t>
      </w:r>
      <w:r>
        <w:rPr>
          <w:rFonts w:hAnsi="宋体"/>
        </w:rPr>
        <w:t xml:space="preserve">.2.3 </w:t>
      </w:r>
      <w:r>
        <w:rPr>
          <w:rFonts w:hint="eastAsia" w:hAnsi="宋体"/>
        </w:rPr>
        <w:t>数据库系统巡检服务</w:t>
      </w:r>
    </w:p>
    <w:p>
      <w:pPr>
        <w:spacing w:line="360" w:lineRule="auto"/>
        <w:ind w:firstLine="420" w:firstLineChars="200"/>
      </w:pPr>
      <w:r>
        <w:rPr>
          <w:rFonts w:hint="eastAsia"/>
        </w:rPr>
        <w:t>提供每月一次的数据库巡检服务，现场数据库例行检查服务，包括数据库的错误日志管理，性能管理，空间管理，对象管理，安全管理，备份管理等。数据库巡检服务现场检查和系统数据分析构成，提供相应的数据库巡检报告，</w:t>
      </w:r>
    </w:p>
    <w:p>
      <w:pPr>
        <w:spacing w:line="360" w:lineRule="auto"/>
      </w:pPr>
      <w:r>
        <w:rPr>
          <w:rFonts w:hint="eastAsia"/>
        </w:rPr>
        <w:t>数据库巡检服务内容包括以下部分：</w:t>
      </w:r>
    </w:p>
    <w:p>
      <w:pPr>
        <w:numPr>
          <w:ilvl w:val="0"/>
          <w:numId w:val="8"/>
        </w:numPr>
        <w:spacing w:line="360" w:lineRule="auto"/>
        <w:rPr>
          <w:rFonts w:cs="Arial"/>
          <w:color w:val="000000"/>
        </w:rPr>
      </w:pPr>
      <w:r>
        <w:rPr>
          <w:rFonts w:hint="eastAsia" w:cs="Arial"/>
          <w:color w:val="000000"/>
        </w:rPr>
        <w:t>检查相关软硬件、数据库配置和SGA、PGA的配置情况；</w:t>
      </w:r>
    </w:p>
    <w:p>
      <w:pPr>
        <w:numPr>
          <w:ilvl w:val="0"/>
          <w:numId w:val="8"/>
        </w:numPr>
        <w:spacing w:line="360" w:lineRule="auto"/>
        <w:rPr>
          <w:rFonts w:cs="Arial"/>
          <w:color w:val="000000"/>
        </w:rPr>
      </w:pPr>
      <w:r>
        <w:rPr>
          <w:rFonts w:hint="eastAsia" w:cs="Arial"/>
          <w:color w:val="000000"/>
        </w:rPr>
        <w:t>检查数据库、备份结果集、各表空间的变化情况等，并对数据变化情况作评估；</w:t>
      </w:r>
    </w:p>
    <w:p>
      <w:pPr>
        <w:numPr>
          <w:ilvl w:val="0"/>
          <w:numId w:val="8"/>
        </w:numPr>
        <w:spacing w:line="360" w:lineRule="auto"/>
        <w:rPr>
          <w:rFonts w:cs="Arial"/>
          <w:color w:val="000000"/>
        </w:rPr>
      </w:pPr>
      <w:r>
        <w:rPr>
          <w:rFonts w:hint="eastAsia" w:cs="Arial"/>
          <w:color w:val="000000"/>
        </w:rPr>
        <w:t>统计当前表空间、文件系统和数据文件的使用情况；</w:t>
      </w:r>
    </w:p>
    <w:p>
      <w:pPr>
        <w:numPr>
          <w:ilvl w:val="0"/>
          <w:numId w:val="8"/>
        </w:numPr>
        <w:spacing w:line="360" w:lineRule="auto"/>
        <w:rPr>
          <w:rFonts w:cs="Arial"/>
          <w:color w:val="000000"/>
        </w:rPr>
      </w:pPr>
      <w:r>
        <w:rPr>
          <w:rFonts w:hint="eastAsia" w:cs="Arial"/>
          <w:color w:val="000000"/>
        </w:rPr>
        <w:t>检查数据库alert.log日志文件和相关trace文件；</w:t>
      </w:r>
    </w:p>
    <w:p>
      <w:pPr>
        <w:numPr>
          <w:ilvl w:val="0"/>
          <w:numId w:val="8"/>
        </w:numPr>
        <w:spacing w:line="360" w:lineRule="auto"/>
        <w:rPr>
          <w:rFonts w:cs="Arial"/>
          <w:color w:val="000000"/>
        </w:rPr>
      </w:pPr>
      <w:r>
        <w:rPr>
          <w:rFonts w:hint="eastAsia" w:cs="Arial"/>
          <w:color w:val="000000"/>
        </w:rPr>
        <w:t>检查操作系统用户、数据库用户、系统本身的安全性；</w:t>
      </w:r>
    </w:p>
    <w:p>
      <w:pPr>
        <w:numPr>
          <w:ilvl w:val="0"/>
          <w:numId w:val="8"/>
        </w:numPr>
        <w:spacing w:line="360" w:lineRule="auto"/>
        <w:rPr>
          <w:rFonts w:cs="Arial"/>
          <w:color w:val="000000"/>
        </w:rPr>
      </w:pPr>
      <w:r>
        <w:rPr>
          <w:rFonts w:hint="eastAsia" w:cs="Arial"/>
          <w:color w:val="000000"/>
        </w:rPr>
        <w:t>收集数据库运行期间的负载情况和Instance各性能指标；</w:t>
      </w:r>
    </w:p>
    <w:p>
      <w:pPr>
        <w:numPr>
          <w:ilvl w:val="0"/>
          <w:numId w:val="8"/>
        </w:numPr>
        <w:spacing w:line="360" w:lineRule="auto"/>
        <w:rPr>
          <w:rFonts w:cs="Arial"/>
          <w:color w:val="000000"/>
        </w:rPr>
      </w:pPr>
      <w:r>
        <w:rPr>
          <w:rFonts w:hint="eastAsia" w:cs="Arial"/>
          <w:color w:val="000000"/>
        </w:rPr>
        <w:t>检查数据库备份是否正常；</w:t>
      </w:r>
    </w:p>
    <w:p>
      <w:pPr>
        <w:numPr>
          <w:ilvl w:val="0"/>
          <w:numId w:val="8"/>
        </w:numPr>
        <w:spacing w:line="360" w:lineRule="auto"/>
        <w:rPr>
          <w:rFonts w:cs="Arial"/>
          <w:color w:val="000000"/>
        </w:rPr>
      </w:pPr>
      <w:r>
        <w:rPr>
          <w:rFonts w:hint="eastAsia" w:cs="Arial"/>
          <w:color w:val="000000"/>
        </w:rPr>
        <w:t>操作系统错误告警；</w:t>
      </w:r>
    </w:p>
    <w:p>
      <w:pPr>
        <w:numPr>
          <w:ilvl w:val="0"/>
          <w:numId w:val="8"/>
        </w:numPr>
        <w:spacing w:line="360" w:lineRule="auto"/>
        <w:rPr>
          <w:rFonts w:cs="Arial"/>
          <w:color w:val="000000"/>
        </w:rPr>
      </w:pPr>
      <w:r>
        <w:rPr>
          <w:rFonts w:hint="eastAsia" w:cs="Arial"/>
          <w:color w:val="000000"/>
        </w:rPr>
        <w:t>操作系统实时性能监控；</w:t>
      </w:r>
    </w:p>
    <w:p>
      <w:pPr>
        <w:spacing w:line="360" w:lineRule="auto"/>
        <w:rPr>
          <w:rFonts w:cs="Arial"/>
          <w:color w:val="000000"/>
        </w:rPr>
      </w:pPr>
    </w:p>
    <w:p>
      <w:pPr>
        <w:pStyle w:val="6"/>
        <w:rPr>
          <w:rFonts w:hAnsi="宋体"/>
        </w:rPr>
      </w:pPr>
      <w:r>
        <w:rPr>
          <w:rFonts w:hint="eastAsia" w:hAnsi="宋体"/>
        </w:rPr>
        <w:t>2</w:t>
      </w:r>
      <w:r>
        <w:rPr>
          <w:rFonts w:hAnsi="宋体"/>
        </w:rPr>
        <w:t xml:space="preserve">.2.4 </w:t>
      </w:r>
      <w:r>
        <w:rPr>
          <w:rFonts w:hint="eastAsia" w:hAnsi="宋体"/>
        </w:rPr>
        <w:t>数据库系统升级服务</w:t>
      </w:r>
    </w:p>
    <w:p>
      <w:pPr>
        <w:spacing w:line="360" w:lineRule="auto"/>
        <w:ind w:firstLine="420" w:firstLineChars="200"/>
      </w:pPr>
      <w:r>
        <w:rPr>
          <w:rFonts w:hint="eastAsia"/>
        </w:rPr>
        <w:t>根据实际应用角度出发，根据硬件环境，应用类型进行分析，协助制订升级方案，每种升级方案中明确升级需要的条件、升级时间、业务停止时间、升级技术、风险、数据一致性、回退措施等，协助客户选择最适合的升级方案。为用户系统数据库提供最安全可靠，适合应用的数据库、补丁等升级服务。数据库升级服务包括以下内容：</w:t>
      </w:r>
    </w:p>
    <w:p>
      <w:pPr>
        <w:pStyle w:val="111"/>
        <w:numPr>
          <w:ilvl w:val="0"/>
          <w:numId w:val="9"/>
        </w:numPr>
        <w:spacing w:line="360" w:lineRule="auto"/>
        <w:ind w:left="851" w:hanging="131" w:firstLineChars="0"/>
        <w:rPr>
          <w:rFonts w:ascii="宋体" w:hAnsi="宋体"/>
          <w:color w:val="000000"/>
          <w:sz w:val="21"/>
          <w:szCs w:val="21"/>
        </w:rPr>
      </w:pPr>
      <w:r>
        <w:rPr>
          <w:rFonts w:hint="eastAsia" w:ascii="宋体" w:hAnsi="宋体"/>
          <w:color w:val="000000"/>
          <w:sz w:val="21"/>
          <w:szCs w:val="21"/>
        </w:rPr>
        <w:t>分析补丁的可用性及风险；</w:t>
      </w:r>
    </w:p>
    <w:p>
      <w:pPr>
        <w:pStyle w:val="111"/>
        <w:numPr>
          <w:ilvl w:val="0"/>
          <w:numId w:val="9"/>
        </w:numPr>
        <w:spacing w:line="360" w:lineRule="auto"/>
        <w:ind w:left="851" w:hanging="131" w:firstLineChars="0"/>
        <w:rPr>
          <w:rFonts w:ascii="宋体" w:hAnsi="宋体"/>
          <w:color w:val="000000"/>
          <w:sz w:val="21"/>
          <w:szCs w:val="21"/>
        </w:rPr>
      </w:pPr>
      <w:r>
        <w:rPr>
          <w:rFonts w:hint="eastAsia" w:ascii="宋体" w:hAnsi="宋体"/>
          <w:color w:val="000000"/>
          <w:sz w:val="21"/>
          <w:szCs w:val="21"/>
        </w:rPr>
        <w:t>提供</w:t>
      </w:r>
      <w:r>
        <w:rPr>
          <w:rFonts w:ascii="宋体" w:hAnsi="宋体"/>
          <w:color w:val="000000"/>
          <w:sz w:val="21"/>
          <w:szCs w:val="21"/>
        </w:rPr>
        <w:t>可选的升级方案</w:t>
      </w:r>
      <w:r>
        <w:rPr>
          <w:rFonts w:hint="eastAsia" w:ascii="宋体" w:hAnsi="宋体"/>
          <w:color w:val="000000"/>
          <w:sz w:val="21"/>
          <w:szCs w:val="21"/>
        </w:rPr>
        <w:t>；</w:t>
      </w:r>
    </w:p>
    <w:p>
      <w:pPr>
        <w:pStyle w:val="111"/>
        <w:numPr>
          <w:ilvl w:val="0"/>
          <w:numId w:val="9"/>
        </w:numPr>
        <w:spacing w:line="360" w:lineRule="auto"/>
        <w:ind w:left="851" w:hanging="131" w:firstLineChars="0"/>
        <w:rPr>
          <w:rFonts w:ascii="宋体" w:hAnsi="宋体"/>
          <w:color w:val="000000"/>
          <w:sz w:val="21"/>
          <w:szCs w:val="21"/>
        </w:rPr>
      </w:pPr>
      <w:r>
        <w:rPr>
          <w:rFonts w:hint="eastAsia" w:ascii="宋体" w:hAnsi="宋体"/>
          <w:color w:val="000000"/>
          <w:sz w:val="21"/>
          <w:szCs w:val="21"/>
        </w:rPr>
        <w:t>制定升级计划及应急回退计划；</w:t>
      </w:r>
    </w:p>
    <w:p>
      <w:pPr>
        <w:pStyle w:val="111"/>
        <w:numPr>
          <w:ilvl w:val="0"/>
          <w:numId w:val="9"/>
        </w:numPr>
        <w:spacing w:line="360" w:lineRule="auto"/>
        <w:ind w:left="851" w:hanging="131" w:firstLineChars="0"/>
        <w:rPr>
          <w:rFonts w:ascii="宋体" w:hAnsi="宋体"/>
          <w:color w:val="000000"/>
          <w:sz w:val="21"/>
          <w:szCs w:val="21"/>
        </w:rPr>
      </w:pPr>
      <w:r>
        <w:rPr>
          <w:rFonts w:hint="eastAsia" w:ascii="宋体" w:hAnsi="宋体"/>
          <w:color w:val="000000"/>
          <w:sz w:val="21"/>
          <w:szCs w:val="21"/>
        </w:rPr>
        <w:t>协助做好各项系统备份准备；</w:t>
      </w:r>
    </w:p>
    <w:p>
      <w:pPr>
        <w:pStyle w:val="111"/>
        <w:numPr>
          <w:ilvl w:val="0"/>
          <w:numId w:val="9"/>
        </w:numPr>
        <w:spacing w:line="360" w:lineRule="auto"/>
        <w:ind w:left="851" w:hanging="131" w:firstLineChars="0"/>
        <w:rPr>
          <w:rFonts w:ascii="宋体" w:hAnsi="宋体"/>
          <w:color w:val="000000"/>
          <w:sz w:val="21"/>
          <w:szCs w:val="21"/>
        </w:rPr>
      </w:pPr>
      <w:r>
        <w:rPr>
          <w:rFonts w:hint="eastAsia" w:ascii="宋体" w:hAnsi="宋体"/>
          <w:color w:val="000000"/>
          <w:sz w:val="21"/>
          <w:szCs w:val="21"/>
        </w:rPr>
        <w:t>安装数据库软件升级包；</w:t>
      </w:r>
    </w:p>
    <w:p>
      <w:pPr>
        <w:pStyle w:val="111"/>
        <w:numPr>
          <w:ilvl w:val="0"/>
          <w:numId w:val="9"/>
        </w:numPr>
        <w:spacing w:line="360" w:lineRule="auto"/>
        <w:ind w:left="851" w:hanging="131" w:firstLineChars="0"/>
        <w:rPr>
          <w:rFonts w:ascii="宋体" w:hAnsi="宋体"/>
          <w:color w:val="000000"/>
          <w:sz w:val="21"/>
          <w:szCs w:val="21"/>
        </w:rPr>
      </w:pPr>
      <w:r>
        <w:rPr>
          <w:rFonts w:hint="eastAsia" w:ascii="宋体" w:hAnsi="宋体"/>
          <w:color w:val="000000"/>
          <w:sz w:val="21"/>
          <w:szCs w:val="21"/>
        </w:rPr>
        <w:t>按需安装最新的补丁软件/版本；</w:t>
      </w:r>
    </w:p>
    <w:p>
      <w:pPr>
        <w:pStyle w:val="111"/>
        <w:numPr>
          <w:ilvl w:val="0"/>
          <w:numId w:val="9"/>
        </w:numPr>
        <w:spacing w:line="360" w:lineRule="auto"/>
        <w:ind w:left="851" w:hanging="131" w:firstLineChars="0"/>
        <w:rPr>
          <w:rFonts w:ascii="宋体" w:hAnsi="宋体"/>
          <w:color w:val="000000"/>
          <w:sz w:val="21"/>
          <w:szCs w:val="21"/>
        </w:rPr>
      </w:pPr>
      <w:r>
        <w:rPr>
          <w:rFonts w:hint="eastAsia" w:ascii="宋体" w:hAnsi="宋体"/>
          <w:color w:val="000000"/>
          <w:sz w:val="21"/>
          <w:szCs w:val="21"/>
        </w:rPr>
        <w:t>保障系统业务数据的正常读取；</w:t>
      </w:r>
    </w:p>
    <w:p>
      <w:pPr>
        <w:pStyle w:val="111"/>
        <w:numPr>
          <w:ilvl w:val="0"/>
          <w:numId w:val="9"/>
        </w:numPr>
        <w:spacing w:line="360" w:lineRule="auto"/>
        <w:ind w:left="851" w:hanging="131" w:firstLineChars="0"/>
        <w:rPr>
          <w:rFonts w:ascii="宋体" w:hAnsi="宋体"/>
          <w:color w:val="000000"/>
          <w:sz w:val="21"/>
          <w:szCs w:val="21"/>
        </w:rPr>
      </w:pPr>
      <w:r>
        <w:rPr>
          <w:rFonts w:hint="eastAsia" w:ascii="宋体" w:hAnsi="宋体"/>
          <w:color w:val="000000"/>
          <w:sz w:val="21"/>
          <w:szCs w:val="21"/>
        </w:rPr>
        <w:t>测试数据库软件，保证数据库软件的可用性；</w:t>
      </w:r>
    </w:p>
    <w:p>
      <w:pPr>
        <w:pStyle w:val="111"/>
        <w:numPr>
          <w:ilvl w:val="0"/>
          <w:numId w:val="9"/>
        </w:numPr>
        <w:spacing w:line="360" w:lineRule="auto"/>
        <w:ind w:left="851" w:hanging="131" w:firstLineChars="0"/>
        <w:rPr>
          <w:rFonts w:ascii="宋体" w:hAnsi="宋体"/>
          <w:color w:val="000000"/>
          <w:sz w:val="21"/>
          <w:szCs w:val="21"/>
        </w:rPr>
      </w:pPr>
      <w:r>
        <w:rPr>
          <w:rFonts w:hint="eastAsia" w:ascii="宋体" w:hAnsi="宋体"/>
          <w:color w:val="000000"/>
          <w:sz w:val="21"/>
          <w:szCs w:val="21"/>
        </w:rPr>
        <w:t>如果升级失败，作系统回退。</w:t>
      </w:r>
    </w:p>
    <w:p>
      <w:pPr>
        <w:pStyle w:val="111"/>
        <w:spacing w:line="360" w:lineRule="auto"/>
        <w:ind w:firstLine="0" w:firstLineChars="0"/>
        <w:rPr>
          <w:rFonts w:ascii="宋体" w:hAnsi="宋体"/>
          <w:color w:val="000000"/>
          <w:sz w:val="21"/>
          <w:szCs w:val="21"/>
        </w:rPr>
      </w:pPr>
    </w:p>
    <w:p>
      <w:pPr>
        <w:pStyle w:val="6"/>
        <w:rPr>
          <w:rFonts w:hAnsi="宋体"/>
        </w:rPr>
      </w:pPr>
      <w:r>
        <w:rPr>
          <w:rFonts w:hint="eastAsia" w:hAnsi="宋体"/>
        </w:rPr>
        <w:t>2</w:t>
      </w:r>
      <w:r>
        <w:rPr>
          <w:rFonts w:hAnsi="宋体"/>
        </w:rPr>
        <w:t xml:space="preserve">.2.5 </w:t>
      </w:r>
      <w:r>
        <w:rPr>
          <w:rFonts w:hint="eastAsia" w:hAnsi="宋体"/>
        </w:rPr>
        <w:t>数据库系统性能优化服务</w:t>
      </w:r>
    </w:p>
    <w:p>
      <w:pPr>
        <w:pStyle w:val="228"/>
        <w:ind w:left="0" w:leftChars="0" w:right="210" w:firstLine="420"/>
        <w:rPr>
          <w:b w:val="0"/>
          <w:color w:val="000000"/>
        </w:rPr>
      </w:pPr>
      <w:r>
        <w:rPr>
          <w:rFonts w:hint="eastAsia"/>
          <w:b w:val="0"/>
          <w:color w:val="000000"/>
        </w:rPr>
        <w:t>服务商应根据采购方数据库应用需求或出现的故障对数据库系统进行相应的性能优化服务，包括调整影响数据库运行效率的参数，提供影响数据库运行效率的数据库对象，提供影响数据库运行效率的SQL语句等，具体包括以下内容：</w:t>
      </w:r>
    </w:p>
    <w:p>
      <w:pPr>
        <w:pStyle w:val="111"/>
        <w:numPr>
          <w:ilvl w:val="0"/>
          <w:numId w:val="10"/>
        </w:numPr>
        <w:spacing w:line="360" w:lineRule="auto"/>
        <w:ind w:hanging="131" w:firstLineChars="0"/>
        <w:rPr>
          <w:rFonts w:ascii="宋体" w:hAnsi="宋体"/>
          <w:color w:val="000000"/>
          <w:sz w:val="21"/>
          <w:szCs w:val="21"/>
        </w:rPr>
      </w:pPr>
      <w:r>
        <w:rPr>
          <w:rFonts w:ascii="宋体" w:hAnsi="宋体"/>
          <w:color w:val="000000"/>
          <w:sz w:val="21"/>
          <w:szCs w:val="21"/>
        </w:rPr>
        <w:t>内存资源冲突</w:t>
      </w:r>
      <w:r>
        <w:rPr>
          <w:rFonts w:hint="eastAsia" w:ascii="宋体" w:hAnsi="宋体"/>
          <w:color w:val="000000"/>
          <w:sz w:val="21"/>
          <w:szCs w:val="21"/>
        </w:rPr>
        <w:t>、</w:t>
      </w:r>
      <w:r>
        <w:rPr>
          <w:rFonts w:ascii="宋体" w:hAnsi="宋体"/>
          <w:color w:val="000000"/>
          <w:sz w:val="21"/>
          <w:szCs w:val="21"/>
        </w:rPr>
        <w:t>IO资源冲突</w:t>
      </w:r>
      <w:r>
        <w:rPr>
          <w:rFonts w:hint="eastAsia" w:ascii="宋体" w:hAnsi="宋体"/>
          <w:color w:val="000000"/>
          <w:sz w:val="21"/>
          <w:szCs w:val="21"/>
        </w:rPr>
        <w:t>、</w:t>
      </w:r>
      <w:r>
        <w:rPr>
          <w:rFonts w:ascii="宋体" w:hAnsi="宋体"/>
          <w:color w:val="000000"/>
          <w:sz w:val="21"/>
          <w:szCs w:val="21"/>
        </w:rPr>
        <w:t>CPU开销资源冲突</w:t>
      </w:r>
      <w:r>
        <w:rPr>
          <w:rFonts w:hint="eastAsia" w:ascii="宋体" w:hAnsi="宋体"/>
          <w:color w:val="000000"/>
          <w:sz w:val="21"/>
          <w:szCs w:val="21"/>
        </w:rPr>
        <w:t>调整</w:t>
      </w:r>
    </w:p>
    <w:p>
      <w:pPr>
        <w:pStyle w:val="111"/>
        <w:numPr>
          <w:ilvl w:val="0"/>
          <w:numId w:val="10"/>
        </w:numPr>
        <w:spacing w:line="360" w:lineRule="auto"/>
        <w:ind w:hanging="131" w:firstLineChars="0"/>
        <w:rPr>
          <w:rFonts w:ascii="宋体" w:hAnsi="宋体"/>
          <w:color w:val="000000"/>
          <w:sz w:val="21"/>
          <w:szCs w:val="21"/>
        </w:rPr>
      </w:pPr>
      <w:r>
        <w:rPr>
          <w:rFonts w:ascii="宋体" w:hAnsi="宋体"/>
          <w:color w:val="000000"/>
          <w:sz w:val="21"/>
          <w:szCs w:val="21"/>
        </w:rPr>
        <w:t>回滚段资源冲突</w:t>
      </w:r>
    </w:p>
    <w:p>
      <w:pPr>
        <w:pStyle w:val="111"/>
        <w:numPr>
          <w:ilvl w:val="0"/>
          <w:numId w:val="10"/>
        </w:numPr>
        <w:spacing w:line="360" w:lineRule="auto"/>
        <w:ind w:hanging="131" w:firstLineChars="0"/>
        <w:rPr>
          <w:rFonts w:ascii="宋体" w:hAnsi="宋体"/>
          <w:color w:val="000000"/>
          <w:sz w:val="21"/>
          <w:szCs w:val="21"/>
        </w:rPr>
      </w:pPr>
      <w:r>
        <w:rPr>
          <w:rFonts w:ascii="宋体" w:hAnsi="宋体"/>
          <w:color w:val="000000"/>
          <w:sz w:val="21"/>
          <w:szCs w:val="21"/>
        </w:rPr>
        <w:t>临时段资源冲突</w:t>
      </w:r>
    </w:p>
    <w:p>
      <w:pPr>
        <w:pStyle w:val="111"/>
        <w:numPr>
          <w:ilvl w:val="0"/>
          <w:numId w:val="10"/>
        </w:numPr>
        <w:spacing w:line="360" w:lineRule="auto"/>
        <w:ind w:hanging="131" w:firstLineChars="0"/>
        <w:rPr>
          <w:rFonts w:ascii="宋体" w:hAnsi="宋体"/>
          <w:color w:val="000000"/>
          <w:sz w:val="21"/>
          <w:szCs w:val="21"/>
        </w:rPr>
      </w:pPr>
      <w:r>
        <w:rPr>
          <w:rFonts w:ascii="宋体" w:hAnsi="宋体"/>
          <w:color w:val="000000"/>
          <w:sz w:val="21"/>
          <w:szCs w:val="21"/>
        </w:rPr>
        <w:t>数据“热”块资源冲突</w:t>
      </w:r>
    </w:p>
    <w:p>
      <w:pPr>
        <w:pStyle w:val="111"/>
        <w:numPr>
          <w:ilvl w:val="0"/>
          <w:numId w:val="10"/>
        </w:numPr>
        <w:spacing w:line="360" w:lineRule="auto"/>
        <w:ind w:hanging="131" w:firstLineChars="0"/>
        <w:rPr>
          <w:rFonts w:ascii="宋体" w:hAnsi="宋体"/>
          <w:color w:val="000000"/>
          <w:sz w:val="21"/>
          <w:szCs w:val="21"/>
        </w:rPr>
      </w:pPr>
      <w:r>
        <w:rPr>
          <w:rFonts w:ascii="宋体" w:hAnsi="宋体"/>
          <w:color w:val="000000"/>
          <w:sz w:val="21"/>
          <w:szCs w:val="21"/>
        </w:rPr>
        <w:t>索引效率低下</w:t>
      </w:r>
    </w:p>
    <w:p>
      <w:pPr>
        <w:pStyle w:val="111"/>
        <w:numPr>
          <w:ilvl w:val="0"/>
          <w:numId w:val="10"/>
        </w:numPr>
        <w:spacing w:line="360" w:lineRule="auto"/>
        <w:ind w:left="1276" w:hanging="567" w:firstLineChars="0"/>
        <w:rPr>
          <w:rFonts w:ascii="宋体" w:hAnsi="宋体"/>
          <w:color w:val="000000"/>
          <w:sz w:val="21"/>
          <w:szCs w:val="21"/>
        </w:rPr>
      </w:pPr>
      <w:r>
        <w:rPr>
          <w:rFonts w:ascii="宋体" w:hAnsi="宋体"/>
          <w:color w:val="000000"/>
          <w:sz w:val="21"/>
          <w:szCs w:val="21"/>
        </w:rPr>
        <w:t>SQL语句调整</w:t>
      </w:r>
      <w:r>
        <w:rPr>
          <w:rFonts w:hint="eastAsia" w:ascii="宋体" w:hAnsi="宋体"/>
          <w:color w:val="000000"/>
          <w:sz w:val="21"/>
          <w:szCs w:val="21"/>
        </w:rPr>
        <w:t>，对耗用资源的TOP SQL进行分析并提出解决方法，必要时候配合用户对SQL进行优化。</w:t>
      </w:r>
    </w:p>
    <w:p>
      <w:pPr>
        <w:pStyle w:val="111"/>
        <w:numPr>
          <w:ilvl w:val="0"/>
          <w:numId w:val="10"/>
        </w:numPr>
        <w:spacing w:line="360" w:lineRule="auto"/>
        <w:ind w:hanging="131" w:firstLineChars="0"/>
        <w:rPr>
          <w:rFonts w:ascii="宋体" w:hAnsi="宋体"/>
          <w:color w:val="000000"/>
          <w:sz w:val="21"/>
          <w:szCs w:val="21"/>
        </w:rPr>
      </w:pPr>
      <w:r>
        <w:rPr>
          <w:rFonts w:hint="eastAsia" w:ascii="宋体" w:hAnsi="宋体"/>
          <w:color w:val="000000"/>
          <w:sz w:val="21"/>
          <w:szCs w:val="21"/>
        </w:rPr>
        <w:t>调整数据库参数，与数据相关的系统参数为主</w:t>
      </w:r>
    </w:p>
    <w:p>
      <w:pPr>
        <w:pStyle w:val="111"/>
        <w:spacing w:line="360" w:lineRule="auto"/>
        <w:ind w:firstLine="0" w:firstLineChars="0"/>
        <w:rPr>
          <w:rFonts w:ascii="宋体" w:hAnsi="宋体"/>
          <w:color w:val="000000"/>
          <w:sz w:val="21"/>
          <w:szCs w:val="21"/>
        </w:rPr>
      </w:pPr>
    </w:p>
    <w:p>
      <w:pPr>
        <w:pStyle w:val="6"/>
        <w:rPr>
          <w:rFonts w:hAnsi="宋体"/>
        </w:rPr>
      </w:pPr>
      <w:r>
        <w:rPr>
          <w:rFonts w:hint="eastAsia" w:hAnsi="宋体"/>
        </w:rPr>
        <w:t>2</w:t>
      </w:r>
      <w:r>
        <w:rPr>
          <w:rFonts w:hAnsi="宋体"/>
        </w:rPr>
        <w:t xml:space="preserve">.2.6 </w:t>
      </w:r>
      <w:r>
        <w:rPr>
          <w:rFonts w:hint="eastAsia" w:hAnsi="宋体"/>
        </w:rPr>
        <w:t>数据库系统迁移支持服务</w:t>
      </w:r>
    </w:p>
    <w:p>
      <w:pPr>
        <w:pStyle w:val="228"/>
        <w:ind w:left="0" w:leftChars="0" w:right="210" w:firstLine="420"/>
        <w:rPr>
          <w:b w:val="0"/>
          <w:color w:val="000000"/>
        </w:rPr>
      </w:pPr>
      <w:r>
        <w:rPr>
          <w:rFonts w:hint="eastAsia"/>
          <w:b w:val="0"/>
          <w:color w:val="000000"/>
        </w:rPr>
        <w:t>服务商依据客户实际应用角度出发，根据新老系统的硬件环境，数据库版本，应用类型，业务可以允许的停止时间，进行综合性分析，协助制订适合特定业务系统的迁移方案，并描述优缺点、风险和停机时长，事先整理出详细的迁移步骤和命令，保障数据库的迁移前、迁移中、迁移后的系统正常和数据安全。具体包括以下内容：</w:t>
      </w:r>
    </w:p>
    <w:p>
      <w:pPr>
        <w:pStyle w:val="111"/>
        <w:numPr>
          <w:ilvl w:val="0"/>
          <w:numId w:val="11"/>
        </w:numPr>
        <w:spacing w:line="360" w:lineRule="auto"/>
        <w:ind w:hanging="131" w:firstLineChars="0"/>
        <w:rPr>
          <w:rFonts w:ascii="宋体" w:hAnsi="宋体"/>
          <w:color w:val="000000"/>
          <w:sz w:val="21"/>
          <w:szCs w:val="21"/>
        </w:rPr>
      </w:pPr>
      <w:r>
        <w:rPr>
          <w:rFonts w:hint="eastAsia" w:ascii="宋体" w:hAnsi="宋体"/>
          <w:color w:val="000000"/>
          <w:sz w:val="21"/>
          <w:szCs w:val="21"/>
        </w:rPr>
        <w:t>分析可选的数据迁移方案；</w:t>
      </w:r>
    </w:p>
    <w:p>
      <w:pPr>
        <w:pStyle w:val="111"/>
        <w:numPr>
          <w:ilvl w:val="0"/>
          <w:numId w:val="11"/>
        </w:numPr>
        <w:spacing w:line="360" w:lineRule="auto"/>
        <w:ind w:hanging="131" w:firstLineChars="0"/>
        <w:rPr>
          <w:rFonts w:ascii="宋体" w:hAnsi="宋体"/>
          <w:color w:val="000000"/>
          <w:sz w:val="21"/>
          <w:szCs w:val="21"/>
        </w:rPr>
      </w:pPr>
      <w:r>
        <w:rPr>
          <w:rFonts w:hint="eastAsia" w:ascii="宋体" w:hAnsi="宋体"/>
          <w:color w:val="000000"/>
          <w:sz w:val="21"/>
          <w:szCs w:val="21"/>
        </w:rPr>
        <w:t>确定本次数据迁移方案；</w:t>
      </w:r>
    </w:p>
    <w:p>
      <w:pPr>
        <w:pStyle w:val="111"/>
        <w:numPr>
          <w:ilvl w:val="0"/>
          <w:numId w:val="11"/>
        </w:numPr>
        <w:spacing w:line="360" w:lineRule="auto"/>
        <w:ind w:hanging="131" w:firstLineChars="0"/>
        <w:rPr>
          <w:rFonts w:ascii="宋体" w:hAnsi="宋体"/>
          <w:color w:val="000000"/>
          <w:sz w:val="21"/>
          <w:szCs w:val="21"/>
        </w:rPr>
      </w:pPr>
      <w:r>
        <w:rPr>
          <w:rFonts w:hint="eastAsia" w:ascii="宋体" w:hAnsi="宋体"/>
          <w:color w:val="000000"/>
          <w:sz w:val="21"/>
          <w:szCs w:val="21"/>
        </w:rPr>
        <w:t>制定数据迁移应急回退计划；</w:t>
      </w:r>
    </w:p>
    <w:p>
      <w:pPr>
        <w:pStyle w:val="111"/>
        <w:numPr>
          <w:ilvl w:val="0"/>
          <w:numId w:val="11"/>
        </w:numPr>
        <w:spacing w:line="360" w:lineRule="auto"/>
        <w:ind w:hanging="131" w:firstLineChars="0"/>
        <w:rPr>
          <w:rFonts w:ascii="宋体" w:hAnsi="宋体"/>
          <w:color w:val="000000"/>
          <w:sz w:val="21"/>
          <w:szCs w:val="21"/>
        </w:rPr>
      </w:pPr>
      <w:r>
        <w:rPr>
          <w:rFonts w:hint="eastAsia" w:ascii="宋体" w:hAnsi="宋体"/>
          <w:color w:val="000000"/>
          <w:sz w:val="21"/>
          <w:szCs w:val="21"/>
        </w:rPr>
        <w:t>迁移前协助做好各项系统备份准备；</w:t>
      </w:r>
    </w:p>
    <w:p>
      <w:pPr>
        <w:pStyle w:val="111"/>
        <w:numPr>
          <w:ilvl w:val="0"/>
          <w:numId w:val="11"/>
        </w:numPr>
        <w:spacing w:line="360" w:lineRule="auto"/>
        <w:ind w:hanging="131" w:firstLineChars="0"/>
        <w:rPr>
          <w:rFonts w:ascii="宋体" w:hAnsi="宋体"/>
          <w:color w:val="000000"/>
          <w:sz w:val="21"/>
          <w:szCs w:val="21"/>
        </w:rPr>
      </w:pPr>
      <w:r>
        <w:rPr>
          <w:rFonts w:hint="eastAsia" w:ascii="宋体" w:hAnsi="宋体"/>
          <w:color w:val="000000"/>
          <w:sz w:val="21"/>
          <w:szCs w:val="21"/>
        </w:rPr>
        <w:t>实施数据迁移任务技术支持；</w:t>
      </w:r>
    </w:p>
    <w:p>
      <w:pPr>
        <w:pStyle w:val="111"/>
        <w:numPr>
          <w:ilvl w:val="0"/>
          <w:numId w:val="11"/>
        </w:numPr>
        <w:spacing w:line="360" w:lineRule="auto"/>
        <w:ind w:hanging="131" w:firstLineChars="0"/>
        <w:rPr>
          <w:rFonts w:ascii="宋体" w:hAnsi="宋体"/>
          <w:color w:val="000000"/>
          <w:sz w:val="21"/>
          <w:szCs w:val="21"/>
        </w:rPr>
      </w:pPr>
      <w:r>
        <w:rPr>
          <w:rFonts w:hint="eastAsia" w:ascii="宋体" w:hAnsi="宋体"/>
          <w:color w:val="000000"/>
          <w:sz w:val="21"/>
          <w:szCs w:val="21"/>
        </w:rPr>
        <w:t>测试上线以后的数据库，保证数据库的可用性；</w:t>
      </w:r>
    </w:p>
    <w:p>
      <w:pPr>
        <w:pStyle w:val="111"/>
        <w:numPr>
          <w:ilvl w:val="0"/>
          <w:numId w:val="11"/>
        </w:numPr>
        <w:spacing w:line="360" w:lineRule="auto"/>
        <w:ind w:hanging="131" w:firstLineChars="0"/>
        <w:rPr>
          <w:rFonts w:ascii="宋体" w:hAnsi="宋体"/>
          <w:color w:val="000000"/>
          <w:sz w:val="21"/>
          <w:szCs w:val="21"/>
        </w:rPr>
      </w:pPr>
      <w:r>
        <w:rPr>
          <w:rFonts w:hint="eastAsia" w:ascii="宋体" w:hAnsi="宋体"/>
          <w:color w:val="000000"/>
          <w:sz w:val="21"/>
          <w:szCs w:val="21"/>
        </w:rPr>
        <w:t>协助测试应用软件，检测迁移的有效性；</w:t>
      </w:r>
    </w:p>
    <w:p>
      <w:pPr>
        <w:pStyle w:val="111"/>
        <w:spacing w:line="360" w:lineRule="auto"/>
        <w:ind w:firstLine="0" w:firstLineChars="0"/>
        <w:rPr>
          <w:rFonts w:ascii="宋体" w:hAnsi="宋体"/>
          <w:color w:val="000000"/>
          <w:sz w:val="21"/>
          <w:szCs w:val="21"/>
        </w:rPr>
      </w:pPr>
    </w:p>
    <w:p>
      <w:pPr>
        <w:pStyle w:val="6"/>
        <w:rPr>
          <w:rFonts w:hAnsi="宋体"/>
        </w:rPr>
      </w:pPr>
      <w:r>
        <w:rPr>
          <w:rFonts w:hint="eastAsia" w:hAnsi="宋体"/>
        </w:rPr>
        <w:t>2</w:t>
      </w:r>
      <w:r>
        <w:rPr>
          <w:rFonts w:hAnsi="宋体"/>
        </w:rPr>
        <w:t xml:space="preserve">.2.7 </w:t>
      </w:r>
      <w:r>
        <w:rPr>
          <w:rFonts w:hint="eastAsia" w:hAnsi="宋体"/>
        </w:rPr>
        <w:t>数据库系统安装服务</w:t>
      </w:r>
    </w:p>
    <w:p>
      <w:pPr>
        <w:spacing w:line="360" w:lineRule="auto"/>
        <w:ind w:firstLine="450"/>
      </w:pPr>
      <w:r>
        <w:rPr>
          <w:rFonts w:hint="eastAsia"/>
        </w:rPr>
        <w:t>服务商依据客户的需求从实际应用角度出发，根据具体的硬件环境，应用类型进行分析，结合当前数据库系统的最新补丁情况，为客户的新系统提供安装建议，从而提供数据库最安全可靠，适合应用的数据库、补丁安装服务以及相关应用上线现场支持服务。具体包括以下内容：</w:t>
      </w:r>
    </w:p>
    <w:p>
      <w:pPr>
        <w:pStyle w:val="111"/>
        <w:numPr>
          <w:ilvl w:val="0"/>
          <w:numId w:val="12"/>
        </w:numPr>
        <w:spacing w:line="360" w:lineRule="auto"/>
        <w:ind w:hanging="131" w:firstLineChars="0"/>
        <w:rPr>
          <w:rFonts w:ascii="宋体" w:hAnsi="宋体"/>
          <w:color w:val="000000"/>
          <w:sz w:val="21"/>
          <w:szCs w:val="21"/>
        </w:rPr>
      </w:pPr>
      <w:r>
        <w:rPr>
          <w:rFonts w:hint="eastAsia" w:ascii="宋体" w:hAnsi="宋体"/>
          <w:color w:val="000000"/>
          <w:sz w:val="21"/>
          <w:szCs w:val="21"/>
        </w:rPr>
        <w:t>检查安装前的操作系统环境、补丁等；</w:t>
      </w:r>
    </w:p>
    <w:p>
      <w:pPr>
        <w:pStyle w:val="111"/>
        <w:numPr>
          <w:ilvl w:val="0"/>
          <w:numId w:val="12"/>
        </w:numPr>
        <w:spacing w:line="360" w:lineRule="auto"/>
        <w:ind w:hanging="131" w:firstLineChars="0"/>
        <w:rPr>
          <w:rFonts w:ascii="宋体" w:hAnsi="宋体"/>
          <w:color w:val="000000"/>
          <w:sz w:val="21"/>
          <w:szCs w:val="21"/>
        </w:rPr>
      </w:pPr>
      <w:r>
        <w:rPr>
          <w:rFonts w:hint="eastAsia" w:ascii="宋体" w:hAnsi="宋体"/>
          <w:color w:val="000000"/>
          <w:sz w:val="21"/>
          <w:szCs w:val="21"/>
        </w:rPr>
        <w:t>规划空间、规划操作系统用户权限等；</w:t>
      </w:r>
    </w:p>
    <w:p>
      <w:pPr>
        <w:pStyle w:val="111"/>
        <w:numPr>
          <w:ilvl w:val="0"/>
          <w:numId w:val="12"/>
        </w:numPr>
        <w:spacing w:line="360" w:lineRule="auto"/>
        <w:ind w:hanging="131" w:firstLineChars="0"/>
        <w:rPr>
          <w:rFonts w:ascii="宋体" w:hAnsi="宋体"/>
          <w:color w:val="000000"/>
          <w:sz w:val="21"/>
          <w:szCs w:val="21"/>
        </w:rPr>
      </w:pPr>
      <w:r>
        <w:rPr>
          <w:rFonts w:hint="eastAsia" w:ascii="宋体" w:hAnsi="宋体"/>
          <w:color w:val="000000"/>
          <w:sz w:val="21"/>
          <w:szCs w:val="21"/>
        </w:rPr>
        <w:t>安装最新的数据库软件。</w:t>
      </w:r>
    </w:p>
    <w:p>
      <w:pPr>
        <w:pStyle w:val="111"/>
        <w:numPr>
          <w:ilvl w:val="0"/>
          <w:numId w:val="12"/>
        </w:numPr>
        <w:spacing w:line="360" w:lineRule="auto"/>
        <w:ind w:hanging="131" w:firstLineChars="0"/>
        <w:rPr>
          <w:rFonts w:ascii="宋体" w:hAnsi="宋体"/>
          <w:color w:val="000000"/>
          <w:sz w:val="21"/>
          <w:szCs w:val="21"/>
        </w:rPr>
      </w:pPr>
      <w:r>
        <w:rPr>
          <w:rFonts w:hint="eastAsia" w:ascii="宋体" w:hAnsi="宋体"/>
          <w:color w:val="000000"/>
          <w:sz w:val="21"/>
          <w:szCs w:val="21"/>
        </w:rPr>
        <w:t>创建合适的数据库。</w:t>
      </w:r>
    </w:p>
    <w:p>
      <w:pPr>
        <w:pStyle w:val="111"/>
        <w:numPr>
          <w:ilvl w:val="0"/>
          <w:numId w:val="12"/>
        </w:numPr>
        <w:spacing w:line="360" w:lineRule="auto"/>
        <w:ind w:hanging="131" w:firstLineChars="0"/>
        <w:rPr>
          <w:rFonts w:ascii="宋体" w:hAnsi="宋体"/>
          <w:color w:val="000000"/>
          <w:sz w:val="21"/>
          <w:szCs w:val="21"/>
        </w:rPr>
      </w:pPr>
      <w:r>
        <w:rPr>
          <w:rFonts w:hint="eastAsia" w:ascii="宋体" w:hAnsi="宋体"/>
          <w:color w:val="000000"/>
          <w:sz w:val="21"/>
          <w:szCs w:val="21"/>
        </w:rPr>
        <w:t>根据业务的需要，分配足够大的业务表空间。</w:t>
      </w:r>
    </w:p>
    <w:p>
      <w:pPr>
        <w:pStyle w:val="111"/>
        <w:numPr>
          <w:ilvl w:val="0"/>
          <w:numId w:val="12"/>
        </w:numPr>
        <w:spacing w:line="360" w:lineRule="auto"/>
        <w:ind w:hanging="131" w:firstLineChars="0"/>
        <w:rPr>
          <w:rFonts w:ascii="宋体" w:hAnsi="宋体"/>
          <w:color w:val="000000"/>
          <w:sz w:val="21"/>
          <w:szCs w:val="21"/>
        </w:rPr>
      </w:pPr>
      <w:r>
        <w:rPr>
          <w:rFonts w:hint="eastAsia" w:ascii="宋体" w:hAnsi="宋体"/>
          <w:color w:val="000000"/>
          <w:sz w:val="21"/>
          <w:szCs w:val="21"/>
        </w:rPr>
        <w:t>安装数据库软件最新补丁、升级包。</w:t>
      </w:r>
    </w:p>
    <w:p>
      <w:pPr>
        <w:pStyle w:val="111"/>
        <w:numPr>
          <w:ilvl w:val="0"/>
          <w:numId w:val="12"/>
        </w:numPr>
        <w:spacing w:line="360" w:lineRule="auto"/>
        <w:ind w:hanging="131" w:firstLineChars="0"/>
        <w:rPr>
          <w:rFonts w:ascii="宋体" w:hAnsi="宋体"/>
          <w:color w:val="000000"/>
          <w:sz w:val="21"/>
          <w:szCs w:val="21"/>
        </w:rPr>
      </w:pPr>
      <w:r>
        <w:rPr>
          <w:rFonts w:hint="eastAsia" w:ascii="宋体" w:hAnsi="宋体"/>
          <w:color w:val="000000"/>
          <w:sz w:val="21"/>
          <w:szCs w:val="21"/>
        </w:rPr>
        <w:t>测试数据库软件、数据库的可用性等。</w:t>
      </w:r>
    </w:p>
    <w:p>
      <w:pPr>
        <w:pStyle w:val="111"/>
        <w:numPr>
          <w:ilvl w:val="0"/>
          <w:numId w:val="12"/>
        </w:numPr>
        <w:spacing w:line="360" w:lineRule="auto"/>
        <w:ind w:hanging="131" w:firstLineChars="0"/>
        <w:rPr>
          <w:rFonts w:ascii="宋体" w:hAnsi="宋体"/>
          <w:color w:val="000000"/>
          <w:sz w:val="21"/>
          <w:szCs w:val="21"/>
        </w:rPr>
      </w:pPr>
      <w:r>
        <w:rPr>
          <w:rFonts w:hint="eastAsia" w:ascii="宋体" w:hAnsi="宋体"/>
          <w:color w:val="000000"/>
          <w:sz w:val="21"/>
          <w:szCs w:val="21"/>
        </w:rPr>
        <w:t>提交完整的产品安装文档。</w:t>
      </w:r>
    </w:p>
    <w:p>
      <w:pPr>
        <w:widowControl/>
        <w:jc w:val="left"/>
        <w:rPr>
          <w:rFonts w:cs="Times New Roman"/>
          <w:color w:val="000000"/>
          <w:kern w:val="0"/>
        </w:rPr>
      </w:pPr>
      <w:r>
        <w:rPr>
          <w:color w:val="000000"/>
        </w:rPr>
        <w:br w:type="page"/>
      </w:r>
    </w:p>
    <w:p>
      <w:pPr>
        <w:pStyle w:val="5"/>
      </w:pPr>
      <w:r>
        <w:rPr>
          <w:rFonts w:hint="eastAsia"/>
        </w:rPr>
        <w:t>2</w:t>
      </w:r>
      <w:r>
        <w:t xml:space="preserve">.3 </w:t>
      </w:r>
      <w:r>
        <w:rPr>
          <w:rFonts w:hint="eastAsia"/>
        </w:rPr>
        <w:t>虚拟化平台维护服务</w:t>
      </w:r>
    </w:p>
    <w:p>
      <w:pPr>
        <w:pStyle w:val="6"/>
        <w:rPr>
          <w:rFonts w:hAnsi="宋体"/>
        </w:rPr>
      </w:pPr>
      <w:r>
        <w:rPr>
          <w:rFonts w:hint="eastAsia" w:hAnsi="宋体"/>
        </w:rPr>
        <w:t>2</w:t>
      </w:r>
      <w:r>
        <w:rPr>
          <w:rFonts w:hAnsi="宋体"/>
        </w:rPr>
        <w:t xml:space="preserve">.3.1 </w:t>
      </w:r>
      <w:r>
        <w:rPr>
          <w:rFonts w:hint="eastAsia" w:hAnsi="宋体"/>
        </w:rPr>
        <w:t>虚拟化平台维护服务清单</w:t>
      </w:r>
    </w:p>
    <w:tbl>
      <w:tblPr>
        <w:tblStyle w:val="34"/>
        <w:tblW w:w="8340" w:type="dxa"/>
        <w:tblInd w:w="0" w:type="dxa"/>
        <w:tblLayout w:type="autofit"/>
        <w:tblCellMar>
          <w:top w:w="0" w:type="dxa"/>
          <w:left w:w="108" w:type="dxa"/>
          <w:bottom w:w="0" w:type="dxa"/>
          <w:right w:w="108" w:type="dxa"/>
        </w:tblCellMar>
      </w:tblPr>
      <w:tblGrid>
        <w:gridCol w:w="1080"/>
        <w:gridCol w:w="2400"/>
        <w:gridCol w:w="1820"/>
        <w:gridCol w:w="1080"/>
        <w:gridCol w:w="1320"/>
        <w:gridCol w:w="640"/>
      </w:tblGrid>
      <w:tr>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rPr>
            </w:pPr>
            <w:r>
              <w:rPr>
                <w:rFonts w:hint="eastAsia"/>
                <w:b/>
                <w:bCs/>
                <w:color w:val="000000"/>
                <w:kern w:val="0"/>
              </w:rPr>
              <w:t>序号</w:t>
            </w:r>
          </w:p>
        </w:tc>
        <w:tc>
          <w:tcPr>
            <w:tcW w:w="240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rPr>
            </w:pPr>
            <w:r>
              <w:rPr>
                <w:rFonts w:hint="eastAsia"/>
                <w:b/>
                <w:bCs/>
                <w:color w:val="000000"/>
                <w:kern w:val="0"/>
              </w:rPr>
              <w:t>虚拟化平台类型</w:t>
            </w:r>
          </w:p>
        </w:tc>
        <w:tc>
          <w:tcPr>
            <w:tcW w:w="182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rPr>
            </w:pPr>
            <w:r>
              <w:rPr>
                <w:rFonts w:hint="eastAsia"/>
                <w:b/>
                <w:bCs/>
                <w:color w:val="000000"/>
                <w:kern w:val="0"/>
              </w:rPr>
              <w:t>虚拟化平台版本</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rPr>
            </w:pPr>
            <w:r>
              <w:rPr>
                <w:rFonts w:hint="eastAsia"/>
                <w:b/>
                <w:bCs/>
                <w:color w:val="000000"/>
                <w:kern w:val="0"/>
              </w:rPr>
              <w:t>节点数量</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rPr>
            </w:pPr>
            <w:r>
              <w:rPr>
                <w:rFonts w:hint="eastAsia"/>
                <w:b/>
                <w:bCs/>
                <w:color w:val="000000"/>
                <w:kern w:val="0"/>
              </w:rPr>
              <w:t>虚拟机数量</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rPr>
            </w:pPr>
            <w:r>
              <w:rPr>
                <w:rFonts w:hint="eastAsia"/>
                <w:b/>
                <w:bCs/>
                <w:color w:val="000000"/>
                <w:kern w:val="0"/>
              </w:rPr>
              <w:t>单位</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rPr>
            </w:pPr>
            <w:r>
              <w:rPr>
                <w:rFonts w:hint="eastAsia"/>
                <w:color w:val="000000"/>
                <w:kern w:val="0"/>
              </w:rPr>
              <w:t>1</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rPr>
            </w:pPr>
            <w:r>
              <w:rPr>
                <w:rFonts w:hint="eastAsia"/>
                <w:color w:val="000000"/>
                <w:kern w:val="0"/>
              </w:rPr>
              <w:t>外网多品牌虚拟化平台</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color w:val="000000"/>
                <w:kern w:val="0"/>
              </w:rPr>
            </w:pPr>
            <w:r>
              <w:rPr>
                <w:rFonts w:hint="eastAsia"/>
                <w:color w:val="000000"/>
                <w:kern w:val="0"/>
              </w:rPr>
              <w:t>7.0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color w:val="000000"/>
                <w:kern w:val="0"/>
              </w:rPr>
            </w:pPr>
            <w:r>
              <w:rPr>
                <w:rFonts w:hint="eastAsia"/>
                <w:color w:val="000000"/>
                <w:kern w:val="0"/>
                <w:lang w:val="en-US" w:eastAsia="zh-CN"/>
              </w:rPr>
              <w:t>≥</w:t>
            </w:r>
            <w:r>
              <w:rPr>
                <w:rFonts w:hint="eastAsia"/>
                <w:color w:val="000000"/>
                <w:kern w:val="0"/>
              </w:rPr>
              <w:t>10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default" w:eastAsia="宋体"/>
                <w:color w:val="000000"/>
                <w:kern w:val="0"/>
                <w:lang w:val="en-US" w:eastAsia="zh-CN"/>
              </w:rPr>
            </w:pPr>
            <w:r>
              <w:rPr>
                <w:rFonts w:hint="eastAsia"/>
                <w:color w:val="000000"/>
                <w:kern w:val="0"/>
                <w:lang w:val="en-US" w:eastAsia="zh-CN"/>
              </w:rPr>
              <w:t>≥120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color w:val="000000"/>
                <w:kern w:val="0"/>
              </w:rPr>
            </w:pPr>
            <w:r>
              <w:rPr>
                <w:rFonts w:hint="eastAsia"/>
                <w:color w:val="000000"/>
                <w:kern w:val="0"/>
              </w:rPr>
              <w:t>台</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rPr>
            </w:pPr>
            <w:r>
              <w:rPr>
                <w:rFonts w:hint="eastAsia"/>
                <w:color w:val="000000"/>
                <w:kern w:val="0"/>
              </w:rPr>
              <w:t>2</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rPr>
            </w:pPr>
            <w:r>
              <w:rPr>
                <w:rFonts w:hint="eastAsia"/>
                <w:color w:val="000000"/>
                <w:kern w:val="0"/>
              </w:rPr>
              <w:t>内网多品牌虚拟化平台</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color w:val="000000"/>
                <w:kern w:val="0"/>
              </w:rPr>
            </w:pPr>
            <w:r>
              <w:rPr>
                <w:rFonts w:hint="eastAsia"/>
                <w:color w:val="000000"/>
                <w:kern w:val="0"/>
              </w:rPr>
              <w:t>7.0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eastAsia="宋体"/>
                <w:color w:val="000000"/>
                <w:kern w:val="0"/>
                <w:lang w:val="en-US" w:eastAsia="zh-CN"/>
              </w:rPr>
            </w:pPr>
            <w:r>
              <w:rPr>
                <w:rFonts w:hint="eastAsia"/>
                <w:color w:val="000000"/>
                <w:kern w:val="0"/>
                <w:lang w:val="en-US" w:eastAsia="zh-CN"/>
              </w:rPr>
              <w:t>≥</w:t>
            </w:r>
            <w:r>
              <w:rPr>
                <w:rFonts w:hint="eastAsia"/>
                <w:color w:val="000000"/>
                <w:kern w:val="0"/>
              </w:rPr>
              <w:t>7</w:t>
            </w:r>
            <w:r>
              <w:rPr>
                <w:rFonts w:hint="eastAsia"/>
                <w:color w:val="000000"/>
                <w:kern w:val="0"/>
                <w:lang w:val="en-US" w:eastAsia="zh-CN"/>
              </w:rPr>
              <w:t>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default"/>
                <w:color w:val="000000"/>
                <w:kern w:val="0"/>
                <w:lang w:val="en-US"/>
              </w:rPr>
            </w:pPr>
            <w:r>
              <w:rPr>
                <w:rFonts w:hint="eastAsia"/>
                <w:color w:val="000000"/>
                <w:kern w:val="0"/>
                <w:lang w:val="en-US" w:eastAsia="zh-CN"/>
              </w:rPr>
              <w:t>≥650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color w:val="000000"/>
                <w:kern w:val="0"/>
              </w:rPr>
            </w:pPr>
            <w:r>
              <w:rPr>
                <w:rFonts w:hint="eastAsia"/>
                <w:color w:val="000000"/>
                <w:kern w:val="0"/>
              </w:rPr>
              <w:t>台</w:t>
            </w:r>
          </w:p>
        </w:tc>
      </w:tr>
    </w:tbl>
    <w:p/>
    <w:p>
      <w:pPr>
        <w:pStyle w:val="6"/>
        <w:rPr>
          <w:rFonts w:hAnsi="宋体"/>
        </w:rPr>
      </w:pPr>
      <w:r>
        <w:rPr>
          <w:rFonts w:hint="eastAsia" w:hAnsi="宋体"/>
        </w:rPr>
        <w:t>2</w:t>
      </w:r>
      <w:r>
        <w:rPr>
          <w:rFonts w:hAnsi="宋体"/>
        </w:rPr>
        <w:t xml:space="preserve">.3.2 </w:t>
      </w:r>
      <w:r>
        <w:rPr>
          <w:rFonts w:hint="eastAsia" w:hAnsi="宋体"/>
        </w:rPr>
        <w:t>虚拟化平台日常维护服务</w:t>
      </w:r>
    </w:p>
    <w:p>
      <w:pPr>
        <w:spacing w:before="156" w:beforeLines="50" w:line="360" w:lineRule="auto"/>
        <w:ind w:firstLine="420" w:firstLineChars="200"/>
      </w:pPr>
      <w:r>
        <w:rPr>
          <w:rFonts w:hint="eastAsia"/>
        </w:rPr>
        <w:t>提供虚拟化平台的日常运维服务，包括日常系统运行状态的监控，按照既定的巡检制度定期检查系统，对巡检情况做月总结、季评估、半年技术交流，在支撑应用系统稳定运行的同时，配合客户完成各系统由于新业务需求变更等原因带来的工作。具体内容如下：</w:t>
      </w:r>
    </w:p>
    <w:p>
      <w:pPr>
        <w:spacing w:before="156" w:beforeLines="50"/>
        <w:ind w:firstLine="420" w:firstLineChars="200"/>
      </w:pPr>
      <w:r>
        <w:rPr>
          <w:rFonts w:hint="eastAsia"/>
        </w:rPr>
        <w:t>（</w:t>
      </w:r>
      <w:r>
        <w:t>1）</w:t>
      </w:r>
      <w:r>
        <w:tab/>
      </w:r>
      <w:r>
        <w:t>虚拟化平台管理程序、计算、存储和网络资源池以及虚机的管理；</w:t>
      </w:r>
    </w:p>
    <w:p>
      <w:pPr>
        <w:spacing w:before="156" w:beforeLines="50"/>
        <w:ind w:firstLine="420" w:firstLineChars="200"/>
      </w:pPr>
      <w:r>
        <w:rPr>
          <w:rFonts w:hint="eastAsia"/>
        </w:rPr>
        <w:t>（</w:t>
      </w:r>
      <w:r>
        <w:t>2）</w:t>
      </w:r>
      <w:r>
        <w:tab/>
      </w:r>
      <w:r>
        <w:t>根据应用环境要求提供配置变更服务；</w:t>
      </w:r>
    </w:p>
    <w:p>
      <w:pPr>
        <w:spacing w:before="156" w:beforeLines="50"/>
        <w:ind w:firstLine="420" w:firstLineChars="200"/>
      </w:pPr>
      <w:r>
        <w:rPr>
          <w:rFonts w:hint="eastAsia"/>
        </w:rPr>
        <w:t>（</w:t>
      </w:r>
      <w:r>
        <w:t>3）</w:t>
      </w:r>
      <w:r>
        <w:tab/>
      </w:r>
      <w:r>
        <w:t>虚拟化平台环境监控和数据分析，容量管理;</w:t>
      </w:r>
    </w:p>
    <w:p>
      <w:pPr>
        <w:spacing w:before="156" w:beforeLines="50"/>
        <w:ind w:firstLine="420" w:firstLineChars="200"/>
      </w:pPr>
      <w:r>
        <w:rPr>
          <w:rFonts w:hint="eastAsia"/>
        </w:rPr>
        <w:t>（</w:t>
      </w:r>
      <w:r>
        <w:t>4）</w:t>
      </w:r>
      <w:r>
        <w:tab/>
      </w:r>
      <w:r>
        <w:t>虚拟化平台的安全管理;</w:t>
      </w:r>
    </w:p>
    <w:p>
      <w:pPr>
        <w:spacing w:before="156" w:beforeLines="50"/>
        <w:ind w:firstLine="420" w:firstLineChars="200"/>
      </w:pPr>
      <w:r>
        <w:rPr>
          <w:rFonts w:hint="eastAsia"/>
        </w:rPr>
        <w:t>（</w:t>
      </w:r>
      <w:r>
        <w:t>5）</w:t>
      </w:r>
      <w:r>
        <w:tab/>
      </w:r>
      <w:r>
        <w:t>根据应用环境对虚拟平台的配置优化，性能调优。</w:t>
      </w:r>
    </w:p>
    <w:p>
      <w:pPr>
        <w:spacing w:before="156" w:beforeLines="50" w:line="360" w:lineRule="auto"/>
        <w:ind w:firstLine="420" w:firstLineChars="200"/>
      </w:pPr>
    </w:p>
    <w:p>
      <w:pPr>
        <w:pStyle w:val="6"/>
        <w:rPr>
          <w:rFonts w:hAnsi="宋体"/>
        </w:rPr>
      </w:pPr>
      <w:r>
        <w:rPr>
          <w:rFonts w:hint="eastAsia" w:hAnsi="宋体"/>
        </w:rPr>
        <w:t>2</w:t>
      </w:r>
      <w:r>
        <w:rPr>
          <w:rFonts w:hAnsi="宋体"/>
        </w:rPr>
        <w:t xml:space="preserve">.3.3 </w:t>
      </w:r>
      <w:r>
        <w:rPr>
          <w:rFonts w:hint="eastAsia" w:hAnsi="宋体"/>
        </w:rPr>
        <w:t>虚拟化平台故障恢复</w:t>
      </w:r>
    </w:p>
    <w:p>
      <w:pPr>
        <w:spacing w:before="156" w:beforeLines="50" w:line="360" w:lineRule="auto"/>
        <w:ind w:firstLine="420" w:firstLineChars="200"/>
      </w:pPr>
      <w:r>
        <w:rPr>
          <w:rFonts w:hint="eastAsia"/>
          <w:color w:val="000000"/>
        </w:rPr>
        <w:t>负责提供对虚拟化平台运行的异常和故障进行紧急处理，</w:t>
      </w:r>
      <w:r>
        <w:rPr>
          <w:rFonts w:hint="eastAsia"/>
        </w:rPr>
        <w:t>针对虚拟化平台软件运行过程中发现的问题，进行现场分析，给出解决建议或规避方法，并按照虚拟化平台系统问题管理办法建立问题管理机制，由专人负责跟踪落实。具体内容如下：</w:t>
      </w:r>
    </w:p>
    <w:p>
      <w:pPr>
        <w:widowControl/>
        <w:numPr>
          <w:ilvl w:val="0"/>
          <w:numId w:val="13"/>
        </w:numPr>
        <w:spacing w:before="156" w:beforeLines="50" w:line="360" w:lineRule="auto"/>
        <w:ind w:left="424" w:hanging="424" w:hangingChars="202"/>
        <w:jc w:val="left"/>
      </w:pPr>
      <w:r>
        <w:rPr>
          <w:rFonts w:hint="eastAsia"/>
        </w:rPr>
        <w:t>虚拟化平台出现的故障及问题，进行现场故障分析、故障恢复、故障规避等，并提交故障分析报告；</w:t>
      </w:r>
    </w:p>
    <w:p>
      <w:pPr>
        <w:widowControl/>
        <w:numPr>
          <w:ilvl w:val="0"/>
          <w:numId w:val="13"/>
        </w:numPr>
        <w:spacing w:before="156" w:beforeLines="50" w:line="360" w:lineRule="auto"/>
        <w:ind w:left="424" w:hanging="424" w:hangingChars="202"/>
        <w:jc w:val="left"/>
      </w:pPr>
      <w:r>
        <w:rPr>
          <w:rFonts w:hint="eastAsia"/>
        </w:rPr>
        <w:t>对出现的故障及问题给出解决方案或规避方法；</w:t>
      </w:r>
    </w:p>
    <w:p>
      <w:pPr>
        <w:widowControl/>
        <w:numPr>
          <w:ilvl w:val="0"/>
          <w:numId w:val="13"/>
        </w:numPr>
        <w:spacing w:before="156" w:beforeLines="50" w:line="360" w:lineRule="auto"/>
        <w:ind w:left="424" w:hanging="424" w:hangingChars="202"/>
        <w:jc w:val="left"/>
      </w:pPr>
      <w:r>
        <w:rPr>
          <w:rFonts w:hint="eastAsia"/>
        </w:rPr>
        <w:t>发现虚拟化平台系统的问题隐患并与客户交流，避免类似故障再发生。</w:t>
      </w:r>
    </w:p>
    <w:p>
      <w:pPr>
        <w:widowControl/>
        <w:spacing w:before="156" w:beforeLines="50" w:line="360" w:lineRule="auto"/>
        <w:jc w:val="left"/>
      </w:pPr>
    </w:p>
    <w:p>
      <w:pPr>
        <w:pStyle w:val="6"/>
        <w:rPr>
          <w:rFonts w:hAnsi="宋体"/>
        </w:rPr>
      </w:pPr>
      <w:r>
        <w:rPr>
          <w:rFonts w:hint="eastAsia" w:hAnsi="宋体"/>
        </w:rPr>
        <w:t>2</w:t>
      </w:r>
      <w:r>
        <w:rPr>
          <w:rFonts w:hAnsi="宋体"/>
        </w:rPr>
        <w:t xml:space="preserve">.3.4 </w:t>
      </w:r>
      <w:r>
        <w:rPr>
          <w:rFonts w:hint="eastAsia" w:hAnsi="宋体"/>
        </w:rPr>
        <w:t>虚拟化平台升级服务</w:t>
      </w:r>
    </w:p>
    <w:p>
      <w:pPr>
        <w:spacing w:before="156" w:beforeLines="50" w:line="360" w:lineRule="auto"/>
        <w:ind w:firstLine="420" w:firstLineChars="200"/>
      </w:pPr>
      <w:r>
        <w:rPr>
          <w:rFonts w:hint="eastAsia"/>
          <w:color w:val="000000"/>
        </w:rPr>
        <w:t>负责</w:t>
      </w:r>
      <w:r>
        <w:rPr>
          <w:rFonts w:hint="eastAsia"/>
        </w:rPr>
        <w:t>提供VMware软件补丁和版本升级服务，虚拟化硬件平台补丁升级，定期汇总发送VMware厂商发布的ESXi及其他产品安全威胁及相应的修补措施，以提醒及时修补，遇到重大升级，提供现场技术支持。</w:t>
      </w:r>
    </w:p>
    <w:p>
      <w:pPr>
        <w:spacing w:before="156" w:beforeLines="50" w:line="360" w:lineRule="auto"/>
      </w:pPr>
    </w:p>
    <w:p>
      <w:pPr>
        <w:pStyle w:val="6"/>
        <w:rPr>
          <w:rFonts w:hAnsi="宋体"/>
        </w:rPr>
      </w:pPr>
      <w:r>
        <w:rPr>
          <w:rFonts w:hint="eastAsia" w:hAnsi="宋体"/>
        </w:rPr>
        <w:t>2</w:t>
      </w:r>
      <w:r>
        <w:rPr>
          <w:rFonts w:hAnsi="宋体"/>
        </w:rPr>
        <w:t xml:space="preserve">.3.5 </w:t>
      </w:r>
      <w:r>
        <w:rPr>
          <w:rFonts w:hint="eastAsia" w:hAnsi="宋体"/>
        </w:rPr>
        <w:t>优化和扩容支持服务</w:t>
      </w:r>
    </w:p>
    <w:p>
      <w:pPr>
        <w:spacing w:before="156" w:beforeLines="50" w:line="360" w:lineRule="auto"/>
        <w:ind w:firstLine="420" w:firstLineChars="200"/>
      </w:pPr>
      <w:r>
        <w:rPr>
          <w:rFonts w:hint="eastAsia"/>
        </w:rPr>
        <w:t>根据客户的需求在虚拟化平台资源使用紧张时，配合用户进行资源优化，包括如虚拟机迁移、缩减虚拟机资源等，配合客户对虚拟化平台进行资源的扩容。</w:t>
      </w:r>
    </w:p>
    <w:p>
      <w:pPr>
        <w:spacing w:before="156" w:beforeLines="50" w:line="360" w:lineRule="auto"/>
      </w:pPr>
    </w:p>
    <w:p>
      <w:pPr>
        <w:pStyle w:val="6"/>
        <w:rPr>
          <w:rFonts w:hAnsi="宋体"/>
        </w:rPr>
      </w:pPr>
      <w:r>
        <w:rPr>
          <w:rFonts w:hint="eastAsia" w:hAnsi="宋体"/>
        </w:rPr>
        <w:t>2</w:t>
      </w:r>
      <w:r>
        <w:rPr>
          <w:rFonts w:hAnsi="宋体"/>
        </w:rPr>
        <w:t xml:space="preserve">.3.6 </w:t>
      </w:r>
      <w:r>
        <w:rPr>
          <w:rFonts w:hint="eastAsia" w:hAnsi="宋体"/>
        </w:rPr>
        <w:t>虚拟化平台巡检服务</w:t>
      </w:r>
    </w:p>
    <w:p>
      <w:pPr>
        <w:spacing w:line="360" w:lineRule="auto"/>
        <w:ind w:left="420"/>
      </w:pPr>
      <w:r>
        <w:rPr>
          <w:rFonts w:hint="eastAsia"/>
        </w:rPr>
        <w:t>提供每年不少于</w:t>
      </w:r>
      <w:r>
        <w:t>12</w:t>
      </w:r>
      <w:r>
        <w:rPr>
          <w:rFonts w:hint="eastAsia"/>
        </w:rPr>
        <w:t>次的虚拟化平台库巡检服务，确保及时发现故障隐患，对平台性能</w:t>
      </w:r>
    </w:p>
    <w:p>
      <w:pPr>
        <w:spacing w:line="360" w:lineRule="auto"/>
      </w:pPr>
      <w:r>
        <w:rPr>
          <w:rFonts w:hint="eastAsia"/>
        </w:rPr>
        <w:t>进行评估，提供相应的巡检报告，主要包括（但不限于）以下内容：</w:t>
      </w:r>
    </w:p>
    <w:p>
      <w:pPr>
        <w:spacing w:line="360" w:lineRule="auto"/>
        <w:ind w:left="424" w:leftChars="202"/>
      </w:pPr>
      <w:r>
        <w:rPr>
          <w:rFonts w:hint="eastAsia"/>
        </w:rPr>
        <w:t>（</w:t>
      </w:r>
      <w:r>
        <w:t>1）</w:t>
      </w:r>
      <w:r>
        <w:tab/>
      </w:r>
      <w:r>
        <w:t>检查网络和存储配置信息。</w:t>
      </w:r>
    </w:p>
    <w:p>
      <w:pPr>
        <w:spacing w:line="360" w:lineRule="auto"/>
        <w:ind w:left="424" w:leftChars="202"/>
      </w:pPr>
      <w:r>
        <w:rPr>
          <w:rFonts w:hint="eastAsia"/>
        </w:rPr>
        <w:t>（</w:t>
      </w:r>
      <w:r>
        <w:t>2）</w:t>
      </w:r>
      <w:r>
        <w:tab/>
      </w:r>
      <w:r>
        <w:t>检查服务器配置信息和CPU类型。</w:t>
      </w:r>
    </w:p>
    <w:p>
      <w:pPr>
        <w:spacing w:line="360" w:lineRule="auto"/>
        <w:ind w:left="424" w:leftChars="202"/>
      </w:pPr>
      <w:r>
        <w:rPr>
          <w:rFonts w:hint="eastAsia"/>
        </w:rPr>
        <w:t>（</w:t>
      </w:r>
      <w:r>
        <w:t>3）</w:t>
      </w:r>
      <w:r>
        <w:tab/>
      </w:r>
      <w:r>
        <w:t>是否配置NTP时钟同步服务。</w:t>
      </w:r>
    </w:p>
    <w:p>
      <w:pPr>
        <w:spacing w:line="360" w:lineRule="auto"/>
        <w:ind w:left="424" w:leftChars="202"/>
      </w:pPr>
      <w:r>
        <w:rPr>
          <w:rFonts w:hint="eastAsia"/>
        </w:rPr>
        <w:t>（</w:t>
      </w:r>
      <w:r>
        <w:t>4）</w:t>
      </w:r>
      <w:r>
        <w:tab/>
      </w:r>
      <w:r>
        <w:t>MANAGEMENT NETWORK的网络参数。</w:t>
      </w:r>
    </w:p>
    <w:p>
      <w:pPr>
        <w:spacing w:line="360" w:lineRule="auto"/>
        <w:ind w:left="424" w:leftChars="202"/>
      </w:pPr>
      <w:r>
        <w:rPr>
          <w:rFonts w:hint="eastAsia"/>
        </w:rPr>
        <w:t>（</w:t>
      </w:r>
      <w:r>
        <w:t>5）</w:t>
      </w:r>
      <w:r>
        <w:tab/>
      </w:r>
      <w:r>
        <w:t>主机是否告警及告警类型重要性。</w:t>
      </w:r>
    </w:p>
    <w:p>
      <w:pPr>
        <w:spacing w:line="360" w:lineRule="auto"/>
        <w:ind w:left="424" w:leftChars="202"/>
      </w:pPr>
      <w:r>
        <w:rPr>
          <w:rFonts w:hint="eastAsia"/>
        </w:rPr>
        <w:t>（</w:t>
      </w:r>
      <w:r>
        <w:t>6）</w:t>
      </w:r>
      <w:r>
        <w:tab/>
      </w:r>
      <w:r>
        <w:t>虚拟交换机冗余物理网卡，网卡速率和全双工检查，流量和管理流量的分配。</w:t>
      </w:r>
    </w:p>
    <w:p>
      <w:pPr>
        <w:spacing w:line="360" w:lineRule="auto"/>
        <w:ind w:left="424" w:leftChars="202"/>
      </w:pPr>
      <w:r>
        <w:rPr>
          <w:rFonts w:hint="eastAsia"/>
        </w:rPr>
        <w:t>（</w:t>
      </w:r>
      <w:r>
        <w:t>7）</w:t>
      </w:r>
      <w:r>
        <w:tab/>
      </w:r>
      <w:r>
        <w:t>虚拟机在LUN上的存储。</w:t>
      </w:r>
    </w:p>
    <w:p>
      <w:pPr>
        <w:spacing w:line="360" w:lineRule="auto"/>
        <w:ind w:left="424" w:leftChars="202"/>
      </w:pPr>
      <w:r>
        <w:rPr>
          <w:rFonts w:hint="eastAsia"/>
        </w:rPr>
        <w:t>（</w:t>
      </w:r>
      <w:r>
        <w:t>8）</w:t>
      </w:r>
      <w:r>
        <w:tab/>
      </w:r>
      <w:r>
        <w:t>VLAN确保不同网络的隔离。</w:t>
      </w:r>
    </w:p>
    <w:p>
      <w:pPr>
        <w:spacing w:line="360" w:lineRule="auto"/>
        <w:ind w:left="424" w:leftChars="202"/>
      </w:pPr>
      <w:r>
        <w:rPr>
          <w:rFonts w:hint="eastAsia"/>
        </w:rPr>
        <w:t>（</w:t>
      </w:r>
      <w:r>
        <w:t>9）</w:t>
      </w:r>
      <w:r>
        <w:tab/>
      </w:r>
      <w:r>
        <w:t>虚拟机中正确安装VMware Tools。</w:t>
      </w:r>
    </w:p>
    <w:p>
      <w:pPr>
        <w:spacing w:line="360" w:lineRule="auto"/>
        <w:ind w:left="424" w:leftChars="202"/>
      </w:pPr>
      <w:r>
        <w:rPr>
          <w:rFonts w:hint="eastAsia"/>
        </w:rPr>
        <w:t>（</w:t>
      </w:r>
      <w:r>
        <w:t>10）</w:t>
      </w:r>
      <w:r>
        <w:tab/>
      </w:r>
      <w:r>
        <w:t>vCenter数据库使用情况。</w:t>
      </w:r>
    </w:p>
    <w:p>
      <w:pPr>
        <w:spacing w:line="360" w:lineRule="auto"/>
        <w:ind w:left="424" w:leftChars="202"/>
      </w:pPr>
      <w:r>
        <w:rPr>
          <w:rFonts w:hint="eastAsia"/>
        </w:rPr>
        <w:t>（</w:t>
      </w:r>
      <w:r>
        <w:t>11）</w:t>
      </w:r>
      <w:r>
        <w:tab/>
      </w:r>
      <w:r>
        <w:t>HA群集冗余容量。</w:t>
      </w:r>
    </w:p>
    <w:p>
      <w:pPr>
        <w:spacing w:line="360" w:lineRule="auto"/>
        <w:ind w:left="424" w:leftChars="202"/>
      </w:pPr>
      <w:r>
        <w:rPr>
          <w:rFonts w:hint="eastAsia"/>
        </w:rPr>
        <w:t>（</w:t>
      </w:r>
      <w:r>
        <w:t>12）</w:t>
      </w:r>
      <w:r>
        <w:tab/>
      </w:r>
      <w:r>
        <w:t>vCenter与ESXi主机服务器时间。</w:t>
      </w:r>
    </w:p>
    <w:p>
      <w:pPr>
        <w:spacing w:line="360" w:lineRule="auto"/>
        <w:ind w:left="424" w:leftChars="202"/>
      </w:pPr>
      <w:r>
        <w:rPr>
          <w:rFonts w:hint="eastAsia"/>
        </w:rPr>
        <w:t>（</w:t>
      </w:r>
      <w:r>
        <w:t>13）</w:t>
      </w:r>
      <w:r>
        <w:tab/>
      </w:r>
      <w:r>
        <w:t>vCenter性能监控。</w:t>
      </w:r>
    </w:p>
    <w:p>
      <w:pPr>
        <w:widowControl/>
        <w:jc w:val="left"/>
      </w:pPr>
      <w:r>
        <w:br w:type="page"/>
      </w:r>
    </w:p>
    <w:p>
      <w:pPr>
        <w:pStyle w:val="5"/>
      </w:pPr>
      <w:r>
        <w:rPr>
          <w:rFonts w:hint="eastAsia"/>
        </w:rPr>
        <w:t>2</w:t>
      </w:r>
      <w:r>
        <w:t xml:space="preserve">.4 </w:t>
      </w:r>
      <w:r>
        <w:rPr>
          <w:rFonts w:hint="eastAsia"/>
        </w:rPr>
        <w:t>网络运维服务</w:t>
      </w:r>
    </w:p>
    <w:p>
      <w:pPr>
        <w:spacing w:line="360" w:lineRule="auto"/>
        <w:ind w:firstLine="420" w:firstLineChars="200"/>
      </w:pPr>
      <w:r>
        <w:rPr>
          <w:rFonts w:hint="eastAsia"/>
        </w:rPr>
        <w:t>医院数据中心及骨干节点核心网络设备主要部署在办公楼、主体楼、伟伦楼、餐厅楼、高压氧楼、科教楼、综合楼、东一号楼、东二号楼、东三号楼、主体楼、英东楼、惠福分院、平洲分院、白云路广湾</w:t>
      </w:r>
      <w:r>
        <w:t>18大厦、91号大院等省医办公地点</w:t>
      </w:r>
      <w:r>
        <w:rPr>
          <w:rFonts w:hint="eastAsia"/>
        </w:rPr>
        <w:t>，网络设备</w:t>
      </w:r>
      <w:r>
        <w:t>581</w:t>
      </w:r>
      <w:r>
        <w:rPr>
          <w:rFonts w:hint="eastAsia"/>
        </w:rPr>
        <w:t>台。</w:t>
      </w:r>
    </w:p>
    <w:p>
      <w:pPr>
        <w:pStyle w:val="6"/>
        <w:rPr>
          <w:rFonts w:hAnsi="宋体"/>
        </w:rPr>
      </w:pPr>
      <w:r>
        <w:rPr>
          <w:rFonts w:hAnsi="宋体"/>
        </w:rPr>
        <w:t xml:space="preserve">2.4.1 </w:t>
      </w:r>
      <w:r>
        <w:rPr>
          <w:rFonts w:hint="eastAsia" w:hAnsi="宋体"/>
        </w:rPr>
        <w:t>设备清单</w:t>
      </w:r>
    </w:p>
    <w:p>
      <w:pPr>
        <w:pStyle w:val="7"/>
      </w:pPr>
      <w:r>
        <w:rPr>
          <w:rFonts w:hint="eastAsia"/>
        </w:rPr>
        <w:t>2</w:t>
      </w:r>
      <w:r>
        <w:t xml:space="preserve">.4.1.1 </w:t>
      </w:r>
      <w:r>
        <w:rPr>
          <w:rFonts w:hint="eastAsia"/>
        </w:rPr>
        <w:t>已出原厂维保期的设备清单</w:t>
      </w:r>
    </w:p>
    <w:p>
      <w:r>
        <w:rPr>
          <w:rFonts w:hint="eastAsia"/>
        </w:rPr>
        <w:t>（提供网络基础架构规划管理及调整、网络设备配置管理、网络性能优化、新增网络接入、网络故障处理、备件进行紧急维修等服务）</w:t>
      </w:r>
    </w:p>
    <w:tbl>
      <w:tblPr>
        <w:tblStyle w:val="34"/>
        <w:tblW w:w="5000" w:type="pct"/>
        <w:tblInd w:w="0" w:type="dxa"/>
        <w:tblLayout w:type="autofit"/>
        <w:tblCellMar>
          <w:top w:w="0" w:type="dxa"/>
          <w:left w:w="108" w:type="dxa"/>
          <w:bottom w:w="0" w:type="dxa"/>
          <w:right w:w="108" w:type="dxa"/>
        </w:tblCellMar>
      </w:tblPr>
      <w:tblGrid>
        <w:gridCol w:w="1015"/>
        <w:gridCol w:w="1310"/>
        <w:gridCol w:w="2621"/>
        <w:gridCol w:w="957"/>
        <w:gridCol w:w="1306"/>
        <w:gridCol w:w="1307"/>
      </w:tblGrid>
      <w:tr>
        <w:tblPrEx>
          <w:tblCellMar>
            <w:top w:w="0" w:type="dxa"/>
            <w:left w:w="108" w:type="dxa"/>
            <w:bottom w:w="0" w:type="dxa"/>
            <w:right w:w="108" w:type="dxa"/>
          </w:tblCellMar>
        </w:tblPrEx>
        <w:trPr>
          <w:tblHeader/>
        </w:trPr>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序号</w:t>
            </w:r>
          </w:p>
        </w:tc>
        <w:tc>
          <w:tcPr>
            <w:tcW w:w="769"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品牌</w:t>
            </w:r>
          </w:p>
        </w:tc>
        <w:tc>
          <w:tcPr>
            <w:tcW w:w="1539"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型号</w:t>
            </w:r>
          </w:p>
        </w:tc>
        <w:tc>
          <w:tcPr>
            <w:tcW w:w="5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 xml:space="preserve">数量 </w:t>
            </w:r>
          </w:p>
        </w:tc>
        <w:tc>
          <w:tcPr>
            <w:tcW w:w="76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单位</w:t>
            </w:r>
          </w:p>
        </w:tc>
        <w:tc>
          <w:tcPr>
            <w:tcW w:w="76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备注</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x430-48t</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162</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Cisco</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Calalyst 2950</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BD8810</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5</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4</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X150-24t</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59</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5</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X450e-24p</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16</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6</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X450a-24x</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7</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SecPath F1070</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8</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X350-24t</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9</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summit X670</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10</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Cisco</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S2960 48T</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11</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S6300-42QF</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12</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x150-48t</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43</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13</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BD8806</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18</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14</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X250e-24p</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5</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15</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X440-48t-10G</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16</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x460-24t</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4</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17</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S5110-28P-SI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18</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x440e-24p</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19</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BD-8806</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17</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20</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X430-24t</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21</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Extreme</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Summit200-24</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4</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22</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 MSR 50-60</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23</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S5720-52X-SI-AC</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42</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24</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LS-5130S-10P-EI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20</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25</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HUAWEI</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S5720-28X</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12</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26</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S5130S-28S-HI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17</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27</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HUAWEI</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S5720-52X</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7</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28</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HUAWEI</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S7703</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10</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29</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S5130S-52S-HI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27</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30</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S5120V2-10P-SI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31</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LS-5130S-28S-HI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5</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32</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LS-5130S-52S-HI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18</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33</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S10506</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5</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34</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S5130S-52S-PWR-HI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7</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35</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LS-5130S-28S-PWR-HI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36</w:t>
            </w:r>
          </w:p>
        </w:tc>
        <w:tc>
          <w:tcPr>
            <w:tcW w:w="7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H3C</w:t>
            </w:r>
          </w:p>
        </w:tc>
        <w:tc>
          <w:tcPr>
            <w:tcW w:w="153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S5120S-52P-EI</w:t>
            </w:r>
          </w:p>
        </w:tc>
        <w:tc>
          <w:tcPr>
            <w:tcW w:w="56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7</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color w:val="000000"/>
                <w:kern w:val="0"/>
              </w:rPr>
              <w:t xml:space="preserve">37   </w:t>
            </w:r>
          </w:p>
        </w:tc>
        <w:tc>
          <w:tcPr>
            <w:tcW w:w="769"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华为</w:t>
            </w:r>
          </w:p>
        </w:tc>
        <w:tc>
          <w:tcPr>
            <w:tcW w:w="1539"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color w:val="000000"/>
                <w:kern w:val="0"/>
              </w:rPr>
              <w:t>S12700E-8</w:t>
            </w:r>
          </w:p>
        </w:tc>
        <w:tc>
          <w:tcPr>
            <w:tcW w:w="562"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2</w:t>
            </w:r>
          </w:p>
        </w:tc>
        <w:tc>
          <w:tcPr>
            <w:tcW w:w="767"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3</w:t>
            </w:r>
            <w:r>
              <w:rPr>
                <w:color w:val="000000"/>
                <w:kern w:val="0"/>
              </w:rPr>
              <w:t>8</w:t>
            </w:r>
          </w:p>
        </w:tc>
        <w:tc>
          <w:tcPr>
            <w:tcW w:w="769"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华为</w:t>
            </w:r>
          </w:p>
        </w:tc>
        <w:tc>
          <w:tcPr>
            <w:tcW w:w="1539"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color w:val="000000"/>
                <w:kern w:val="0"/>
              </w:rPr>
              <w:t>CE-16808</w:t>
            </w:r>
          </w:p>
        </w:tc>
        <w:tc>
          <w:tcPr>
            <w:tcW w:w="562"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2</w:t>
            </w:r>
          </w:p>
        </w:tc>
        <w:tc>
          <w:tcPr>
            <w:tcW w:w="767"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过保</w:t>
            </w:r>
          </w:p>
        </w:tc>
      </w:tr>
      <w:tr>
        <w:tblPrEx>
          <w:tblCellMar>
            <w:top w:w="0" w:type="dxa"/>
            <w:left w:w="108" w:type="dxa"/>
            <w:bottom w:w="0" w:type="dxa"/>
            <w:right w:w="108" w:type="dxa"/>
          </w:tblCellMar>
        </w:tblPrEx>
        <w:tc>
          <w:tcPr>
            <w:tcW w:w="596" w:type="pct"/>
            <w:tcBorders>
              <w:top w:val="nil"/>
              <w:left w:val="single" w:color="auto" w:sz="4" w:space="0"/>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合计</w:t>
            </w:r>
          </w:p>
        </w:tc>
        <w:tc>
          <w:tcPr>
            <w:tcW w:w="769"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　</w:t>
            </w:r>
          </w:p>
        </w:tc>
        <w:tc>
          <w:tcPr>
            <w:tcW w:w="1539"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　</w:t>
            </w:r>
          </w:p>
        </w:tc>
        <w:tc>
          <w:tcPr>
            <w:tcW w:w="562"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5</w:t>
            </w:r>
            <w:r>
              <w:rPr>
                <w:color w:val="000000"/>
                <w:kern w:val="0"/>
              </w:rPr>
              <w:t>45</w:t>
            </w:r>
          </w:p>
        </w:tc>
        <w:tc>
          <w:tcPr>
            <w:tcW w:w="767"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color w:val="000000"/>
                <w:kern w:val="0"/>
              </w:rPr>
            </w:pPr>
            <w:r>
              <w:rPr>
                <w:rFonts w:hint="eastAsia"/>
                <w:color w:val="000000"/>
                <w:kern w:val="0"/>
              </w:rPr>
              <w:t>台</w:t>
            </w:r>
          </w:p>
        </w:tc>
        <w:tc>
          <w:tcPr>
            <w:tcW w:w="767" w:type="pct"/>
            <w:tcBorders>
              <w:top w:val="nil"/>
              <w:left w:val="nil"/>
              <w:bottom w:val="single" w:color="auto" w:sz="4" w:space="0"/>
              <w:right w:val="single" w:color="auto" w:sz="4" w:space="0"/>
            </w:tcBorders>
            <w:shd w:val="clear" w:color="auto" w:fill="FFFFFF" w:themeFill="background1"/>
            <w:vAlign w:val="center"/>
          </w:tcPr>
          <w:p>
            <w:pPr>
              <w:widowControl/>
              <w:spacing w:line="360" w:lineRule="auto"/>
              <w:jc w:val="center"/>
              <w:rPr>
                <w:b/>
                <w:bCs/>
                <w:color w:val="000000"/>
                <w:kern w:val="0"/>
              </w:rPr>
            </w:pPr>
            <w:r>
              <w:rPr>
                <w:rFonts w:hint="eastAsia"/>
                <w:b/>
                <w:bCs/>
                <w:color w:val="000000"/>
                <w:kern w:val="0"/>
              </w:rPr>
              <w:t>　</w:t>
            </w:r>
          </w:p>
        </w:tc>
      </w:tr>
    </w:tbl>
    <w:p>
      <w:pPr>
        <w:widowControl/>
        <w:spacing w:line="360" w:lineRule="auto"/>
        <w:jc w:val="left"/>
      </w:pPr>
    </w:p>
    <w:p>
      <w:pPr>
        <w:pStyle w:val="7"/>
      </w:pPr>
      <w:r>
        <w:rPr>
          <w:rFonts w:hint="eastAsia"/>
        </w:rPr>
        <w:t>2</w:t>
      </w:r>
      <w:r>
        <w:t xml:space="preserve">.4.1.2 </w:t>
      </w:r>
      <w:r>
        <w:rPr>
          <w:rFonts w:hint="eastAsia"/>
        </w:rPr>
        <w:t>原厂维修期内的设备清单</w:t>
      </w:r>
    </w:p>
    <w:p>
      <w:r>
        <w:rPr>
          <w:rFonts w:hint="eastAsia"/>
        </w:rPr>
        <w:t>（提供网络基础架构规划管理及调整、网络设备配置管理、网络性能优化、新增网络接入、网络故障处理等服务）</w:t>
      </w:r>
    </w:p>
    <w:tbl>
      <w:tblPr>
        <w:tblStyle w:val="34"/>
        <w:tblW w:w="5000" w:type="pct"/>
        <w:tblInd w:w="0" w:type="dxa"/>
        <w:tblLayout w:type="autofit"/>
        <w:tblCellMar>
          <w:top w:w="0" w:type="dxa"/>
          <w:left w:w="108" w:type="dxa"/>
          <w:bottom w:w="0" w:type="dxa"/>
          <w:right w:w="108" w:type="dxa"/>
        </w:tblCellMar>
      </w:tblPr>
      <w:tblGrid>
        <w:gridCol w:w="1306"/>
        <w:gridCol w:w="1456"/>
        <w:gridCol w:w="2471"/>
        <w:gridCol w:w="996"/>
        <w:gridCol w:w="1145"/>
        <w:gridCol w:w="1142"/>
      </w:tblGrid>
      <w:tr>
        <w:tblPrEx>
          <w:tblCellMar>
            <w:top w:w="0" w:type="dxa"/>
            <w:left w:w="108" w:type="dxa"/>
            <w:bottom w:w="0" w:type="dxa"/>
            <w:right w:w="108" w:type="dxa"/>
          </w:tblCellMar>
        </w:tblPrEx>
        <w:trPr>
          <w:trHeight w:val="181" w:hRule="atLeast"/>
          <w:tblHeader/>
        </w:trPr>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序号</w:t>
            </w:r>
          </w:p>
        </w:tc>
        <w:tc>
          <w:tcPr>
            <w:tcW w:w="855"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品牌</w:t>
            </w:r>
          </w:p>
        </w:tc>
        <w:tc>
          <w:tcPr>
            <w:tcW w:w="1451"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型号</w:t>
            </w:r>
          </w:p>
        </w:tc>
        <w:tc>
          <w:tcPr>
            <w:tcW w:w="585"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 xml:space="preserve">数量 </w:t>
            </w:r>
          </w:p>
        </w:tc>
        <w:tc>
          <w:tcPr>
            <w:tcW w:w="67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单位</w:t>
            </w:r>
          </w:p>
        </w:tc>
        <w:tc>
          <w:tcPr>
            <w:tcW w:w="6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bCs/>
                <w:color w:val="000000"/>
                <w:kern w:val="0"/>
              </w:rPr>
            </w:pPr>
            <w:r>
              <w:rPr>
                <w:rFonts w:hint="eastAsia"/>
                <w:b/>
                <w:bCs/>
                <w:color w:val="000000"/>
                <w:kern w:val="0"/>
              </w:rPr>
              <w:t>备注</w:t>
            </w:r>
          </w:p>
        </w:tc>
      </w:tr>
      <w:tr>
        <w:tblPrEx>
          <w:tblCellMar>
            <w:top w:w="0" w:type="dxa"/>
            <w:left w:w="108" w:type="dxa"/>
            <w:bottom w:w="0" w:type="dxa"/>
            <w:right w:w="108" w:type="dxa"/>
          </w:tblCellMar>
        </w:tblPrEx>
        <w:trPr>
          <w:trHeight w:val="50" w:hRule="atLeast"/>
        </w:trPr>
        <w:tc>
          <w:tcPr>
            <w:tcW w:w="767"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855"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HUAWEI</w:t>
            </w:r>
          </w:p>
        </w:tc>
        <w:tc>
          <w:tcPr>
            <w:tcW w:w="1451"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S7703核心</w:t>
            </w:r>
          </w:p>
        </w:tc>
        <w:tc>
          <w:tcPr>
            <w:tcW w:w="585"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w:t>
            </w:r>
          </w:p>
        </w:tc>
        <w:tc>
          <w:tcPr>
            <w:tcW w:w="67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670"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保内</w:t>
            </w:r>
          </w:p>
        </w:tc>
      </w:tr>
      <w:tr>
        <w:tblPrEx>
          <w:tblCellMar>
            <w:top w:w="0" w:type="dxa"/>
            <w:left w:w="108" w:type="dxa"/>
            <w:bottom w:w="0" w:type="dxa"/>
            <w:right w:w="108" w:type="dxa"/>
          </w:tblCellMar>
        </w:tblPrEx>
        <w:trPr>
          <w:trHeight w:val="247" w:hRule="atLeast"/>
        </w:trPr>
        <w:tc>
          <w:tcPr>
            <w:tcW w:w="767"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w:t>
            </w:r>
          </w:p>
        </w:tc>
        <w:tc>
          <w:tcPr>
            <w:tcW w:w="855"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HUAWEI</w:t>
            </w:r>
          </w:p>
        </w:tc>
        <w:tc>
          <w:tcPr>
            <w:tcW w:w="1451"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S5720-28X-SI-AC</w:t>
            </w:r>
          </w:p>
        </w:tc>
        <w:tc>
          <w:tcPr>
            <w:tcW w:w="585"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30</w:t>
            </w:r>
          </w:p>
        </w:tc>
        <w:tc>
          <w:tcPr>
            <w:tcW w:w="67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670"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保内</w:t>
            </w:r>
          </w:p>
        </w:tc>
      </w:tr>
      <w:tr>
        <w:tblPrEx>
          <w:tblCellMar>
            <w:top w:w="0" w:type="dxa"/>
            <w:left w:w="108" w:type="dxa"/>
            <w:bottom w:w="0" w:type="dxa"/>
            <w:right w:w="108" w:type="dxa"/>
          </w:tblCellMar>
        </w:tblPrEx>
        <w:trPr>
          <w:trHeight w:val="67" w:hRule="atLeast"/>
        </w:trPr>
        <w:tc>
          <w:tcPr>
            <w:tcW w:w="767"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3</w:t>
            </w:r>
          </w:p>
        </w:tc>
        <w:tc>
          <w:tcPr>
            <w:tcW w:w="855"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HUAWEI</w:t>
            </w:r>
          </w:p>
        </w:tc>
        <w:tc>
          <w:tcPr>
            <w:tcW w:w="1451"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S5720-52X</w:t>
            </w:r>
          </w:p>
        </w:tc>
        <w:tc>
          <w:tcPr>
            <w:tcW w:w="585"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w:t>
            </w:r>
          </w:p>
        </w:tc>
        <w:tc>
          <w:tcPr>
            <w:tcW w:w="67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670"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保内</w:t>
            </w:r>
          </w:p>
        </w:tc>
      </w:tr>
      <w:tr>
        <w:tblPrEx>
          <w:tblCellMar>
            <w:top w:w="0" w:type="dxa"/>
            <w:left w:w="108" w:type="dxa"/>
            <w:bottom w:w="0" w:type="dxa"/>
            <w:right w:w="108" w:type="dxa"/>
          </w:tblCellMar>
        </w:tblPrEx>
        <w:trPr>
          <w:trHeight w:val="50" w:hRule="atLeast"/>
        </w:trPr>
        <w:tc>
          <w:tcPr>
            <w:tcW w:w="767"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4</w:t>
            </w:r>
          </w:p>
        </w:tc>
        <w:tc>
          <w:tcPr>
            <w:tcW w:w="855"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HUAWEI</w:t>
            </w:r>
          </w:p>
        </w:tc>
        <w:tc>
          <w:tcPr>
            <w:tcW w:w="1451"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S5720S-28P-PWR-LI</w:t>
            </w:r>
          </w:p>
        </w:tc>
        <w:tc>
          <w:tcPr>
            <w:tcW w:w="585"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2</w:t>
            </w:r>
          </w:p>
        </w:tc>
        <w:tc>
          <w:tcPr>
            <w:tcW w:w="67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台</w:t>
            </w:r>
          </w:p>
        </w:tc>
        <w:tc>
          <w:tcPr>
            <w:tcW w:w="670"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保内</w:t>
            </w:r>
          </w:p>
        </w:tc>
      </w:tr>
      <w:tr>
        <w:tblPrEx>
          <w:tblCellMar>
            <w:top w:w="0" w:type="dxa"/>
            <w:left w:w="108" w:type="dxa"/>
            <w:bottom w:w="0" w:type="dxa"/>
            <w:right w:w="108" w:type="dxa"/>
          </w:tblCellMar>
        </w:tblPrEx>
        <w:trPr>
          <w:trHeight w:val="50" w:hRule="atLeast"/>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b/>
                <w:bCs/>
                <w:color w:val="000000"/>
                <w:kern w:val="0"/>
              </w:rPr>
            </w:pPr>
            <w:r>
              <w:rPr>
                <w:rFonts w:hint="eastAsia"/>
                <w:b/>
                <w:bCs/>
                <w:color w:val="000000"/>
                <w:kern w:val="0"/>
              </w:rPr>
              <w:t>合计</w:t>
            </w:r>
          </w:p>
        </w:tc>
        <w:tc>
          <w:tcPr>
            <w:tcW w:w="855"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b/>
                <w:bCs/>
                <w:color w:val="000000"/>
                <w:kern w:val="0"/>
              </w:rPr>
            </w:pPr>
            <w:r>
              <w:rPr>
                <w:rFonts w:hint="eastAsia"/>
                <w:b/>
                <w:bCs/>
                <w:color w:val="000000"/>
                <w:kern w:val="0"/>
              </w:rPr>
              <w:t>　</w:t>
            </w:r>
          </w:p>
        </w:tc>
        <w:tc>
          <w:tcPr>
            <w:tcW w:w="1451"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b/>
                <w:bCs/>
                <w:color w:val="000000"/>
                <w:kern w:val="0"/>
              </w:rPr>
            </w:pPr>
            <w:r>
              <w:rPr>
                <w:rFonts w:hint="eastAsia"/>
                <w:b/>
                <w:bCs/>
                <w:color w:val="000000"/>
                <w:kern w:val="0"/>
              </w:rPr>
              <w:t>　</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b/>
                <w:bCs/>
                <w:color w:val="000000"/>
                <w:kern w:val="0"/>
              </w:rPr>
            </w:pPr>
            <w:r>
              <w:rPr>
                <w:rFonts w:hint="eastAsia"/>
                <w:b/>
                <w:bCs/>
                <w:color w:val="000000"/>
                <w:kern w:val="0"/>
              </w:rPr>
              <w:t>36</w:t>
            </w:r>
          </w:p>
        </w:tc>
        <w:tc>
          <w:tcPr>
            <w:tcW w:w="672"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color w:val="000000"/>
                <w:kern w:val="0"/>
              </w:rPr>
            </w:pPr>
            <w:r>
              <w:rPr>
                <w:rFonts w:hint="eastAsia"/>
                <w:color w:val="000000"/>
                <w:kern w:val="0"/>
              </w:rPr>
              <w:t>台</w:t>
            </w:r>
          </w:p>
        </w:tc>
        <w:tc>
          <w:tcPr>
            <w:tcW w:w="670"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color w:val="000000"/>
                <w:kern w:val="0"/>
              </w:rPr>
            </w:pPr>
            <w:r>
              <w:rPr>
                <w:rFonts w:hint="eastAsia"/>
                <w:color w:val="000000"/>
                <w:kern w:val="0"/>
              </w:rPr>
              <w:t>　</w:t>
            </w:r>
          </w:p>
        </w:tc>
      </w:tr>
    </w:tbl>
    <w:p/>
    <w:p>
      <w:pPr>
        <w:pStyle w:val="6"/>
        <w:rPr>
          <w:rFonts w:hAnsi="宋体"/>
        </w:rPr>
      </w:pPr>
      <w:r>
        <w:rPr>
          <w:rFonts w:hint="eastAsia" w:hAnsi="宋体"/>
        </w:rPr>
        <w:t>2</w:t>
      </w:r>
      <w:r>
        <w:rPr>
          <w:rFonts w:hAnsi="宋体"/>
        </w:rPr>
        <w:t xml:space="preserve">.4.2 </w:t>
      </w:r>
      <w:r>
        <w:rPr>
          <w:rFonts w:hint="eastAsia" w:hAnsi="宋体"/>
        </w:rPr>
        <w:t>服务内容</w:t>
      </w:r>
    </w:p>
    <w:tbl>
      <w:tblPr>
        <w:tblStyle w:val="34"/>
        <w:tblpPr w:leftFromText="180" w:rightFromText="180" w:vertAnchor="text" w:horzAnchor="margin" w:tblpXSpec="center" w:tblpY="74"/>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46"/>
        <w:gridCol w:w="2673"/>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3" w:hRule="atLeast"/>
          <w:tblHeader/>
        </w:trPr>
        <w:tc>
          <w:tcPr>
            <w:tcW w:w="846" w:type="dxa"/>
            <w:vAlign w:val="center"/>
          </w:tcPr>
          <w:p>
            <w:pPr>
              <w:tabs>
                <w:tab w:val="left" w:pos="284"/>
                <w:tab w:val="left" w:pos="567"/>
              </w:tabs>
              <w:spacing w:line="360" w:lineRule="auto"/>
              <w:jc w:val="center"/>
              <w:rPr>
                <w:b/>
              </w:rPr>
            </w:pPr>
            <w:bookmarkStart w:id="1" w:name="_Hlk130377567"/>
            <w:r>
              <w:rPr>
                <w:rFonts w:hint="eastAsia"/>
                <w:b/>
              </w:rPr>
              <w:t>序号</w:t>
            </w:r>
          </w:p>
        </w:tc>
        <w:tc>
          <w:tcPr>
            <w:tcW w:w="2673" w:type="dxa"/>
            <w:vAlign w:val="center"/>
          </w:tcPr>
          <w:p>
            <w:pPr>
              <w:tabs>
                <w:tab w:val="left" w:pos="284"/>
                <w:tab w:val="left" w:pos="567"/>
              </w:tabs>
              <w:spacing w:line="360" w:lineRule="auto"/>
              <w:jc w:val="center"/>
              <w:rPr>
                <w:b/>
              </w:rPr>
            </w:pPr>
            <w:r>
              <w:rPr>
                <w:rFonts w:hint="eastAsia"/>
                <w:b/>
              </w:rPr>
              <w:t>服务类型</w:t>
            </w:r>
          </w:p>
        </w:tc>
        <w:tc>
          <w:tcPr>
            <w:tcW w:w="5832" w:type="dxa"/>
            <w:vAlign w:val="center"/>
          </w:tcPr>
          <w:p>
            <w:pPr>
              <w:tabs>
                <w:tab w:val="left" w:pos="284"/>
                <w:tab w:val="left" w:pos="567"/>
              </w:tabs>
              <w:spacing w:line="360" w:lineRule="auto"/>
              <w:jc w:val="center"/>
              <w:rPr>
                <w:b/>
              </w:rPr>
            </w:pPr>
            <w:r>
              <w:rPr>
                <w:rFonts w:hint="eastAsia"/>
                <w:b/>
              </w:rPr>
              <w:t>服务内容说明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7" w:hRule="atLeast"/>
        </w:trPr>
        <w:tc>
          <w:tcPr>
            <w:tcW w:w="846" w:type="dxa"/>
            <w:vAlign w:val="center"/>
          </w:tcPr>
          <w:p>
            <w:pPr>
              <w:tabs>
                <w:tab w:val="left" w:pos="284"/>
                <w:tab w:val="left" w:pos="567"/>
              </w:tabs>
              <w:spacing w:line="360" w:lineRule="auto"/>
              <w:jc w:val="center"/>
            </w:pPr>
            <w:r>
              <w:rPr>
                <w:rFonts w:hint="eastAsia"/>
              </w:rPr>
              <w:t>1</w:t>
            </w:r>
          </w:p>
        </w:tc>
        <w:tc>
          <w:tcPr>
            <w:tcW w:w="2673" w:type="dxa"/>
            <w:vAlign w:val="center"/>
          </w:tcPr>
          <w:p>
            <w:pPr>
              <w:tabs>
                <w:tab w:val="left" w:pos="284"/>
                <w:tab w:val="left" w:pos="567"/>
              </w:tabs>
              <w:spacing w:line="360" w:lineRule="auto"/>
            </w:pPr>
            <w:r>
              <w:rPr>
                <w:rFonts w:hint="eastAsia"/>
              </w:rPr>
              <w:t>交换设备新件先行保修服务（原厂保修期内设备）</w:t>
            </w:r>
          </w:p>
        </w:tc>
        <w:tc>
          <w:tcPr>
            <w:tcW w:w="5832" w:type="dxa"/>
            <w:vAlign w:val="center"/>
          </w:tcPr>
          <w:p>
            <w:pPr>
              <w:pStyle w:val="45"/>
              <w:widowControl/>
              <w:numPr>
                <w:ilvl w:val="0"/>
                <w:numId w:val="14"/>
              </w:numPr>
              <w:tabs>
                <w:tab w:val="left" w:pos="284"/>
                <w:tab w:val="left" w:pos="567"/>
              </w:tabs>
              <w:spacing w:line="360" w:lineRule="auto"/>
              <w:ind w:firstLineChars="0"/>
              <w:jc w:val="left"/>
            </w:pPr>
            <w:r>
              <w:rPr>
                <w:rFonts w:hint="eastAsia"/>
              </w:rPr>
              <w:t>维护服务期间，直接与原厂商联系和协调，由提供Extreme、华</w:t>
            </w:r>
            <w:r>
              <w:t>为、</w:t>
            </w:r>
            <w:r>
              <w:rPr>
                <w:rFonts w:hint="eastAsia"/>
              </w:rPr>
              <w:t>H</w:t>
            </w:r>
            <w:r>
              <w:t>3</w:t>
            </w:r>
            <w:r>
              <w:rPr>
                <w:rFonts w:hint="eastAsia"/>
              </w:rPr>
              <w:t>C公司的新件先行保修服务。任何保修期内的交换机设备发生故障由公司提供新件替换保修服务，即第二天响应，2-5个工作日内新件到用户现场，收到新件的15天内由服务商负责寄回坏件，不再另外收取维修费用。</w:t>
            </w:r>
          </w:p>
          <w:p>
            <w:pPr>
              <w:pStyle w:val="45"/>
              <w:widowControl/>
              <w:numPr>
                <w:ilvl w:val="0"/>
                <w:numId w:val="14"/>
              </w:numPr>
              <w:tabs>
                <w:tab w:val="left" w:pos="284"/>
                <w:tab w:val="left" w:pos="567"/>
              </w:tabs>
              <w:spacing w:line="360" w:lineRule="auto"/>
              <w:ind w:firstLineChars="0"/>
              <w:jc w:val="left"/>
            </w:pPr>
            <w:r>
              <w:rPr>
                <w:rFonts w:hint="eastAsia"/>
              </w:rPr>
              <w:t>提供网络基础架构规划管理及调整、网络设备配置管理、网络性能优化、</w:t>
            </w:r>
            <w:r>
              <w:t>新增网络</w:t>
            </w:r>
            <w:r>
              <w:rPr>
                <w:rFonts w:hint="eastAsia"/>
              </w:rPr>
              <w:t>接</w:t>
            </w:r>
            <w:r>
              <w:t>入</w:t>
            </w:r>
            <w:r>
              <w:rPr>
                <w:rFonts w:hint="eastAsia"/>
              </w:rPr>
              <w:t>、</w:t>
            </w:r>
            <w:r>
              <w:t>网络故障处理</w:t>
            </w:r>
            <w:r>
              <w:rPr>
                <w:rFonts w:hint="eastAsia"/>
              </w:rPr>
              <w:t>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trPr>
        <w:tc>
          <w:tcPr>
            <w:tcW w:w="846" w:type="dxa"/>
            <w:vAlign w:val="center"/>
          </w:tcPr>
          <w:p>
            <w:pPr>
              <w:tabs>
                <w:tab w:val="left" w:pos="284"/>
                <w:tab w:val="left" w:pos="567"/>
              </w:tabs>
              <w:spacing w:line="360" w:lineRule="auto"/>
              <w:jc w:val="center"/>
            </w:pPr>
            <w:r>
              <w:rPr>
                <w:rFonts w:hint="eastAsia"/>
              </w:rPr>
              <w:t>2</w:t>
            </w:r>
          </w:p>
        </w:tc>
        <w:tc>
          <w:tcPr>
            <w:tcW w:w="2673" w:type="dxa"/>
            <w:vAlign w:val="center"/>
          </w:tcPr>
          <w:p>
            <w:pPr>
              <w:tabs>
                <w:tab w:val="left" w:pos="284"/>
                <w:tab w:val="left" w:pos="567"/>
              </w:tabs>
              <w:spacing w:line="360" w:lineRule="auto"/>
            </w:pPr>
            <w:r>
              <w:rPr>
                <w:rFonts w:hint="eastAsia"/>
              </w:rPr>
              <w:t>交换设备应急备件服务</w:t>
            </w:r>
          </w:p>
        </w:tc>
        <w:tc>
          <w:tcPr>
            <w:tcW w:w="5832" w:type="dxa"/>
            <w:vAlign w:val="center"/>
          </w:tcPr>
          <w:p>
            <w:pPr>
              <w:tabs>
                <w:tab w:val="left" w:pos="284"/>
                <w:tab w:val="left" w:pos="567"/>
              </w:tabs>
              <w:spacing w:line="360" w:lineRule="auto"/>
            </w:pPr>
            <w:r>
              <w:rPr>
                <w:rFonts w:hint="eastAsia"/>
              </w:rPr>
              <w:t>准备充足的相应备件为系统设备故障时提供应急替代，直到Extreme、</w:t>
            </w:r>
            <w:r>
              <w:t>华为、</w:t>
            </w:r>
            <w:r>
              <w:rPr>
                <w:rFonts w:hint="eastAsia"/>
              </w:rPr>
              <w:t>H</w:t>
            </w:r>
            <w:r>
              <w:t>3</w:t>
            </w:r>
            <w:r>
              <w:rPr>
                <w:rFonts w:hint="eastAsia"/>
              </w:rPr>
              <w:t>C公司提供的新件更换完成，系统恢复原状。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1" w:hRule="atLeast"/>
        </w:trPr>
        <w:tc>
          <w:tcPr>
            <w:tcW w:w="846" w:type="dxa"/>
            <w:vAlign w:val="center"/>
          </w:tcPr>
          <w:p>
            <w:pPr>
              <w:tabs>
                <w:tab w:val="left" w:pos="284"/>
                <w:tab w:val="left" w:pos="567"/>
              </w:tabs>
              <w:spacing w:line="360" w:lineRule="auto"/>
              <w:jc w:val="center"/>
            </w:pPr>
            <w:r>
              <w:rPr>
                <w:rFonts w:hint="eastAsia"/>
              </w:rPr>
              <w:t>3</w:t>
            </w:r>
          </w:p>
        </w:tc>
        <w:tc>
          <w:tcPr>
            <w:tcW w:w="2673" w:type="dxa"/>
            <w:vAlign w:val="center"/>
          </w:tcPr>
          <w:p>
            <w:pPr>
              <w:tabs>
                <w:tab w:val="left" w:pos="284"/>
                <w:tab w:val="left" w:pos="567"/>
              </w:tabs>
              <w:spacing w:line="360" w:lineRule="auto"/>
              <w:rPr>
                <w:bCs/>
              </w:rPr>
            </w:pPr>
            <w:r>
              <w:rPr>
                <w:rFonts w:hint="eastAsia"/>
              </w:rPr>
              <w:t>原厂商已不维修的交换机设备的应急备件服务（已过保设备）</w:t>
            </w:r>
          </w:p>
        </w:tc>
        <w:tc>
          <w:tcPr>
            <w:tcW w:w="5832" w:type="dxa"/>
            <w:vAlign w:val="center"/>
          </w:tcPr>
          <w:p>
            <w:pPr>
              <w:tabs>
                <w:tab w:val="left" w:pos="284"/>
                <w:tab w:val="left" w:pos="567"/>
              </w:tabs>
              <w:spacing w:line="360" w:lineRule="auto"/>
            </w:pPr>
            <w:r>
              <w:rPr>
                <w:rFonts w:hint="eastAsia"/>
              </w:rPr>
              <w:t>准备充足的相应备件为系统设备故障时提供应急替代，直到坏件维修好后再撤换。对坏件提供有偿维修。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trPr>
        <w:tc>
          <w:tcPr>
            <w:tcW w:w="846" w:type="dxa"/>
            <w:vAlign w:val="center"/>
          </w:tcPr>
          <w:p>
            <w:pPr>
              <w:tabs>
                <w:tab w:val="left" w:pos="-567"/>
                <w:tab w:val="left" w:pos="-142"/>
                <w:tab w:val="left" w:pos="0"/>
              </w:tabs>
              <w:spacing w:line="360" w:lineRule="auto"/>
              <w:jc w:val="center"/>
            </w:pPr>
            <w:r>
              <w:rPr>
                <w:rFonts w:hint="eastAsia"/>
              </w:rPr>
              <w:t>4</w:t>
            </w:r>
          </w:p>
        </w:tc>
        <w:tc>
          <w:tcPr>
            <w:tcW w:w="2673" w:type="dxa"/>
            <w:vAlign w:val="center"/>
          </w:tcPr>
          <w:p>
            <w:pPr>
              <w:tabs>
                <w:tab w:val="left" w:pos="284"/>
                <w:tab w:val="left" w:pos="567"/>
              </w:tabs>
              <w:spacing w:line="360" w:lineRule="auto"/>
            </w:pPr>
            <w:r>
              <w:rPr>
                <w:rFonts w:hint="eastAsia"/>
              </w:rPr>
              <w:t>主动预防检查</w:t>
            </w:r>
          </w:p>
        </w:tc>
        <w:tc>
          <w:tcPr>
            <w:tcW w:w="5832" w:type="dxa"/>
            <w:vAlign w:val="center"/>
          </w:tcPr>
          <w:p>
            <w:pPr>
              <w:tabs>
                <w:tab w:val="left" w:pos="85"/>
              </w:tabs>
              <w:spacing w:line="360" w:lineRule="auto"/>
            </w:pPr>
            <w:r>
              <w:rPr>
                <w:rFonts w:hint="eastAsia"/>
              </w:rPr>
              <w:t>安排工程师对网络系统进行定期主动巡检健康检查，其中接入设备机房两周一次，核心交换机房和汇聚交换机房一周一次，惠福西分院一周一次。并出具月度巡检报告。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1" w:hRule="atLeast"/>
        </w:trPr>
        <w:tc>
          <w:tcPr>
            <w:tcW w:w="846" w:type="dxa"/>
            <w:vAlign w:val="center"/>
          </w:tcPr>
          <w:p>
            <w:pPr>
              <w:tabs>
                <w:tab w:val="left" w:pos="284"/>
                <w:tab w:val="left" w:pos="567"/>
              </w:tabs>
              <w:spacing w:line="360" w:lineRule="auto"/>
              <w:jc w:val="center"/>
            </w:pPr>
            <w:r>
              <w:t>5</w:t>
            </w:r>
          </w:p>
        </w:tc>
        <w:tc>
          <w:tcPr>
            <w:tcW w:w="2673" w:type="dxa"/>
            <w:vAlign w:val="center"/>
          </w:tcPr>
          <w:p>
            <w:pPr>
              <w:tabs>
                <w:tab w:val="left" w:pos="284"/>
                <w:tab w:val="left" w:pos="567"/>
              </w:tabs>
              <w:spacing w:line="360" w:lineRule="auto"/>
            </w:pPr>
            <w:r>
              <w:rPr>
                <w:rFonts w:hint="eastAsia"/>
              </w:rPr>
              <w:t>日常值守维护服务</w:t>
            </w:r>
          </w:p>
        </w:tc>
        <w:tc>
          <w:tcPr>
            <w:tcW w:w="5832" w:type="dxa"/>
            <w:vAlign w:val="center"/>
          </w:tcPr>
          <w:p>
            <w:pPr>
              <w:tabs>
                <w:tab w:val="left" w:pos="85"/>
              </w:tabs>
              <w:spacing w:line="360" w:lineRule="auto"/>
            </w:pPr>
            <w:r>
              <w:rPr>
                <w:rFonts w:hint="eastAsia"/>
              </w:rPr>
              <w:t>提供不</w:t>
            </w:r>
            <w:r>
              <w:t>少于</w:t>
            </w:r>
            <w:r>
              <w:rPr>
                <w:rFonts w:hint="eastAsia"/>
              </w:rPr>
              <w:t>1名工程师驻</w:t>
            </w:r>
            <w:r>
              <w:t>点，</w:t>
            </w:r>
            <w:r>
              <w:rPr>
                <w:rFonts w:hint="eastAsia"/>
              </w:rPr>
              <w:t>负责院方本部日常的网络系统值守维护，配合院方处理日常的网络故障；每周三次到惠福西路分院进行日常的网络系统值守维护。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 w:hRule="atLeast"/>
        </w:trPr>
        <w:tc>
          <w:tcPr>
            <w:tcW w:w="846" w:type="dxa"/>
            <w:vAlign w:val="center"/>
          </w:tcPr>
          <w:p>
            <w:pPr>
              <w:tabs>
                <w:tab w:val="left" w:pos="284"/>
                <w:tab w:val="left" w:pos="567"/>
              </w:tabs>
              <w:spacing w:line="360" w:lineRule="auto"/>
              <w:jc w:val="center"/>
            </w:pPr>
            <w:r>
              <w:t>6</w:t>
            </w:r>
          </w:p>
        </w:tc>
        <w:tc>
          <w:tcPr>
            <w:tcW w:w="2673" w:type="dxa"/>
            <w:vAlign w:val="center"/>
          </w:tcPr>
          <w:p>
            <w:pPr>
              <w:tabs>
                <w:tab w:val="left" w:pos="284"/>
                <w:tab w:val="left" w:pos="567"/>
              </w:tabs>
              <w:spacing w:line="360" w:lineRule="auto"/>
            </w:pPr>
            <w:r>
              <w:rPr>
                <w:rFonts w:hint="eastAsia"/>
              </w:rPr>
              <w:t>网络性能检测服务</w:t>
            </w:r>
          </w:p>
        </w:tc>
        <w:tc>
          <w:tcPr>
            <w:tcW w:w="5832" w:type="dxa"/>
            <w:vAlign w:val="center"/>
          </w:tcPr>
          <w:p>
            <w:pPr>
              <w:tabs>
                <w:tab w:val="left" w:pos="85"/>
              </w:tabs>
              <w:spacing w:line="360" w:lineRule="auto"/>
            </w:pPr>
            <w:r>
              <w:rPr>
                <w:rFonts w:hint="eastAsia"/>
              </w:rPr>
              <w:t>在维护服务期间，提供对线路、设备、带宽等整体网络的传输质量开展2次专业检测服务（半年1次）；提供检测报告。</w:t>
            </w:r>
          </w:p>
        </w:tc>
      </w:tr>
      <w:bookmarkEnd w:id="1"/>
    </w:tbl>
    <w:p/>
    <w:p>
      <w:pPr>
        <w:pStyle w:val="6"/>
        <w:rPr>
          <w:rFonts w:hAnsi="宋体"/>
        </w:rPr>
      </w:pPr>
      <w:r>
        <w:rPr>
          <w:rFonts w:hint="eastAsia" w:hAnsi="宋体"/>
        </w:rPr>
        <w:t>2</w:t>
      </w:r>
      <w:r>
        <w:rPr>
          <w:rFonts w:hAnsi="宋体"/>
        </w:rPr>
        <w:t xml:space="preserve">.4.3 </w:t>
      </w:r>
      <w:r>
        <w:rPr>
          <w:rFonts w:hint="eastAsia" w:hAnsi="宋体"/>
        </w:rPr>
        <w:t>服务方式</w:t>
      </w:r>
    </w:p>
    <w:p>
      <w:pPr>
        <w:numPr>
          <w:ilvl w:val="0"/>
          <w:numId w:val="15"/>
        </w:numPr>
        <w:spacing w:line="360" w:lineRule="auto"/>
      </w:pPr>
      <w:r>
        <w:rPr>
          <w:rFonts w:hint="eastAsia"/>
        </w:rPr>
        <w:t>热线服务：为甲方提供热线支持（包括电话咨询、提供驱动程序、技术参数等）。</w:t>
      </w:r>
    </w:p>
    <w:p>
      <w:pPr>
        <w:numPr>
          <w:ilvl w:val="0"/>
          <w:numId w:val="15"/>
        </w:numPr>
        <w:spacing w:line="360" w:lineRule="auto"/>
      </w:pPr>
      <w:r>
        <w:rPr>
          <w:rFonts w:hint="eastAsia"/>
        </w:rPr>
        <w:t>现场维护：提供</w:t>
      </w:r>
      <w:r>
        <w:t>1</w:t>
      </w:r>
      <w:r>
        <w:rPr>
          <w:rFonts w:hint="eastAsia"/>
        </w:rPr>
        <w:t>名工程师为甲方单位上班时间提供驻场服务（工作时间为正常工作日8</w:t>
      </w:r>
      <w:r>
        <w:t>:00</w:t>
      </w:r>
      <w:r>
        <w:rPr>
          <w:rFonts w:hint="eastAsia"/>
        </w:rPr>
        <w:t>-1</w:t>
      </w:r>
      <w:r>
        <w:t>8:00</w:t>
      </w:r>
      <w:r>
        <w:rPr>
          <w:rFonts w:hint="eastAsia"/>
        </w:rPr>
        <w:t>），并且提供另外1名技术工程师作为储备工程师，储备工程师平时不在现场办公，在驻场工程师需要请假或者需要人员应急时才到现场进行技术支持。驻场供工程师为甲方机房内网络设备和系统提供及时响应的服务。乙方将提供一切必要的劳务、零件或材料，以使甲方签约设备正常运作。如需更换零件，则由乙方提供，更换下来的旧零件归乙方所有。此项服务包括对产品运作异常和故障进行检查并加以修理。除附件二中另有说明者外，此项服务乙方不另收费用。在寻求永久的解决办法之时，可能会提供暂时的应急措施供用户采用。</w:t>
      </w:r>
    </w:p>
    <w:p>
      <w:pPr>
        <w:pStyle w:val="6"/>
        <w:rPr>
          <w:rFonts w:hAnsi="宋体"/>
        </w:rPr>
      </w:pPr>
      <w:r>
        <w:rPr>
          <w:rFonts w:hint="eastAsia" w:hAnsi="宋体"/>
        </w:rPr>
        <w:t>2</w:t>
      </w:r>
      <w:r>
        <w:rPr>
          <w:rFonts w:hAnsi="宋体"/>
        </w:rPr>
        <w:t xml:space="preserve">.4.4 </w:t>
      </w:r>
      <w:r>
        <w:rPr>
          <w:rFonts w:hint="eastAsia" w:hAnsi="宋体"/>
        </w:rPr>
        <w:t>服务要求</w:t>
      </w:r>
    </w:p>
    <w:p>
      <w:pPr>
        <w:numPr>
          <w:ilvl w:val="0"/>
          <w:numId w:val="16"/>
        </w:numPr>
        <w:spacing w:line="360" w:lineRule="auto"/>
      </w:pPr>
      <w:r>
        <w:rPr>
          <w:rFonts w:hint="eastAsia"/>
        </w:rPr>
        <w:t>乙方在合同期内安排具有本科及以上学历、网络系统认证（HCIE或同级别认证）的工程师提供驻场服务，对网络系统进行定期主动巡检健康检查，其中接入设备机房两周一次，核心交换机房和汇聚交换机房一周一次，惠福西分院一周一次。</w:t>
      </w:r>
    </w:p>
    <w:p>
      <w:pPr>
        <w:numPr>
          <w:ilvl w:val="0"/>
          <w:numId w:val="16"/>
        </w:numPr>
        <w:spacing w:line="360" w:lineRule="auto"/>
      </w:pPr>
      <w:r>
        <w:rPr>
          <w:rFonts w:hint="eastAsia"/>
        </w:rPr>
        <w:t>乙方在服务期内需定时提供工作报告，包括月度巡检报告、季度服务报告（维护事件记录、网络评估报告、事件解决方案等），要求报告简洁清晰、重点突出、分析深入、建议合理。</w:t>
      </w:r>
    </w:p>
    <w:p>
      <w:pPr>
        <w:numPr>
          <w:ilvl w:val="0"/>
          <w:numId w:val="16"/>
        </w:numPr>
        <w:spacing w:line="360" w:lineRule="auto"/>
      </w:pPr>
      <w:r>
        <w:rPr>
          <w:rFonts w:hint="eastAsia"/>
        </w:rPr>
        <w:t>服务期内，乙方需主动配合甲方执行网络运维管理规范，并协助甲方制定网络管理相关制度，包括网络日常维护管理制度、驻场人员管理制度、非工作时间网络运维管理制度等。</w:t>
      </w:r>
    </w:p>
    <w:p>
      <w:pPr>
        <w:numPr>
          <w:ilvl w:val="0"/>
          <w:numId w:val="16"/>
        </w:numPr>
        <w:spacing w:line="360" w:lineRule="auto"/>
      </w:pPr>
      <w:r>
        <w:rPr>
          <w:rFonts w:hint="eastAsia"/>
        </w:rPr>
        <w:t>乙方的维护服务不包备件，在维护服务期内、乙方应备有充足的备件供紧急维修用，乙方应保证提供给甲方的备件件报价不得高于市场同期价格。</w:t>
      </w:r>
    </w:p>
    <w:p>
      <w:pPr>
        <w:spacing w:line="360" w:lineRule="auto"/>
      </w:pPr>
    </w:p>
    <w:p>
      <w:pPr>
        <w:pStyle w:val="6"/>
        <w:rPr>
          <w:rFonts w:hAnsi="宋体"/>
        </w:rPr>
      </w:pPr>
      <w:r>
        <w:rPr>
          <w:rFonts w:hint="eastAsia" w:hAnsi="宋体"/>
        </w:rPr>
        <w:t>2</w:t>
      </w:r>
      <w:r>
        <w:rPr>
          <w:rFonts w:hAnsi="宋体"/>
        </w:rPr>
        <w:t xml:space="preserve">.4.5 </w:t>
      </w:r>
      <w:r>
        <w:rPr>
          <w:rFonts w:hint="eastAsia" w:hAnsi="宋体"/>
        </w:rPr>
        <w:t>专属备机备件服务</w:t>
      </w:r>
    </w:p>
    <w:p>
      <w:pPr>
        <w:pStyle w:val="45"/>
        <w:numPr>
          <w:ilvl w:val="0"/>
          <w:numId w:val="17"/>
        </w:numPr>
        <w:spacing w:line="360" w:lineRule="auto"/>
        <w:ind w:firstLineChars="0"/>
      </w:pPr>
      <w:r>
        <w:rPr>
          <w:rFonts w:hint="eastAsia"/>
        </w:rPr>
        <w:t>服务商必须提供在广州设立的备件库及其备件库所在地详细信息。为保障服务质量和修复时限，要求服务商针对本次项目过保设备清单中的设备部署专用备机备件，服务期间不得挪用其他项目，并列出备机备件清单，供用户查验。</w:t>
      </w:r>
    </w:p>
    <w:p>
      <w:pPr>
        <w:pStyle w:val="45"/>
        <w:numPr>
          <w:ilvl w:val="0"/>
          <w:numId w:val="17"/>
        </w:numPr>
        <w:spacing w:line="360" w:lineRule="auto"/>
        <w:ind w:firstLineChars="0"/>
      </w:pPr>
      <w:r>
        <w:rPr>
          <w:rFonts w:hint="eastAsia"/>
        </w:rPr>
        <w:t>要求服务商针对过保设备的重要性，准备以下备件和备机，按照采购人要求把核心重要备件和备机放置现场。当设备出现故障时，由服务商技术人员及时取备件解决故障，或在故障无法在规定时限内修复启用备机，以确保用户业务系统的及时恢复。平时备件备机可以用来做测试、培训讲课使用，备件备机清单如下：</w:t>
      </w:r>
    </w:p>
    <w:p>
      <w:pPr>
        <w:pStyle w:val="7"/>
      </w:pPr>
      <w:r>
        <w:rPr>
          <w:rFonts w:hint="eastAsia"/>
        </w:rPr>
        <w:t>2</w:t>
      </w:r>
      <w:r>
        <w:t xml:space="preserve">.4.5.1 </w:t>
      </w:r>
      <w:r>
        <w:rPr>
          <w:rFonts w:hint="eastAsia"/>
        </w:rPr>
        <w:t>备机备件清单</w:t>
      </w:r>
    </w:p>
    <w:p>
      <w:pPr>
        <w:ind w:firstLine="420" w:firstLineChars="200"/>
      </w:pPr>
      <w:r>
        <w:t>(</w:t>
      </w:r>
      <w:r>
        <w:rPr>
          <w:rFonts w:hint="eastAsia"/>
        </w:rPr>
        <w:t>按照甲方要求可适当调整</w:t>
      </w:r>
      <w:r>
        <w:t>)</w:t>
      </w:r>
    </w:p>
    <w:tbl>
      <w:tblPr>
        <w:tblStyle w:val="3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524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1696" w:type="dxa"/>
            <w:shd w:val="clear" w:color="auto" w:fill="auto"/>
            <w:noWrap/>
            <w:vAlign w:val="center"/>
          </w:tcPr>
          <w:p>
            <w:pPr>
              <w:widowControl/>
              <w:rPr>
                <w:b/>
                <w:bCs/>
                <w:color w:val="000000"/>
                <w:kern w:val="0"/>
              </w:rPr>
            </w:pPr>
            <w:r>
              <w:rPr>
                <w:rFonts w:hint="eastAsia"/>
                <w:b/>
                <w:bCs/>
                <w:color w:val="000000"/>
                <w:kern w:val="0"/>
              </w:rPr>
              <w:t>产品名称</w:t>
            </w:r>
          </w:p>
        </w:tc>
        <w:tc>
          <w:tcPr>
            <w:tcW w:w="5245" w:type="dxa"/>
            <w:shd w:val="clear" w:color="auto" w:fill="auto"/>
            <w:noWrap/>
            <w:vAlign w:val="center"/>
          </w:tcPr>
          <w:p>
            <w:pPr>
              <w:widowControl/>
              <w:rPr>
                <w:b/>
                <w:bCs/>
                <w:color w:val="000000"/>
                <w:kern w:val="0"/>
              </w:rPr>
            </w:pPr>
            <w:r>
              <w:rPr>
                <w:rFonts w:hint="eastAsia"/>
                <w:b/>
                <w:bCs/>
                <w:color w:val="000000"/>
                <w:kern w:val="0"/>
              </w:rPr>
              <w:t>配置（不低于）</w:t>
            </w:r>
          </w:p>
        </w:tc>
        <w:tc>
          <w:tcPr>
            <w:tcW w:w="1276" w:type="dxa"/>
            <w:shd w:val="clear" w:color="auto" w:fill="auto"/>
            <w:noWrap/>
            <w:vAlign w:val="center"/>
          </w:tcPr>
          <w:p>
            <w:pPr>
              <w:widowControl/>
              <w:jc w:val="center"/>
              <w:rPr>
                <w:b/>
                <w:bCs/>
                <w:color w:val="000000"/>
                <w:kern w:val="0"/>
              </w:rPr>
            </w:pPr>
            <w:r>
              <w:rPr>
                <w:rFonts w:hint="eastAsia"/>
                <w:b/>
                <w:bCs/>
                <w:color w:val="000000"/>
                <w:kern w:val="0"/>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96" w:type="dxa"/>
            <w:shd w:val="clear" w:color="auto" w:fill="auto"/>
            <w:noWrap/>
            <w:vAlign w:val="center"/>
          </w:tcPr>
          <w:p>
            <w:pPr>
              <w:widowControl/>
              <w:rPr>
                <w:color w:val="000000"/>
                <w:kern w:val="0"/>
              </w:rPr>
            </w:pPr>
            <w:r>
              <w:rPr>
                <w:rFonts w:hint="eastAsia"/>
                <w:color w:val="000000"/>
                <w:kern w:val="0"/>
              </w:rPr>
              <w:t>Extreme X430</w:t>
            </w:r>
          </w:p>
        </w:tc>
        <w:tc>
          <w:tcPr>
            <w:tcW w:w="5245" w:type="dxa"/>
            <w:shd w:val="clear" w:color="auto" w:fill="auto"/>
            <w:vAlign w:val="center"/>
          </w:tcPr>
          <w:p>
            <w:pPr>
              <w:widowControl/>
              <w:rPr>
                <w:color w:val="000000"/>
                <w:kern w:val="0"/>
              </w:rPr>
            </w:pPr>
            <w:r>
              <w:rPr>
                <w:rFonts w:hint="eastAsia"/>
                <w:color w:val="000000"/>
                <w:kern w:val="0"/>
              </w:rPr>
              <w:t>整机，交换容量20Gbps，包转发率14.8Mpps</w:t>
            </w:r>
          </w:p>
        </w:tc>
        <w:tc>
          <w:tcPr>
            <w:tcW w:w="1276"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96" w:type="dxa"/>
            <w:shd w:val="clear" w:color="auto" w:fill="auto"/>
            <w:noWrap/>
            <w:vAlign w:val="center"/>
          </w:tcPr>
          <w:p>
            <w:pPr>
              <w:widowControl/>
              <w:rPr>
                <w:color w:val="000000"/>
                <w:kern w:val="0"/>
              </w:rPr>
            </w:pPr>
            <w:r>
              <w:rPr>
                <w:rFonts w:hint="eastAsia"/>
                <w:color w:val="000000"/>
                <w:kern w:val="0"/>
              </w:rPr>
              <w:t>H3C 5130</w:t>
            </w:r>
          </w:p>
        </w:tc>
        <w:tc>
          <w:tcPr>
            <w:tcW w:w="5245" w:type="dxa"/>
            <w:shd w:val="clear" w:color="auto" w:fill="auto"/>
            <w:vAlign w:val="center"/>
          </w:tcPr>
          <w:p>
            <w:pPr>
              <w:widowControl/>
              <w:rPr>
                <w:color w:val="000000"/>
                <w:kern w:val="0"/>
              </w:rPr>
            </w:pPr>
            <w:r>
              <w:rPr>
                <w:rFonts w:hint="eastAsia"/>
                <w:color w:val="000000"/>
                <w:kern w:val="0"/>
              </w:rPr>
              <w:t>整机，交换容量336Gbps，包转发率126Mpps</w:t>
            </w:r>
          </w:p>
        </w:tc>
        <w:tc>
          <w:tcPr>
            <w:tcW w:w="1276"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96" w:type="dxa"/>
            <w:shd w:val="clear" w:color="auto" w:fill="auto"/>
            <w:noWrap/>
            <w:vAlign w:val="center"/>
          </w:tcPr>
          <w:p>
            <w:pPr>
              <w:widowControl/>
              <w:rPr>
                <w:color w:val="000000"/>
                <w:kern w:val="0"/>
              </w:rPr>
            </w:pPr>
            <w:r>
              <w:rPr>
                <w:rFonts w:hint="eastAsia"/>
                <w:color w:val="000000"/>
                <w:kern w:val="0"/>
              </w:rPr>
              <w:t>华为 5720</w:t>
            </w:r>
          </w:p>
        </w:tc>
        <w:tc>
          <w:tcPr>
            <w:tcW w:w="5245" w:type="dxa"/>
            <w:shd w:val="clear" w:color="auto" w:fill="auto"/>
            <w:vAlign w:val="center"/>
          </w:tcPr>
          <w:p>
            <w:pPr>
              <w:widowControl/>
              <w:rPr>
                <w:color w:val="000000"/>
                <w:kern w:val="0"/>
              </w:rPr>
            </w:pPr>
            <w:r>
              <w:rPr>
                <w:rFonts w:hint="eastAsia"/>
                <w:color w:val="000000"/>
                <w:kern w:val="0"/>
              </w:rPr>
              <w:t>整机，交换容量598Gbps，包转发率168Mpps</w:t>
            </w:r>
          </w:p>
        </w:tc>
        <w:tc>
          <w:tcPr>
            <w:tcW w:w="1276"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96" w:type="dxa"/>
            <w:shd w:val="clear" w:color="auto" w:fill="auto"/>
            <w:noWrap/>
            <w:vAlign w:val="center"/>
          </w:tcPr>
          <w:p>
            <w:pPr>
              <w:widowControl/>
              <w:rPr>
                <w:color w:val="000000"/>
                <w:kern w:val="0"/>
              </w:rPr>
            </w:pPr>
            <w:r>
              <w:rPr>
                <w:rFonts w:hint="eastAsia"/>
                <w:color w:val="000000"/>
                <w:kern w:val="0"/>
              </w:rPr>
              <w:t>华为板卡</w:t>
            </w:r>
          </w:p>
          <w:p>
            <w:pPr>
              <w:widowControl/>
              <w:rPr>
                <w:color w:val="000000"/>
                <w:kern w:val="0"/>
              </w:rPr>
            </w:pPr>
            <w:r>
              <w:rPr>
                <w:color w:val="000000"/>
                <w:kern w:val="0"/>
              </w:rPr>
              <w:t>LST7G48TX5S1</w:t>
            </w:r>
          </w:p>
        </w:tc>
        <w:tc>
          <w:tcPr>
            <w:tcW w:w="5245" w:type="dxa"/>
            <w:shd w:val="clear" w:color="auto" w:fill="auto"/>
            <w:vAlign w:val="center"/>
          </w:tcPr>
          <w:p>
            <w:pPr>
              <w:widowControl/>
              <w:rPr>
                <w:color w:val="000000"/>
                <w:kern w:val="0"/>
              </w:rPr>
            </w:pPr>
            <w:r>
              <w:rPr>
                <w:rFonts w:hint="eastAsia"/>
                <w:color w:val="000000"/>
                <w:kern w:val="0"/>
              </w:rPr>
              <w:t>华为</w:t>
            </w:r>
            <w:r>
              <w:rPr>
                <w:color w:val="000000"/>
                <w:kern w:val="0"/>
              </w:rPr>
              <w:t xml:space="preserve">S12700E-8 </w:t>
            </w:r>
            <w:r>
              <w:rPr>
                <w:rFonts w:hint="eastAsia"/>
                <w:color w:val="000000"/>
                <w:kern w:val="0"/>
              </w:rPr>
              <w:t>板卡</w:t>
            </w:r>
          </w:p>
        </w:tc>
        <w:tc>
          <w:tcPr>
            <w:tcW w:w="1276" w:type="dxa"/>
            <w:shd w:val="clear" w:color="auto" w:fill="auto"/>
            <w:noWrap/>
            <w:vAlign w:val="center"/>
          </w:tcPr>
          <w:p>
            <w:pPr>
              <w:widowControl/>
              <w:jc w:val="center"/>
              <w:rPr>
                <w:color w:val="000000"/>
                <w:kern w:val="0"/>
              </w:rPr>
            </w:pPr>
            <w:r>
              <w:rPr>
                <w:rFonts w:hint="eastAsia"/>
                <w:color w:val="000000"/>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96" w:type="dxa"/>
            <w:shd w:val="clear" w:color="auto" w:fill="auto"/>
            <w:noWrap/>
            <w:vAlign w:val="center"/>
          </w:tcPr>
          <w:p>
            <w:pPr>
              <w:widowControl/>
              <w:rPr>
                <w:color w:val="000000"/>
                <w:kern w:val="0"/>
              </w:rPr>
            </w:pPr>
            <w:r>
              <w:rPr>
                <w:rFonts w:hint="eastAsia"/>
                <w:color w:val="000000"/>
                <w:kern w:val="0"/>
              </w:rPr>
              <w:t>华为板卡</w:t>
            </w:r>
          </w:p>
          <w:p>
            <w:pPr>
              <w:widowControl/>
              <w:rPr>
                <w:color w:val="000000"/>
                <w:kern w:val="0"/>
              </w:rPr>
            </w:pPr>
            <w:r>
              <w:rPr>
                <w:color w:val="000000"/>
                <w:kern w:val="0"/>
              </w:rPr>
              <w:t>CEL36LQFD-A</w:t>
            </w:r>
          </w:p>
        </w:tc>
        <w:tc>
          <w:tcPr>
            <w:tcW w:w="5245" w:type="dxa"/>
            <w:shd w:val="clear" w:color="auto" w:fill="auto"/>
            <w:vAlign w:val="center"/>
          </w:tcPr>
          <w:p>
            <w:pPr>
              <w:widowControl/>
              <w:rPr>
                <w:color w:val="000000"/>
                <w:kern w:val="0"/>
              </w:rPr>
            </w:pPr>
            <w:r>
              <w:rPr>
                <w:rFonts w:hint="eastAsia"/>
                <w:color w:val="000000"/>
                <w:kern w:val="0"/>
              </w:rPr>
              <w:t>华为</w:t>
            </w:r>
            <w:r>
              <w:rPr>
                <w:color w:val="000000"/>
                <w:kern w:val="0"/>
              </w:rPr>
              <w:t xml:space="preserve">CE-16808 </w:t>
            </w:r>
            <w:r>
              <w:rPr>
                <w:rFonts w:hint="eastAsia"/>
                <w:color w:val="000000"/>
                <w:kern w:val="0"/>
              </w:rPr>
              <w:t>板卡</w:t>
            </w:r>
          </w:p>
        </w:tc>
        <w:tc>
          <w:tcPr>
            <w:tcW w:w="1276" w:type="dxa"/>
            <w:shd w:val="clear" w:color="auto" w:fill="auto"/>
            <w:noWrap/>
            <w:vAlign w:val="center"/>
          </w:tcPr>
          <w:p>
            <w:pPr>
              <w:widowControl/>
              <w:jc w:val="center"/>
              <w:rPr>
                <w:color w:val="000000"/>
                <w:kern w:val="0"/>
              </w:rPr>
            </w:pPr>
            <w:r>
              <w:rPr>
                <w:rFonts w:hint="eastAsia"/>
                <w:color w:val="000000"/>
                <w:kern w:val="0"/>
              </w:rPr>
              <w:t>1</w:t>
            </w:r>
          </w:p>
        </w:tc>
      </w:tr>
    </w:tbl>
    <w:p/>
    <w:p>
      <w:pPr>
        <w:pStyle w:val="6"/>
        <w:rPr>
          <w:rFonts w:hAnsi="宋体"/>
        </w:rPr>
      </w:pPr>
      <w:r>
        <w:rPr>
          <w:rFonts w:hint="eastAsia" w:hAnsi="宋体"/>
        </w:rPr>
        <w:t>2</w:t>
      </w:r>
      <w:r>
        <w:rPr>
          <w:rFonts w:hAnsi="宋体"/>
        </w:rPr>
        <w:t xml:space="preserve">.4.6 </w:t>
      </w:r>
      <w:r>
        <w:rPr>
          <w:rFonts w:hint="eastAsia" w:hAnsi="宋体"/>
        </w:rPr>
        <w:t>光缆抢修要求</w:t>
      </w:r>
    </w:p>
    <w:p>
      <w:pPr>
        <w:spacing w:line="360" w:lineRule="auto"/>
        <w:ind w:firstLine="420" w:firstLineChars="200"/>
      </w:pPr>
      <w:r>
        <w:rPr>
          <w:rFonts w:hint="eastAsia"/>
        </w:rPr>
        <w:t>光缆抢修的服务范围包括省医东川路本部、惠福西分部、南海平洲分部和合群门诊部的内部自有光缆，不包括租用运营商的城市跨街光缆。服务费用每三个月清算一次。</w:t>
      </w:r>
    </w:p>
    <w:p>
      <w:pPr>
        <w:spacing w:line="360" w:lineRule="auto"/>
      </w:pPr>
      <w:r>
        <w:rPr>
          <w:rFonts w:hint="eastAsia"/>
        </w:rPr>
        <w:t>1） 光缆端接费用</w:t>
      </w:r>
    </w:p>
    <w:p>
      <w:pPr>
        <w:spacing w:line="360" w:lineRule="auto"/>
        <w:ind w:firstLine="420" w:firstLineChars="200"/>
      </w:pPr>
      <w:r>
        <w:rPr>
          <w:rFonts w:hint="eastAsia"/>
        </w:rPr>
        <w:t>当光纤端接部分意外损坏，乙方可以收取的抢修材料成本和人工费用，所用工具由乙方负责。</w:t>
      </w:r>
    </w:p>
    <w:p>
      <w:pPr>
        <w:spacing w:line="360" w:lineRule="auto"/>
      </w:pPr>
      <w:r>
        <w:rPr>
          <w:rFonts w:hint="eastAsia"/>
        </w:rPr>
        <w:t>2） 光缆中断接续费用</w:t>
      </w:r>
    </w:p>
    <w:p>
      <w:pPr>
        <w:spacing w:line="360" w:lineRule="auto"/>
        <w:ind w:firstLine="420" w:firstLineChars="200"/>
      </w:pPr>
      <w:r>
        <w:rPr>
          <w:rFonts w:hint="eastAsia"/>
        </w:rPr>
        <w:t>如果光缆中间折断，需要接续。如果需要增加新的缆材才能接续，则视缆材的类型和长度另外计费。如果涉及土木施工（如挖沟、凿墙等），则建筑材料另外收费。其它材料由乙方负责。在光缆接续前需要通过测试定位断点，测试费用见下文第3点。</w:t>
      </w:r>
    </w:p>
    <w:p>
      <w:pPr>
        <w:spacing w:line="360" w:lineRule="auto"/>
      </w:pPr>
      <w:r>
        <w:rPr>
          <w:rFonts w:hint="eastAsia"/>
        </w:rPr>
        <w:t>3） 光缆测试费用</w:t>
      </w:r>
    </w:p>
    <w:p>
      <w:pPr>
        <w:spacing w:line="360" w:lineRule="auto"/>
        <w:ind w:firstLine="420" w:firstLineChars="200"/>
      </w:pPr>
      <w:r>
        <w:rPr>
          <w:rFonts w:hint="eastAsia"/>
        </w:rPr>
        <w:t>光缆测试包括断点定位、传输损耗等测试，所需工具由乙方负责，所需材料及人工请报价。</w:t>
      </w:r>
    </w:p>
    <w:p>
      <w:pPr>
        <w:widowControl/>
        <w:jc w:val="left"/>
      </w:pPr>
      <w:r>
        <w:br w:type="page"/>
      </w:r>
    </w:p>
    <w:p>
      <w:pPr>
        <w:pStyle w:val="5"/>
      </w:pPr>
      <w:r>
        <w:rPr>
          <w:rFonts w:hint="eastAsia"/>
        </w:rPr>
        <w:t>2</w:t>
      </w:r>
      <w:r>
        <w:t>.5 运维团队支撑</w:t>
      </w:r>
      <w:r>
        <w:rPr>
          <w:rFonts w:hint="eastAsia"/>
        </w:rPr>
        <w:t>要求</w:t>
      </w:r>
    </w:p>
    <w:p>
      <w:pPr>
        <w:pStyle w:val="4"/>
        <w:spacing w:line="360" w:lineRule="auto"/>
        <w:rPr>
          <w:rFonts w:ascii="宋体" w:hAnsi="宋体"/>
        </w:rPr>
      </w:pPr>
      <w:r>
        <w:rPr>
          <w:rFonts w:hint="eastAsia" w:ascii="宋体" w:hAnsi="宋体"/>
        </w:rPr>
        <w:t>按要求组建基础架构运维服务团队，包括项目经理、相关技术驻场工程师和相关专业技术专家组成的服务团队。</w:t>
      </w:r>
    </w:p>
    <w:p>
      <w:pPr>
        <w:pStyle w:val="45"/>
        <w:numPr>
          <w:ilvl w:val="0"/>
          <w:numId w:val="18"/>
        </w:numPr>
        <w:spacing w:line="360" w:lineRule="auto"/>
        <w:ind w:left="851" w:firstLineChars="0"/>
      </w:pPr>
      <w:r>
        <w:t>安排专职项目经理，负责运维服务实施，推进</w:t>
      </w:r>
      <w:r>
        <w:rPr>
          <w:rFonts w:hint="eastAsia"/>
        </w:rPr>
        <w:t>信息管理处</w:t>
      </w:r>
      <w:r>
        <w:t>运维体系和制度、管理流程建设；</w:t>
      </w:r>
    </w:p>
    <w:p>
      <w:pPr>
        <w:pStyle w:val="45"/>
        <w:numPr>
          <w:ilvl w:val="0"/>
          <w:numId w:val="18"/>
        </w:numPr>
        <w:spacing w:line="360" w:lineRule="auto"/>
        <w:ind w:left="851" w:firstLineChars="0"/>
      </w:pPr>
      <w:r>
        <w:t>安排相关专业技术工程师组成的驻场服务团队：系统工程师1人，网络工程师1人，负责及时响应和处理基础架构信息设备（主机、存储、网络设备、数据库、</w:t>
      </w:r>
      <w:r>
        <w:rPr>
          <w:rFonts w:hint="eastAsia"/>
        </w:rPr>
        <w:t>虚拟化</w:t>
      </w:r>
      <w:r>
        <w:t>等）服务需求、定期巡检、以及解决相关故障问题等，保障医院数据中心系统稳定运行</w:t>
      </w:r>
      <w:r>
        <w:rPr>
          <w:rFonts w:hint="eastAsia"/>
        </w:rPr>
        <w:t>，非工作时间应安排远程值班人员。</w:t>
      </w:r>
      <w:r>
        <w:t>驻场技术工程师需要符合相关专业要求及一定年限的相关工作经验，且上岗前需要由</w:t>
      </w:r>
      <w:r>
        <w:rPr>
          <w:rFonts w:hint="eastAsia"/>
        </w:rPr>
        <w:t>信息管理处</w:t>
      </w:r>
      <w:r>
        <w:t>面试认可</w:t>
      </w:r>
      <w:r>
        <w:rPr>
          <w:rFonts w:hint="eastAsia"/>
        </w:rPr>
        <w:t>；</w:t>
      </w:r>
    </w:p>
    <w:p>
      <w:pPr>
        <w:pStyle w:val="45"/>
        <w:numPr>
          <w:ilvl w:val="0"/>
          <w:numId w:val="18"/>
        </w:numPr>
        <w:spacing w:line="360" w:lineRule="auto"/>
        <w:ind w:left="851" w:firstLineChars="0"/>
      </w:pPr>
      <w:r>
        <w:rPr>
          <w:rFonts w:hint="eastAsia"/>
        </w:rPr>
        <w:t>提供另外</w:t>
      </w:r>
      <w:r>
        <w:t>2名技术工程师</w:t>
      </w:r>
      <w:r>
        <w:rPr>
          <w:rFonts w:hint="eastAsia"/>
        </w:rPr>
        <w:t>（</w:t>
      </w:r>
      <w:r>
        <w:t>系统工程师</w:t>
      </w:r>
      <w:r>
        <w:rPr>
          <w:rFonts w:hint="eastAsia"/>
        </w:rPr>
        <w:t>和</w:t>
      </w:r>
      <w:r>
        <w:t>网络工程师</w:t>
      </w:r>
      <w:r>
        <w:rPr>
          <w:rFonts w:hint="eastAsia"/>
        </w:rPr>
        <w:t>各1名）</w:t>
      </w:r>
      <w:r>
        <w:t>作为储备工程师，储备工程师平时可不在现场办公</w:t>
      </w:r>
      <w:r>
        <w:rPr>
          <w:rFonts w:hint="eastAsia"/>
        </w:rPr>
        <w:t>，但需要每月安排2天到现场熟悉环境</w:t>
      </w:r>
      <w:r>
        <w:t>，在驻场工程师请假或者需要人员应急时</w:t>
      </w:r>
      <w:r>
        <w:rPr>
          <w:rFonts w:hint="eastAsia"/>
        </w:rPr>
        <w:t>，可以立即</w:t>
      </w:r>
      <w:r>
        <w:t>到现场进行技术支持</w:t>
      </w:r>
      <w:r>
        <w:rPr>
          <w:rFonts w:hint="eastAsia"/>
        </w:rPr>
        <w:t>；</w:t>
      </w:r>
    </w:p>
    <w:p>
      <w:pPr>
        <w:pStyle w:val="45"/>
        <w:numPr>
          <w:ilvl w:val="0"/>
          <w:numId w:val="18"/>
        </w:numPr>
        <w:spacing w:line="360" w:lineRule="auto"/>
        <w:ind w:left="851" w:firstLineChars="0"/>
      </w:pPr>
      <w:r>
        <w:t>建立后台专家技术服务团队，负责支持驻场技术工程师工作，并解决处理驻场工程师无法处理的事情，并根据需要安排到现场工作</w:t>
      </w:r>
      <w:r>
        <w:rPr>
          <w:rFonts w:hint="eastAsia"/>
        </w:rPr>
        <w:t>；</w:t>
      </w:r>
    </w:p>
    <w:p>
      <w:pPr>
        <w:pStyle w:val="45"/>
        <w:numPr>
          <w:ilvl w:val="0"/>
          <w:numId w:val="18"/>
        </w:numPr>
        <w:spacing w:line="360" w:lineRule="auto"/>
        <w:ind w:left="851" w:firstLineChars="0"/>
      </w:pPr>
      <w:r>
        <w:t>现场驻场人员要求:</w:t>
      </w:r>
    </w:p>
    <w:p>
      <w:pPr>
        <w:pStyle w:val="45"/>
        <w:numPr>
          <w:ilvl w:val="0"/>
          <w:numId w:val="19"/>
        </w:numPr>
        <w:spacing w:line="360" w:lineRule="auto"/>
        <w:ind w:left="1276" w:firstLineChars="0"/>
      </w:pPr>
      <w:r>
        <w:t>乙方参加项目的人员必须为乙方的正式员工，不得委派实习人员参加本合同项下服务，乙方为履行本合同投入的工作人员及职责和分工应经甲方确认</w:t>
      </w:r>
      <w:r>
        <w:rPr>
          <w:rFonts w:hint="eastAsia"/>
        </w:rPr>
        <w:t>；</w:t>
      </w:r>
    </w:p>
    <w:p>
      <w:pPr>
        <w:pStyle w:val="45"/>
        <w:numPr>
          <w:ilvl w:val="0"/>
          <w:numId w:val="19"/>
        </w:numPr>
        <w:spacing w:line="360" w:lineRule="auto"/>
        <w:ind w:left="1276" w:firstLineChars="0"/>
      </w:pPr>
      <w:r>
        <w:rPr>
          <w:rFonts w:hint="eastAsia"/>
        </w:rPr>
        <w:t>乙方在项目过程中不得随意更换现场人员，如确有需要更换的，必须先得到甲方的认可；</w:t>
      </w:r>
    </w:p>
    <w:p>
      <w:pPr>
        <w:pStyle w:val="45"/>
        <w:numPr>
          <w:ilvl w:val="0"/>
          <w:numId w:val="19"/>
        </w:numPr>
        <w:spacing w:line="360" w:lineRule="auto"/>
        <w:ind w:left="1276" w:firstLineChars="0"/>
      </w:pPr>
      <w:r>
        <w:t>乙方</w:t>
      </w:r>
      <w:r>
        <w:rPr>
          <w:rFonts w:hint="eastAsia"/>
        </w:rPr>
        <w:t>派驻项目的</w:t>
      </w:r>
      <w:r>
        <w:t>人员应按照甲方作息时间计算工作日（正常工作8:00-18:00），元旦、春节等节假日放假时间则参照国家的相关公布。对于甲方的重大故障（如主干网络瘫痪</w:t>
      </w:r>
      <w:r>
        <w:rPr>
          <w:rFonts w:hint="eastAsia"/>
        </w:rPr>
        <w:t>、数据库读写中断、虚拟化平台无法访问</w:t>
      </w:r>
      <w:r>
        <w:t>等）、应增派专业人员到现场提供全天候24小时的应急抢修支持</w:t>
      </w:r>
      <w:r>
        <w:rPr>
          <w:rFonts w:hint="eastAsia"/>
        </w:rPr>
        <w:t>；</w:t>
      </w:r>
    </w:p>
    <w:p>
      <w:pPr>
        <w:pStyle w:val="45"/>
        <w:numPr>
          <w:ilvl w:val="0"/>
          <w:numId w:val="19"/>
        </w:numPr>
        <w:spacing w:line="360" w:lineRule="auto"/>
        <w:ind w:left="1276" w:firstLineChars="0"/>
      </w:pPr>
      <w:r>
        <w:t>乙方的相关人员应当严格遵守甲方的有关规章制度，作好信息安全和信息保密工作，不泄露、不扩散甲方的数据和机密</w:t>
      </w:r>
      <w:r>
        <w:rPr>
          <w:rFonts w:hint="eastAsia"/>
        </w:rPr>
        <w:t>；</w:t>
      </w:r>
    </w:p>
    <w:p>
      <w:pPr>
        <w:pStyle w:val="45"/>
        <w:numPr>
          <w:ilvl w:val="0"/>
          <w:numId w:val="19"/>
        </w:numPr>
        <w:spacing w:line="360" w:lineRule="auto"/>
        <w:ind w:left="1276" w:firstLineChars="0"/>
      </w:pPr>
      <w:r>
        <w:rPr>
          <w:rFonts w:hint="eastAsia"/>
        </w:rPr>
        <w:t>乙方在提供维护服务前有义务再次确认甲方数据备份情况。</w:t>
      </w:r>
    </w:p>
    <w:p>
      <w:pPr>
        <w:pStyle w:val="45"/>
        <w:numPr>
          <w:ilvl w:val="0"/>
          <w:numId w:val="18"/>
        </w:numPr>
        <w:ind w:left="851" w:firstLineChars="0"/>
      </w:pPr>
      <w:r>
        <w:t>人员岗位职责要求：</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5245"/>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pPr>
              <w:pStyle w:val="4"/>
              <w:ind w:firstLine="0"/>
              <w:jc w:val="center"/>
              <w:rPr>
                <w:rFonts w:ascii="宋体" w:hAnsi="宋体"/>
                <w:b/>
                <w:bCs/>
                <w:sz w:val="21"/>
                <w:szCs w:val="21"/>
              </w:rPr>
            </w:pPr>
            <w:r>
              <w:rPr>
                <w:rFonts w:hint="eastAsia" w:ascii="宋体" w:hAnsi="宋体"/>
                <w:b/>
                <w:bCs/>
                <w:sz w:val="21"/>
                <w:szCs w:val="21"/>
              </w:rPr>
              <w:t>岗位名称</w:t>
            </w:r>
          </w:p>
        </w:tc>
        <w:tc>
          <w:tcPr>
            <w:tcW w:w="1701" w:type="dxa"/>
            <w:vAlign w:val="center"/>
          </w:tcPr>
          <w:p>
            <w:pPr>
              <w:pStyle w:val="4"/>
              <w:spacing w:line="360" w:lineRule="auto"/>
              <w:ind w:firstLine="0"/>
              <w:jc w:val="center"/>
              <w:rPr>
                <w:rFonts w:ascii="宋体" w:hAnsi="宋体"/>
                <w:b/>
                <w:bCs/>
                <w:sz w:val="21"/>
                <w:szCs w:val="21"/>
              </w:rPr>
            </w:pPr>
            <w:r>
              <w:rPr>
                <w:rFonts w:ascii="宋体" w:hAnsi="宋体"/>
                <w:b/>
                <w:bCs/>
                <w:sz w:val="21"/>
                <w:szCs w:val="21"/>
              </w:rPr>
              <w:t>岗位职责</w:t>
            </w:r>
          </w:p>
        </w:tc>
        <w:tc>
          <w:tcPr>
            <w:tcW w:w="5245" w:type="dxa"/>
            <w:vAlign w:val="center"/>
          </w:tcPr>
          <w:p>
            <w:pPr>
              <w:pStyle w:val="4"/>
              <w:spacing w:line="276" w:lineRule="auto"/>
              <w:ind w:firstLine="0"/>
              <w:jc w:val="center"/>
              <w:rPr>
                <w:rFonts w:ascii="宋体" w:hAnsi="宋体"/>
                <w:b/>
                <w:bCs/>
                <w:sz w:val="21"/>
                <w:szCs w:val="21"/>
              </w:rPr>
            </w:pPr>
            <w:r>
              <w:rPr>
                <w:rFonts w:ascii="宋体" w:hAnsi="宋体"/>
                <w:b/>
                <w:bCs/>
                <w:sz w:val="21"/>
                <w:szCs w:val="21"/>
              </w:rPr>
              <w:t>岗位要求</w:t>
            </w:r>
          </w:p>
        </w:tc>
        <w:tc>
          <w:tcPr>
            <w:tcW w:w="640" w:type="dxa"/>
            <w:vAlign w:val="center"/>
          </w:tcPr>
          <w:p>
            <w:pPr>
              <w:pStyle w:val="4"/>
              <w:ind w:firstLine="0"/>
              <w:jc w:val="center"/>
              <w:rPr>
                <w:rFonts w:ascii="宋体" w:hAnsi="宋体"/>
                <w:b/>
                <w:bCs/>
                <w:sz w:val="21"/>
                <w:szCs w:val="21"/>
              </w:rPr>
            </w:pPr>
            <w:r>
              <w:rPr>
                <w:rFonts w:ascii="宋体" w:hAnsi="宋体"/>
                <w:b/>
                <w:bCs/>
                <w:sz w:val="21"/>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4"/>
              <w:ind w:firstLine="0"/>
              <w:jc w:val="center"/>
              <w:rPr>
                <w:rFonts w:ascii="宋体" w:hAnsi="宋体"/>
                <w:sz w:val="21"/>
                <w:szCs w:val="21"/>
              </w:rPr>
            </w:pPr>
            <w:r>
              <w:rPr>
                <w:rFonts w:hint="eastAsia" w:ascii="宋体" w:hAnsi="宋体"/>
                <w:sz w:val="21"/>
                <w:szCs w:val="21"/>
              </w:rPr>
              <w:t>项目经理</w:t>
            </w:r>
          </w:p>
        </w:tc>
        <w:tc>
          <w:tcPr>
            <w:tcW w:w="1701" w:type="dxa"/>
            <w:vAlign w:val="center"/>
          </w:tcPr>
          <w:p>
            <w:pPr>
              <w:pStyle w:val="4"/>
              <w:spacing w:line="360" w:lineRule="auto"/>
              <w:ind w:firstLine="0"/>
              <w:rPr>
                <w:rFonts w:ascii="宋体" w:hAnsi="宋体"/>
                <w:sz w:val="21"/>
                <w:szCs w:val="21"/>
              </w:rPr>
            </w:pPr>
            <w:r>
              <w:rPr>
                <w:rFonts w:hint="eastAsia" w:ascii="宋体" w:hAnsi="宋体"/>
                <w:sz w:val="21"/>
                <w:szCs w:val="21"/>
              </w:rPr>
              <w:t>负责运维项目实施管理</w:t>
            </w:r>
          </w:p>
          <w:p>
            <w:pPr>
              <w:pStyle w:val="4"/>
              <w:spacing w:line="360" w:lineRule="auto"/>
              <w:ind w:firstLine="0"/>
              <w:rPr>
                <w:rFonts w:ascii="宋体" w:hAnsi="宋体"/>
                <w:sz w:val="21"/>
                <w:szCs w:val="21"/>
              </w:rPr>
            </w:pPr>
            <w:r>
              <w:rPr>
                <w:rFonts w:hint="eastAsia" w:ascii="宋体" w:hAnsi="宋体"/>
                <w:sz w:val="21"/>
                <w:szCs w:val="21"/>
              </w:rPr>
              <w:t>推进信息管理处运维制度</w:t>
            </w:r>
          </w:p>
          <w:p>
            <w:pPr>
              <w:pStyle w:val="4"/>
              <w:spacing w:line="360" w:lineRule="auto"/>
              <w:ind w:firstLine="0"/>
              <w:rPr>
                <w:rFonts w:ascii="宋体" w:hAnsi="宋体"/>
                <w:sz w:val="21"/>
                <w:szCs w:val="21"/>
              </w:rPr>
            </w:pPr>
            <w:r>
              <w:rPr>
                <w:rFonts w:hint="eastAsia" w:ascii="宋体" w:hAnsi="宋体"/>
                <w:sz w:val="21"/>
                <w:szCs w:val="21"/>
              </w:rPr>
              <w:t>管理流程的完善和优化</w:t>
            </w:r>
          </w:p>
        </w:tc>
        <w:tc>
          <w:tcPr>
            <w:tcW w:w="5245" w:type="dxa"/>
          </w:tcPr>
          <w:p>
            <w:pPr>
              <w:pStyle w:val="4"/>
              <w:numPr>
                <w:ilvl w:val="0"/>
                <w:numId w:val="20"/>
              </w:numPr>
              <w:spacing w:line="276" w:lineRule="auto"/>
              <w:rPr>
                <w:rFonts w:ascii="宋体" w:hAnsi="宋体"/>
                <w:sz w:val="21"/>
                <w:szCs w:val="21"/>
              </w:rPr>
            </w:pPr>
            <w:r>
              <w:rPr>
                <w:rFonts w:hint="eastAsia" w:ascii="宋体" w:hAnsi="宋体"/>
                <w:sz w:val="21"/>
                <w:szCs w:val="21"/>
              </w:rPr>
              <w:t>本科或以上学历，计算机或项目管理相关专业、具备</w:t>
            </w:r>
            <w:r>
              <w:rPr>
                <w:rFonts w:ascii="宋体" w:hAnsi="宋体"/>
                <w:sz w:val="21"/>
                <w:szCs w:val="21"/>
              </w:rPr>
              <w:t>PMP证书，具有计算机技术与软件专业技术资格证书，专业类别为系统集成项目管理工程师，具有ITIL证书，工作经验10年以上且有3个以上同类项目管理经验</w:t>
            </w:r>
            <w:r>
              <w:rPr>
                <w:rFonts w:hint="eastAsia" w:ascii="宋体" w:hAnsi="宋体"/>
                <w:sz w:val="21"/>
                <w:szCs w:val="21"/>
              </w:rPr>
              <w:t>；</w:t>
            </w:r>
          </w:p>
          <w:p>
            <w:pPr>
              <w:pStyle w:val="4"/>
              <w:numPr>
                <w:ilvl w:val="0"/>
                <w:numId w:val="20"/>
              </w:numPr>
              <w:spacing w:line="276" w:lineRule="auto"/>
              <w:rPr>
                <w:rFonts w:ascii="宋体" w:hAnsi="宋体"/>
                <w:sz w:val="21"/>
                <w:szCs w:val="21"/>
              </w:rPr>
            </w:pPr>
            <w:r>
              <w:rPr>
                <w:rFonts w:ascii="宋体" w:hAnsi="宋体"/>
                <w:sz w:val="21"/>
                <w:szCs w:val="21"/>
              </w:rPr>
              <w:t>熟悉ISO9001、ISO20000，及IT运维及具备运维体系落地经验，熟悉数据中心运维管理规范、技术标准、安全要求</w:t>
            </w:r>
            <w:r>
              <w:rPr>
                <w:rFonts w:hint="eastAsia" w:ascii="宋体" w:hAnsi="宋体"/>
                <w:sz w:val="21"/>
                <w:szCs w:val="21"/>
              </w:rPr>
              <w:t>；</w:t>
            </w:r>
          </w:p>
          <w:p>
            <w:pPr>
              <w:pStyle w:val="4"/>
              <w:numPr>
                <w:ilvl w:val="0"/>
                <w:numId w:val="20"/>
              </w:numPr>
              <w:spacing w:line="276" w:lineRule="auto"/>
              <w:rPr>
                <w:rFonts w:ascii="宋体" w:hAnsi="宋体"/>
                <w:sz w:val="21"/>
                <w:szCs w:val="21"/>
              </w:rPr>
            </w:pPr>
            <w:r>
              <w:rPr>
                <w:rFonts w:ascii="宋体" w:hAnsi="宋体"/>
                <w:sz w:val="21"/>
                <w:szCs w:val="21"/>
              </w:rPr>
              <w:t>有良好的计算机专业技术，沟通协调能力突出，较好的文字功底</w:t>
            </w:r>
            <w:r>
              <w:rPr>
                <w:rFonts w:hint="eastAsia" w:ascii="宋体" w:hAnsi="宋体"/>
                <w:sz w:val="21"/>
                <w:szCs w:val="21"/>
              </w:rPr>
              <w:t>；</w:t>
            </w:r>
          </w:p>
          <w:p>
            <w:pPr>
              <w:pStyle w:val="4"/>
              <w:numPr>
                <w:ilvl w:val="0"/>
                <w:numId w:val="20"/>
              </w:numPr>
              <w:spacing w:line="276" w:lineRule="auto"/>
              <w:rPr>
                <w:rFonts w:ascii="宋体" w:hAnsi="宋体"/>
                <w:sz w:val="21"/>
                <w:szCs w:val="21"/>
              </w:rPr>
            </w:pPr>
            <w:r>
              <w:rPr>
                <w:rFonts w:ascii="宋体" w:hAnsi="宋体"/>
                <w:sz w:val="21"/>
                <w:szCs w:val="21"/>
              </w:rPr>
              <w:t>项目把控能力强，执行力强，有责任心</w:t>
            </w:r>
            <w:r>
              <w:rPr>
                <w:rFonts w:hint="eastAsia" w:ascii="宋体" w:hAnsi="宋体"/>
                <w:sz w:val="21"/>
                <w:szCs w:val="21"/>
              </w:rPr>
              <w:t>；</w:t>
            </w:r>
          </w:p>
          <w:p>
            <w:pPr>
              <w:pStyle w:val="4"/>
              <w:numPr>
                <w:ilvl w:val="0"/>
                <w:numId w:val="20"/>
              </w:numPr>
              <w:spacing w:line="276" w:lineRule="auto"/>
              <w:rPr>
                <w:rFonts w:ascii="宋体" w:hAnsi="宋体"/>
                <w:sz w:val="21"/>
                <w:szCs w:val="21"/>
              </w:rPr>
            </w:pPr>
            <w:r>
              <w:rPr>
                <w:rFonts w:hint="eastAsia" w:ascii="宋体" w:hAnsi="宋体"/>
                <w:sz w:val="21"/>
                <w:szCs w:val="21"/>
              </w:rPr>
              <w:t>项目经理需定期或按甲方要求前往现场进行项目汇报或项目沟通交流。</w:t>
            </w:r>
          </w:p>
        </w:tc>
        <w:tc>
          <w:tcPr>
            <w:tcW w:w="640" w:type="dxa"/>
            <w:vAlign w:val="center"/>
          </w:tcPr>
          <w:p>
            <w:pPr>
              <w:pStyle w:val="4"/>
              <w:ind w:firstLine="0"/>
              <w:jc w:val="center"/>
              <w:rPr>
                <w:rFonts w:ascii="宋体" w:hAnsi="宋体"/>
                <w:sz w:val="21"/>
                <w:szCs w:val="21"/>
              </w:rPr>
            </w:pPr>
            <w:r>
              <w:rPr>
                <w:rFonts w:hint="eastAsia" w:ascii="宋体" w:hAnsi="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4"/>
              <w:ind w:firstLine="0"/>
              <w:jc w:val="center"/>
              <w:rPr>
                <w:rFonts w:ascii="宋体" w:hAnsi="宋体"/>
                <w:sz w:val="21"/>
                <w:szCs w:val="21"/>
              </w:rPr>
            </w:pPr>
            <w:r>
              <w:rPr>
                <w:rFonts w:hint="eastAsia" w:ascii="宋体" w:hAnsi="宋体"/>
                <w:sz w:val="21"/>
                <w:szCs w:val="21"/>
              </w:rPr>
              <w:t>系统工程师</w:t>
            </w:r>
          </w:p>
        </w:tc>
        <w:tc>
          <w:tcPr>
            <w:tcW w:w="1701" w:type="dxa"/>
            <w:vAlign w:val="center"/>
          </w:tcPr>
          <w:p>
            <w:pPr>
              <w:pStyle w:val="4"/>
              <w:spacing w:line="360" w:lineRule="auto"/>
              <w:ind w:firstLine="0"/>
              <w:rPr>
                <w:rFonts w:ascii="宋体" w:hAnsi="宋体"/>
                <w:sz w:val="21"/>
                <w:szCs w:val="21"/>
              </w:rPr>
            </w:pPr>
            <w:r>
              <w:rPr>
                <w:rFonts w:hint="eastAsia" w:ascii="宋体" w:hAnsi="宋体"/>
                <w:sz w:val="21"/>
                <w:szCs w:val="21"/>
              </w:rPr>
              <w:t>负责数据库及虚拟化平台：</w:t>
            </w:r>
          </w:p>
          <w:p>
            <w:pPr>
              <w:pStyle w:val="4"/>
              <w:spacing w:line="360" w:lineRule="auto"/>
              <w:ind w:firstLine="0"/>
              <w:rPr>
                <w:rFonts w:ascii="宋体" w:hAnsi="宋体"/>
                <w:sz w:val="21"/>
                <w:szCs w:val="21"/>
              </w:rPr>
            </w:pPr>
            <w:r>
              <w:rPr>
                <w:rFonts w:hint="eastAsia" w:ascii="宋体" w:hAnsi="宋体"/>
                <w:sz w:val="21"/>
                <w:szCs w:val="21"/>
              </w:rPr>
              <w:t>日常维护</w:t>
            </w:r>
          </w:p>
          <w:p>
            <w:pPr>
              <w:pStyle w:val="4"/>
              <w:spacing w:line="360" w:lineRule="auto"/>
              <w:ind w:firstLine="0"/>
              <w:rPr>
                <w:rFonts w:ascii="宋体" w:hAnsi="宋体"/>
                <w:sz w:val="21"/>
                <w:szCs w:val="21"/>
              </w:rPr>
            </w:pPr>
            <w:r>
              <w:rPr>
                <w:rFonts w:hint="eastAsia" w:ascii="宋体" w:hAnsi="宋体"/>
                <w:sz w:val="21"/>
                <w:szCs w:val="21"/>
              </w:rPr>
              <w:t>安装配置</w:t>
            </w:r>
          </w:p>
          <w:p>
            <w:pPr>
              <w:pStyle w:val="4"/>
              <w:spacing w:line="360" w:lineRule="auto"/>
              <w:ind w:firstLine="0"/>
              <w:rPr>
                <w:rFonts w:ascii="宋体" w:hAnsi="宋体"/>
                <w:sz w:val="21"/>
                <w:szCs w:val="21"/>
              </w:rPr>
            </w:pPr>
            <w:r>
              <w:rPr>
                <w:rFonts w:hint="eastAsia" w:ascii="宋体" w:hAnsi="宋体"/>
                <w:sz w:val="21"/>
                <w:szCs w:val="21"/>
              </w:rPr>
              <w:t>故障解决</w:t>
            </w:r>
          </w:p>
          <w:p>
            <w:pPr>
              <w:pStyle w:val="4"/>
              <w:spacing w:line="360" w:lineRule="auto"/>
              <w:ind w:firstLine="0"/>
              <w:rPr>
                <w:rFonts w:ascii="宋体" w:hAnsi="宋体"/>
                <w:sz w:val="21"/>
                <w:szCs w:val="21"/>
              </w:rPr>
            </w:pPr>
            <w:r>
              <w:rPr>
                <w:rFonts w:hint="eastAsia" w:ascii="宋体" w:hAnsi="宋体"/>
                <w:sz w:val="21"/>
                <w:szCs w:val="21"/>
              </w:rPr>
              <w:t>巡检服务</w:t>
            </w:r>
          </w:p>
          <w:p>
            <w:pPr>
              <w:pStyle w:val="4"/>
              <w:spacing w:line="360" w:lineRule="auto"/>
              <w:ind w:firstLine="0"/>
              <w:rPr>
                <w:rFonts w:ascii="宋体" w:hAnsi="宋体"/>
                <w:sz w:val="21"/>
                <w:szCs w:val="21"/>
              </w:rPr>
            </w:pPr>
            <w:r>
              <w:rPr>
                <w:rFonts w:hint="eastAsia" w:ascii="宋体" w:hAnsi="宋体"/>
                <w:sz w:val="21"/>
                <w:szCs w:val="21"/>
              </w:rPr>
              <w:t>升级服务</w:t>
            </w:r>
          </w:p>
          <w:p>
            <w:pPr>
              <w:pStyle w:val="4"/>
              <w:spacing w:line="360" w:lineRule="auto"/>
              <w:ind w:firstLine="0"/>
              <w:rPr>
                <w:rFonts w:ascii="宋体" w:hAnsi="宋体"/>
                <w:sz w:val="21"/>
                <w:szCs w:val="21"/>
              </w:rPr>
            </w:pPr>
            <w:r>
              <w:rPr>
                <w:rFonts w:hint="eastAsia" w:ascii="宋体" w:hAnsi="宋体"/>
                <w:sz w:val="21"/>
                <w:szCs w:val="21"/>
              </w:rPr>
              <w:t>迁移服务</w:t>
            </w:r>
          </w:p>
          <w:p>
            <w:pPr>
              <w:pStyle w:val="4"/>
              <w:spacing w:line="360" w:lineRule="auto"/>
              <w:ind w:firstLine="0"/>
              <w:rPr>
                <w:rFonts w:ascii="宋体" w:hAnsi="宋体"/>
                <w:sz w:val="21"/>
                <w:szCs w:val="21"/>
              </w:rPr>
            </w:pPr>
            <w:r>
              <w:rPr>
                <w:rFonts w:hint="eastAsia" w:ascii="宋体" w:hAnsi="宋体"/>
                <w:sz w:val="21"/>
                <w:szCs w:val="21"/>
              </w:rPr>
              <w:t>扩容优化等</w:t>
            </w:r>
          </w:p>
        </w:tc>
        <w:tc>
          <w:tcPr>
            <w:tcW w:w="5245" w:type="dxa"/>
          </w:tcPr>
          <w:p>
            <w:pPr>
              <w:pStyle w:val="4"/>
              <w:numPr>
                <w:ilvl w:val="0"/>
                <w:numId w:val="21"/>
              </w:numPr>
              <w:spacing w:line="276" w:lineRule="auto"/>
              <w:rPr>
                <w:rFonts w:ascii="宋体" w:hAnsi="宋体"/>
                <w:sz w:val="21"/>
                <w:szCs w:val="21"/>
              </w:rPr>
            </w:pPr>
            <w:r>
              <w:rPr>
                <w:rFonts w:hint="eastAsia" w:ascii="宋体" w:hAnsi="宋体"/>
                <w:sz w:val="21"/>
                <w:szCs w:val="21"/>
              </w:rPr>
              <w:t>本科及以上学历、持有有效的</w:t>
            </w:r>
            <w:r>
              <w:rPr>
                <w:rFonts w:ascii="宋体" w:hAnsi="宋体"/>
                <w:sz w:val="21"/>
                <w:szCs w:val="21"/>
              </w:rPr>
              <w:t>VMware VCAP 认证，10年以上相关工作经验；</w:t>
            </w:r>
          </w:p>
          <w:p>
            <w:pPr>
              <w:pStyle w:val="4"/>
              <w:numPr>
                <w:ilvl w:val="0"/>
                <w:numId w:val="21"/>
              </w:numPr>
              <w:spacing w:line="276" w:lineRule="auto"/>
              <w:rPr>
                <w:rFonts w:ascii="宋体" w:hAnsi="宋体"/>
                <w:sz w:val="21"/>
                <w:szCs w:val="21"/>
              </w:rPr>
            </w:pPr>
            <w:r>
              <w:rPr>
                <w:rFonts w:hint="eastAsia" w:ascii="宋体" w:hAnsi="宋体"/>
                <w:sz w:val="21"/>
                <w:szCs w:val="21"/>
              </w:rPr>
              <w:t>熟悉</w:t>
            </w:r>
            <w:r>
              <w:rPr>
                <w:rFonts w:ascii="宋体" w:hAnsi="宋体"/>
                <w:sz w:val="21"/>
                <w:szCs w:val="21"/>
              </w:rPr>
              <w:t>Oracle、MySQL、SQL SERVER等数据库及集群架构深入理解，并具有丰富的日常维护管理和优化经验，具有很强的故障定位和问题解决能力；</w:t>
            </w:r>
          </w:p>
          <w:p>
            <w:pPr>
              <w:pStyle w:val="4"/>
              <w:numPr>
                <w:ilvl w:val="0"/>
                <w:numId w:val="21"/>
              </w:numPr>
              <w:spacing w:line="276" w:lineRule="auto"/>
              <w:rPr>
                <w:rFonts w:ascii="宋体" w:hAnsi="宋体"/>
                <w:sz w:val="21"/>
                <w:szCs w:val="21"/>
              </w:rPr>
            </w:pPr>
            <w:r>
              <w:rPr>
                <w:rFonts w:hint="eastAsia" w:ascii="宋体" w:hAnsi="宋体"/>
                <w:sz w:val="21"/>
                <w:szCs w:val="21"/>
              </w:rPr>
              <w:t>熟悉</w:t>
            </w:r>
            <w:r>
              <w:rPr>
                <w:rFonts w:ascii="宋体" w:hAnsi="宋体"/>
                <w:sz w:val="21"/>
                <w:szCs w:val="21"/>
              </w:rPr>
              <w:t>linux平台下的RHCS集群和nginx、tomca、zabbix等常用服务配置，能够快速部署、配置及排错；</w:t>
            </w:r>
          </w:p>
          <w:p>
            <w:pPr>
              <w:pStyle w:val="4"/>
              <w:numPr>
                <w:ilvl w:val="0"/>
                <w:numId w:val="21"/>
              </w:numPr>
              <w:spacing w:line="276" w:lineRule="auto"/>
              <w:rPr>
                <w:rFonts w:ascii="宋体" w:hAnsi="宋体"/>
                <w:sz w:val="21"/>
                <w:szCs w:val="21"/>
              </w:rPr>
            </w:pPr>
            <w:r>
              <w:rPr>
                <w:rFonts w:hint="eastAsia" w:ascii="宋体" w:hAnsi="宋体"/>
                <w:sz w:val="21"/>
                <w:szCs w:val="21"/>
              </w:rPr>
              <w:t>熟悉</w:t>
            </w:r>
            <w:r>
              <w:rPr>
                <w:rFonts w:ascii="宋体" w:hAnsi="宋体"/>
                <w:sz w:val="21"/>
                <w:szCs w:val="21"/>
              </w:rPr>
              <w:t>Windows平台下的MSCS群集和AD、DNS/DHCP、Exchange、Sharepoint、WSUS等系统的搭建与管理维护；</w:t>
            </w:r>
          </w:p>
          <w:p>
            <w:pPr>
              <w:pStyle w:val="4"/>
              <w:numPr>
                <w:ilvl w:val="0"/>
                <w:numId w:val="21"/>
              </w:numPr>
              <w:spacing w:line="276" w:lineRule="auto"/>
              <w:rPr>
                <w:rFonts w:ascii="宋体" w:hAnsi="宋体"/>
                <w:sz w:val="21"/>
                <w:szCs w:val="21"/>
              </w:rPr>
            </w:pPr>
            <w:r>
              <w:rPr>
                <w:rFonts w:hint="eastAsia" w:ascii="宋体" w:hAnsi="宋体"/>
                <w:sz w:val="21"/>
                <w:szCs w:val="21"/>
              </w:rPr>
              <w:t>熟悉</w:t>
            </w:r>
            <w:r>
              <w:rPr>
                <w:rFonts w:ascii="宋体" w:hAnsi="宋体"/>
                <w:sz w:val="21"/>
                <w:szCs w:val="21"/>
              </w:rPr>
              <w:t>Vmware等虚拟化管理与维护；</w:t>
            </w:r>
          </w:p>
          <w:p>
            <w:pPr>
              <w:pStyle w:val="4"/>
              <w:numPr>
                <w:ilvl w:val="0"/>
                <w:numId w:val="21"/>
              </w:numPr>
              <w:spacing w:line="276" w:lineRule="auto"/>
              <w:rPr>
                <w:rFonts w:ascii="宋体" w:hAnsi="宋体"/>
                <w:sz w:val="21"/>
                <w:szCs w:val="21"/>
              </w:rPr>
            </w:pPr>
            <w:r>
              <w:rPr>
                <w:rFonts w:hint="eastAsia" w:ascii="宋体" w:hAnsi="宋体"/>
                <w:sz w:val="21"/>
                <w:szCs w:val="21"/>
              </w:rPr>
              <w:t>熟悉主流服务器、存储及备份平台的管理与维护；</w:t>
            </w:r>
          </w:p>
          <w:p>
            <w:pPr>
              <w:pStyle w:val="4"/>
              <w:numPr>
                <w:ilvl w:val="0"/>
                <w:numId w:val="21"/>
              </w:numPr>
              <w:spacing w:line="276" w:lineRule="auto"/>
              <w:rPr>
                <w:rFonts w:ascii="宋体" w:hAnsi="宋体"/>
                <w:sz w:val="21"/>
                <w:szCs w:val="21"/>
              </w:rPr>
            </w:pPr>
            <w:r>
              <w:rPr>
                <w:rFonts w:hint="eastAsia" w:ascii="宋体" w:hAnsi="宋体"/>
                <w:sz w:val="21"/>
                <w:szCs w:val="21"/>
              </w:rPr>
              <w:t>熟悉达梦、人大金仓等至少一种国产数据库，具有国产数据库项目实施经验；</w:t>
            </w:r>
          </w:p>
          <w:p>
            <w:pPr>
              <w:pStyle w:val="4"/>
              <w:numPr>
                <w:ilvl w:val="0"/>
                <w:numId w:val="21"/>
              </w:numPr>
              <w:spacing w:line="276" w:lineRule="auto"/>
              <w:rPr>
                <w:rFonts w:ascii="宋体" w:hAnsi="宋体"/>
                <w:sz w:val="21"/>
                <w:szCs w:val="21"/>
              </w:rPr>
            </w:pPr>
            <w:r>
              <w:rPr>
                <w:rFonts w:hint="eastAsia" w:ascii="宋体" w:hAnsi="宋体"/>
                <w:sz w:val="21"/>
                <w:szCs w:val="21"/>
              </w:rPr>
              <w:t>熟悉</w:t>
            </w:r>
            <w:r>
              <w:rPr>
                <w:rFonts w:ascii="宋体" w:hAnsi="宋体"/>
                <w:sz w:val="21"/>
                <w:szCs w:val="21"/>
              </w:rPr>
              <w:t>Shell或者python ，能编写自动化数据库运维及备份脚本；</w:t>
            </w:r>
          </w:p>
          <w:p>
            <w:pPr>
              <w:pStyle w:val="4"/>
              <w:numPr>
                <w:ilvl w:val="0"/>
                <w:numId w:val="21"/>
              </w:numPr>
              <w:spacing w:line="276" w:lineRule="auto"/>
              <w:rPr>
                <w:rFonts w:ascii="宋体" w:hAnsi="宋体"/>
                <w:sz w:val="21"/>
                <w:szCs w:val="21"/>
              </w:rPr>
            </w:pPr>
            <w:r>
              <w:rPr>
                <w:rFonts w:hint="eastAsia" w:ascii="宋体" w:hAnsi="宋体"/>
                <w:sz w:val="21"/>
                <w:szCs w:val="21"/>
              </w:rPr>
              <w:t>熟悉变更管理、事件管理等</w:t>
            </w:r>
            <w:r>
              <w:rPr>
                <w:rFonts w:ascii="宋体" w:hAnsi="宋体"/>
                <w:sz w:val="21"/>
                <w:szCs w:val="21"/>
              </w:rPr>
              <w:t xml:space="preserve"> ITSM 流程；</w:t>
            </w:r>
          </w:p>
          <w:p>
            <w:pPr>
              <w:pStyle w:val="4"/>
              <w:numPr>
                <w:ilvl w:val="0"/>
                <w:numId w:val="21"/>
              </w:numPr>
              <w:spacing w:line="276" w:lineRule="auto"/>
              <w:rPr>
                <w:rFonts w:ascii="宋体" w:hAnsi="宋体"/>
                <w:sz w:val="21"/>
                <w:szCs w:val="21"/>
              </w:rPr>
            </w:pPr>
            <w:r>
              <w:rPr>
                <w:rFonts w:hint="eastAsia" w:ascii="宋体" w:hAnsi="宋体"/>
                <w:sz w:val="21"/>
                <w:szCs w:val="21"/>
              </w:rPr>
              <w:t>具有团队合作精神、思维清晰、善于沟通、细致耐心、责任心强，独立完成工作并能承受工作压力；</w:t>
            </w:r>
          </w:p>
        </w:tc>
        <w:tc>
          <w:tcPr>
            <w:tcW w:w="640" w:type="dxa"/>
            <w:vAlign w:val="center"/>
          </w:tcPr>
          <w:p>
            <w:pPr>
              <w:pStyle w:val="4"/>
              <w:ind w:firstLine="0"/>
              <w:jc w:val="center"/>
              <w:rPr>
                <w:rFonts w:ascii="宋体" w:hAnsi="宋体"/>
                <w:sz w:val="21"/>
                <w:szCs w:val="21"/>
              </w:rPr>
            </w:pPr>
            <w:r>
              <w:rPr>
                <w:rFonts w:hint="eastAsia" w:ascii="宋体" w:hAnsi="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4"/>
              <w:ind w:firstLine="0"/>
              <w:jc w:val="center"/>
              <w:rPr>
                <w:rFonts w:ascii="宋体" w:hAnsi="宋体"/>
                <w:sz w:val="21"/>
                <w:szCs w:val="21"/>
              </w:rPr>
            </w:pPr>
            <w:r>
              <w:rPr>
                <w:rFonts w:hint="eastAsia" w:ascii="宋体" w:hAnsi="宋体"/>
                <w:sz w:val="21"/>
                <w:szCs w:val="21"/>
              </w:rPr>
              <w:t>网络工程师</w:t>
            </w:r>
          </w:p>
        </w:tc>
        <w:tc>
          <w:tcPr>
            <w:tcW w:w="1701" w:type="dxa"/>
            <w:vAlign w:val="center"/>
          </w:tcPr>
          <w:p>
            <w:pPr>
              <w:pStyle w:val="4"/>
              <w:spacing w:line="360" w:lineRule="auto"/>
              <w:ind w:firstLine="0"/>
              <w:rPr>
                <w:rFonts w:ascii="宋体" w:hAnsi="宋体"/>
                <w:sz w:val="21"/>
                <w:szCs w:val="21"/>
              </w:rPr>
            </w:pPr>
            <w:r>
              <w:rPr>
                <w:rFonts w:hint="eastAsia" w:ascii="宋体" w:hAnsi="宋体"/>
                <w:sz w:val="21"/>
                <w:szCs w:val="21"/>
              </w:rPr>
              <w:t>负责数据中心：网络运维服务</w:t>
            </w:r>
          </w:p>
          <w:p>
            <w:pPr>
              <w:pStyle w:val="4"/>
              <w:spacing w:line="360" w:lineRule="auto"/>
              <w:ind w:firstLine="0"/>
              <w:rPr>
                <w:rFonts w:ascii="宋体" w:hAnsi="宋体"/>
                <w:sz w:val="21"/>
                <w:szCs w:val="21"/>
              </w:rPr>
            </w:pPr>
            <w:r>
              <w:rPr>
                <w:rFonts w:hint="eastAsia" w:ascii="宋体" w:hAnsi="宋体"/>
                <w:sz w:val="21"/>
                <w:szCs w:val="21"/>
              </w:rPr>
              <w:t>网络日常维护</w:t>
            </w:r>
          </w:p>
          <w:p>
            <w:pPr>
              <w:pStyle w:val="4"/>
              <w:spacing w:line="360" w:lineRule="auto"/>
              <w:ind w:firstLine="0"/>
              <w:rPr>
                <w:rFonts w:ascii="宋体" w:hAnsi="宋体"/>
                <w:sz w:val="21"/>
                <w:szCs w:val="21"/>
              </w:rPr>
            </w:pPr>
            <w:r>
              <w:rPr>
                <w:rFonts w:hint="eastAsia" w:ascii="宋体" w:hAnsi="宋体"/>
                <w:sz w:val="21"/>
                <w:szCs w:val="21"/>
              </w:rPr>
              <w:t>主动预防检查</w:t>
            </w:r>
          </w:p>
          <w:p>
            <w:pPr>
              <w:pStyle w:val="4"/>
              <w:spacing w:line="360" w:lineRule="auto"/>
              <w:ind w:firstLine="0"/>
              <w:rPr>
                <w:rFonts w:ascii="宋体" w:hAnsi="宋体"/>
                <w:sz w:val="21"/>
                <w:szCs w:val="21"/>
              </w:rPr>
            </w:pPr>
            <w:r>
              <w:rPr>
                <w:rFonts w:hint="eastAsia" w:ascii="宋体" w:hAnsi="宋体"/>
                <w:sz w:val="21"/>
                <w:szCs w:val="21"/>
              </w:rPr>
              <w:t>故障处理</w:t>
            </w:r>
          </w:p>
          <w:p>
            <w:pPr>
              <w:pStyle w:val="4"/>
              <w:spacing w:line="360" w:lineRule="auto"/>
              <w:ind w:firstLine="0"/>
              <w:rPr>
                <w:rFonts w:ascii="宋体" w:hAnsi="宋体"/>
                <w:sz w:val="21"/>
                <w:szCs w:val="21"/>
              </w:rPr>
            </w:pPr>
            <w:r>
              <w:rPr>
                <w:rFonts w:hint="eastAsia" w:ascii="宋体" w:hAnsi="宋体"/>
                <w:sz w:val="21"/>
                <w:szCs w:val="21"/>
              </w:rPr>
              <w:t>值守维护</w:t>
            </w:r>
          </w:p>
          <w:p>
            <w:pPr>
              <w:pStyle w:val="4"/>
              <w:spacing w:line="360" w:lineRule="auto"/>
              <w:ind w:firstLine="0"/>
              <w:rPr>
                <w:rFonts w:ascii="宋体" w:hAnsi="宋体"/>
                <w:sz w:val="21"/>
                <w:szCs w:val="21"/>
              </w:rPr>
            </w:pPr>
            <w:r>
              <w:rPr>
                <w:rFonts w:hint="eastAsia" w:ascii="宋体" w:hAnsi="宋体"/>
                <w:sz w:val="21"/>
                <w:szCs w:val="21"/>
              </w:rPr>
              <w:t>性能优化</w:t>
            </w:r>
          </w:p>
          <w:p>
            <w:pPr>
              <w:pStyle w:val="4"/>
              <w:spacing w:line="360" w:lineRule="auto"/>
              <w:ind w:firstLine="0"/>
              <w:rPr>
                <w:rFonts w:ascii="宋体" w:hAnsi="宋体"/>
                <w:sz w:val="21"/>
                <w:szCs w:val="21"/>
              </w:rPr>
            </w:pPr>
            <w:r>
              <w:rPr>
                <w:rFonts w:hint="eastAsia" w:ascii="宋体" w:hAnsi="宋体"/>
                <w:sz w:val="21"/>
                <w:szCs w:val="21"/>
              </w:rPr>
              <w:t>网络规划等</w:t>
            </w:r>
          </w:p>
        </w:tc>
        <w:tc>
          <w:tcPr>
            <w:tcW w:w="5245" w:type="dxa"/>
          </w:tcPr>
          <w:p>
            <w:pPr>
              <w:pStyle w:val="4"/>
              <w:numPr>
                <w:ilvl w:val="0"/>
                <w:numId w:val="22"/>
              </w:numPr>
              <w:spacing w:line="276" w:lineRule="auto"/>
              <w:rPr>
                <w:rFonts w:ascii="宋体" w:hAnsi="宋体"/>
                <w:sz w:val="21"/>
                <w:szCs w:val="21"/>
              </w:rPr>
            </w:pPr>
            <w:r>
              <w:rPr>
                <w:rFonts w:hint="eastAsia" w:ascii="宋体" w:hAnsi="宋体"/>
                <w:sz w:val="21"/>
                <w:szCs w:val="21"/>
              </w:rPr>
              <w:t>本科及以上学历、计算机科学与技术专业、持有有效的网络认证（H</w:t>
            </w:r>
            <w:r>
              <w:rPr>
                <w:rFonts w:ascii="宋体" w:hAnsi="宋体"/>
                <w:sz w:val="21"/>
                <w:szCs w:val="21"/>
              </w:rPr>
              <w:t>CIE或同级别认证）</w:t>
            </w:r>
            <w:r>
              <w:rPr>
                <w:rFonts w:hint="eastAsia" w:ascii="宋体" w:hAnsi="宋体"/>
                <w:sz w:val="21"/>
                <w:szCs w:val="21"/>
                <w:lang w:val="en-US" w:eastAsia="zh-CN"/>
              </w:rPr>
              <w:t>,5</w:t>
            </w:r>
            <w:r>
              <w:rPr>
                <w:rFonts w:ascii="宋体" w:hAnsi="宋体"/>
                <w:sz w:val="21"/>
                <w:szCs w:val="21"/>
              </w:rPr>
              <w:t>年以上相关工作经验；</w:t>
            </w:r>
          </w:p>
          <w:p>
            <w:pPr>
              <w:pStyle w:val="4"/>
              <w:numPr>
                <w:ilvl w:val="0"/>
                <w:numId w:val="22"/>
              </w:numPr>
              <w:spacing w:line="276" w:lineRule="auto"/>
              <w:rPr>
                <w:rFonts w:ascii="宋体" w:hAnsi="宋体"/>
                <w:sz w:val="21"/>
                <w:szCs w:val="21"/>
              </w:rPr>
            </w:pPr>
            <w:r>
              <w:rPr>
                <w:rFonts w:hint="eastAsia" w:ascii="宋体" w:hAnsi="宋体"/>
                <w:sz w:val="21"/>
                <w:szCs w:val="21"/>
              </w:rPr>
              <w:t>熟悉华为、H</w:t>
            </w:r>
            <w:r>
              <w:rPr>
                <w:rFonts w:ascii="宋体" w:hAnsi="宋体"/>
                <w:sz w:val="21"/>
                <w:szCs w:val="21"/>
              </w:rPr>
              <w:t>3C</w:t>
            </w:r>
            <w:r>
              <w:rPr>
                <w:rFonts w:hint="eastAsia" w:ascii="宋体" w:hAnsi="宋体"/>
                <w:sz w:val="21"/>
                <w:szCs w:val="21"/>
              </w:rPr>
              <w:t>、</w:t>
            </w:r>
            <w:r>
              <w:rPr>
                <w:rFonts w:hint="eastAsia" w:ascii="宋体" w:hAnsi="宋体"/>
                <w:color w:val="000000"/>
                <w:sz w:val="21"/>
                <w:szCs w:val="21"/>
              </w:rPr>
              <w:t>Extreme</w:t>
            </w:r>
            <w:r>
              <w:rPr>
                <w:rFonts w:ascii="宋体" w:hAnsi="宋体"/>
                <w:sz w:val="21"/>
                <w:szCs w:val="21"/>
              </w:rPr>
              <w:t>等</w:t>
            </w:r>
            <w:r>
              <w:rPr>
                <w:rFonts w:hint="eastAsia" w:ascii="宋体" w:hAnsi="宋体"/>
                <w:sz w:val="21"/>
                <w:szCs w:val="21"/>
              </w:rPr>
              <w:t>网络设备并</w:t>
            </w:r>
            <w:r>
              <w:rPr>
                <w:rFonts w:ascii="宋体" w:hAnsi="宋体"/>
                <w:sz w:val="21"/>
                <w:szCs w:val="21"/>
              </w:rPr>
              <w:t>深入理解，并具有丰富的日常维护管理和优化经验，具有很强的故障定位和问题解决能力；</w:t>
            </w:r>
          </w:p>
          <w:p>
            <w:pPr>
              <w:pStyle w:val="4"/>
              <w:numPr>
                <w:ilvl w:val="0"/>
                <w:numId w:val="22"/>
              </w:numPr>
              <w:spacing w:line="276" w:lineRule="auto"/>
              <w:rPr>
                <w:rFonts w:ascii="宋体" w:hAnsi="宋体"/>
                <w:sz w:val="21"/>
                <w:szCs w:val="21"/>
              </w:rPr>
            </w:pPr>
            <w:r>
              <w:rPr>
                <w:rFonts w:hint="eastAsia" w:ascii="宋体" w:hAnsi="宋体"/>
                <w:sz w:val="21"/>
                <w:szCs w:val="21"/>
              </w:rPr>
              <w:t>熟悉</w:t>
            </w:r>
            <w:r>
              <w:rPr>
                <w:rFonts w:ascii="宋体" w:hAnsi="宋体"/>
                <w:sz w:val="21"/>
                <w:szCs w:val="21"/>
              </w:rPr>
              <w:t>IT基础架构原理，具备大中型网络组网经验，能独立完成中等规模网络需求分析、架构设计与配置调优</w:t>
            </w:r>
            <w:r>
              <w:rPr>
                <w:rFonts w:hint="eastAsia" w:ascii="宋体" w:hAnsi="宋体"/>
                <w:sz w:val="21"/>
                <w:szCs w:val="21"/>
              </w:rPr>
              <w:t>；</w:t>
            </w:r>
          </w:p>
          <w:p>
            <w:pPr>
              <w:pStyle w:val="4"/>
              <w:numPr>
                <w:ilvl w:val="0"/>
                <w:numId w:val="22"/>
              </w:numPr>
              <w:spacing w:line="276" w:lineRule="auto"/>
              <w:rPr>
                <w:rFonts w:ascii="宋体" w:hAnsi="宋体"/>
                <w:sz w:val="21"/>
                <w:szCs w:val="21"/>
              </w:rPr>
            </w:pPr>
            <w:r>
              <w:rPr>
                <w:rFonts w:hint="eastAsia" w:ascii="宋体" w:hAnsi="宋体"/>
                <w:sz w:val="21"/>
                <w:szCs w:val="21"/>
              </w:rPr>
              <w:t>精通</w:t>
            </w:r>
            <w:r>
              <w:rPr>
                <w:rFonts w:ascii="宋体" w:hAnsi="宋体"/>
                <w:sz w:val="21"/>
                <w:szCs w:val="21"/>
              </w:rPr>
              <w:t>TCP/IP基本原理，熟悉路由协议ETHERNET、TCP-IP、IP routing protocol、LAN switching、网络安全、BGP、OSPF等配置与运维；</w:t>
            </w:r>
          </w:p>
          <w:p>
            <w:pPr>
              <w:pStyle w:val="4"/>
              <w:numPr>
                <w:ilvl w:val="0"/>
                <w:numId w:val="22"/>
              </w:numPr>
              <w:spacing w:line="276" w:lineRule="auto"/>
              <w:rPr>
                <w:rFonts w:ascii="宋体" w:hAnsi="宋体"/>
                <w:sz w:val="21"/>
                <w:szCs w:val="21"/>
              </w:rPr>
            </w:pPr>
            <w:r>
              <w:rPr>
                <w:rFonts w:hint="eastAsia" w:ascii="宋体" w:hAnsi="宋体"/>
                <w:sz w:val="21"/>
                <w:szCs w:val="21"/>
              </w:rPr>
              <w:t>熟练掌握网络设备的维护与排錯，网络状况的评估和分析、故障处理、数据包分析等工作，快速定位并解决问题；</w:t>
            </w:r>
          </w:p>
          <w:p>
            <w:pPr>
              <w:pStyle w:val="4"/>
              <w:numPr>
                <w:ilvl w:val="0"/>
                <w:numId w:val="22"/>
              </w:numPr>
              <w:spacing w:line="276" w:lineRule="auto"/>
              <w:rPr>
                <w:rFonts w:ascii="宋体" w:hAnsi="宋体"/>
                <w:sz w:val="21"/>
                <w:szCs w:val="21"/>
              </w:rPr>
            </w:pPr>
            <w:r>
              <w:rPr>
                <w:rFonts w:hint="eastAsia" w:ascii="宋体" w:hAnsi="宋体"/>
                <w:sz w:val="21"/>
                <w:szCs w:val="21"/>
              </w:rPr>
              <w:t>熟悉变更管理、事件管理等</w:t>
            </w:r>
            <w:r>
              <w:rPr>
                <w:rFonts w:ascii="宋体" w:hAnsi="宋体"/>
                <w:sz w:val="21"/>
                <w:szCs w:val="21"/>
              </w:rPr>
              <w:t xml:space="preserve"> ITSM 流程；</w:t>
            </w:r>
          </w:p>
          <w:p>
            <w:pPr>
              <w:pStyle w:val="4"/>
              <w:numPr>
                <w:ilvl w:val="0"/>
                <w:numId w:val="22"/>
              </w:numPr>
              <w:spacing w:line="276" w:lineRule="auto"/>
              <w:rPr>
                <w:rFonts w:ascii="宋体" w:hAnsi="宋体"/>
                <w:sz w:val="21"/>
                <w:szCs w:val="21"/>
              </w:rPr>
            </w:pPr>
            <w:r>
              <w:rPr>
                <w:rFonts w:hint="eastAsia" w:ascii="宋体" w:hAnsi="宋体"/>
                <w:sz w:val="21"/>
                <w:szCs w:val="21"/>
              </w:rPr>
              <w:t>具有团队合作精神、思维清晰、善于沟通、细致耐心、责任心强，独立完成工作并能承受工作压力；</w:t>
            </w:r>
          </w:p>
        </w:tc>
        <w:tc>
          <w:tcPr>
            <w:tcW w:w="640" w:type="dxa"/>
            <w:vAlign w:val="center"/>
          </w:tcPr>
          <w:p>
            <w:pPr>
              <w:pStyle w:val="4"/>
              <w:ind w:firstLine="0"/>
              <w:jc w:val="center"/>
              <w:rPr>
                <w:rFonts w:ascii="宋体" w:hAnsi="宋体"/>
                <w:sz w:val="21"/>
                <w:szCs w:val="21"/>
              </w:rPr>
            </w:pPr>
            <w:r>
              <w:rPr>
                <w:rFonts w:hint="eastAsia" w:ascii="宋体" w:hAnsi="宋体"/>
                <w:sz w:val="21"/>
                <w:szCs w:val="21"/>
              </w:rPr>
              <w:t>1</w:t>
            </w:r>
          </w:p>
        </w:tc>
      </w:tr>
    </w:tbl>
    <w:p>
      <w:pPr>
        <w:pStyle w:val="4"/>
        <w:ind w:firstLine="0"/>
        <w:rPr>
          <w:rFonts w:ascii="宋体" w:hAnsi="宋体"/>
        </w:rPr>
      </w:pPr>
    </w:p>
    <w:p>
      <w:pPr>
        <w:pStyle w:val="5"/>
      </w:pPr>
      <w:r>
        <w:rPr>
          <w:rFonts w:hint="eastAsia"/>
        </w:rPr>
        <w:t>2</w:t>
      </w:r>
      <w:r>
        <w:t xml:space="preserve">.6 </w:t>
      </w:r>
      <w:r>
        <w:rPr>
          <w:rFonts w:hint="eastAsia"/>
        </w:rPr>
        <w:t>其他服务要求内容</w:t>
      </w:r>
    </w:p>
    <w:p>
      <w:pPr>
        <w:pStyle w:val="6"/>
        <w:rPr>
          <w:rFonts w:hAnsi="宋体"/>
        </w:rPr>
      </w:pPr>
      <w:r>
        <w:rPr>
          <w:rFonts w:hint="eastAsia" w:hAnsi="宋体"/>
        </w:rPr>
        <w:t>2</w:t>
      </w:r>
      <w:r>
        <w:rPr>
          <w:rFonts w:hAnsi="宋体"/>
        </w:rPr>
        <w:t xml:space="preserve">.6.1 </w:t>
      </w:r>
      <w:r>
        <w:rPr>
          <w:rFonts w:hint="eastAsia" w:hAnsi="宋体"/>
        </w:rPr>
        <w:t>重大系统调整的支持服务</w:t>
      </w:r>
    </w:p>
    <w:p>
      <w:pPr>
        <w:widowControl/>
        <w:numPr>
          <w:ilvl w:val="0"/>
          <w:numId w:val="23"/>
        </w:numPr>
        <w:spacing w:before="156" w:beforeLines="50" w:line="360" w:lineRule="auto"/>
        <w:jc w:val="left"/>
      </w:pPr>
      <w:r>
        <w:rPr>
          <w:rFonts w:hint="eastAsia"/>
        </w:rPr>
        <w:t>服务商在用户的重大系统调整时提供人力及技术支持，协助用户进行系统及资源规划；</w:t>
      </w:r>
    </w:p>
    <w:p>
      <w:pPr>
        <w:widowControl/>
        <w:numPr>
          <w:ilvl w:val="0"/>
          <w:numId w:val="23"/>
        </w:numPr>
        <w:spacing w:before="156" w:beforeLines="50" w:line="360" w:lineRule="auto"/>
        <w:jc w:val="left"/>
      </w:pPr>
      <w:r>
        <w:rPr>
          <w:rFonts w:hint="eastAsia"/>
        </w:rPr>
        <w:t>客户系统重大变更前服务商将协助用户做好系统备份工作，确保安全。</w:t>
      </w:r>
    </w:p>
    <w:p>
      <w:pPr>
        <w:widowControl/>
        <w:numPr>
          <w:ilvl w:val="0"/>
          <w:numId w:val="23"/>
        </w:numPr>
        <w:spacing w:before="156" w:beforeLines="50" w:line="360" w:lineRule="auto"/>
        <w:jc w:val="left"/>
      </w:pPr>
      <w:r>
        <w:rPr>
          <w:rFonts w:hint="eastAsia"/>
        </w:rPr>
        <w:t>服务商负责对协助对用户维护人员进行系统改造及调优方案操作培训，以确保重大变更时可以立即启动，并保证实施过程中，系统的安全稳定。</w:t>
      </w:r>
    </w:p>
    <w:p>
      <w:pPr>
        <w:widowControl/>
        <w:numPr>
          <w:ilvl w:val="0"/>
          <w:numId w:val="23"/>
        </w:numPr>
        <w:spacing w:before="156" w:beforeLines="50" w:line="360" w:lineRule="auto"/>
        <w:jc w:val="left"/>
      </w:pPr>
      <w:r>
        <w:rPr>
          <w:rFonts w:hint="eastAsia"/>
        </w:rPr>
        <w:t>服务商需配合用户新增设备安装部署提供技术支持服务。</w:t>
      </w:r>
    </w:p>
    <w:p>
      <w:pPr>
        <w:widowControl/>
        <w:spacing w:before="156" w:beforeLines="50" w:line="360" w:lineRule="auto"/>
        <w:jc w:val="left"/>
      </w:pPr>
    </w:p>
    <w:p>
      <w:pPr>
        <w:pStyle w:val="6"/>
        <w:rPr>
          <w:rFonts w:hAnsi="宋体"/>
        </w:rPr>
      </w:pPr>
      <w:r>
        <w:rPr>
          <w:rFonts w:hint="eastAsia" w:hAnsi="宋体"/>
        </w:rPr>
        <w:t>2</w:t>
      </w:r>
      <w:r>
        <w:rPr>
          <w:rFonts w:hAnsi="宋体"/>
        </w:rPr>
        <w:t xml:space="preserve">.6.2 </w:t>
      </w:r>
      <w:r>
        <w:rPr>
          <w:rFonts w:hint="eastAsia" w:hAnsi="宋体"/>
        </w:rPr>
        <w:t>主动运维监控服务</w:t>
      </w:r>
    </w:p>
    <w:p>
      <w:pPr>
        <w:spacing w:line="360" w:lineRule="auto"/>
        <w:ind w:firstLine="420" w:firstLineChars="200"/>
      </w:pPr>
      <w:r>
        <w:rPr>
          <w:rFonts w:hint="eastAsia"/>
        </w:rPr>
        <w:t>服务商免费提供和部署维保设备监控软件系统或工具，实时监控设备的运行状态和对可能出现的故障进行提前预警，使整体运维模式由被动运维转变成主动运维。系统监控服务内容包括以下内容：</w:t>
      </w:r>
    </w:p>
    <w:p>
      <w:pPr>
        <w:widowControl/>
        <w:numPr>
          <w:ilvl w:val="0"/>
          <w:numId w:val="24"/>
        </w:numPr>
        <w:spacing w:before="156" w:beforeLines="50" w:line="360" w:lineRule="auto"/>
        <w:jc w:val="left"/>
      </w:pPr>
      <w:r>
        <w:rPr>
          <w:rFonts w:hint="eastAsia"/>
        </w:rPr>
        <w:t>服务器硬件监控服务：包括电源运行状态、电源功率、风扇运行状态、速度、CPU处理速度、CPU电压、内存信息。</w:t>
      </w:r>
    </w:p>
    <w:p>
      <w:pPr>
        <w:widowControl/>
        <w:numPr>
          <w:ilvl w:val="0"/>
          <w:numId w:val="24"/>
        </w:numPr>
        <w:spacing w:before="156" w:beforeLines="50" w:line="360" w:lineRule="auto"/>
        <w:jc w:val="left"/>
      </w:pPr>
      <w:r>
        <w:rPr>
          <w:rFonts w:hint="eastAsia"/>
        </w:rPr>
        <w:t>存储设备的监控服务：包括端口流量、端口错误率、存储空间、管理主机、LUN状态。</w:t>
      </w:r>
    </w:p>
    <w:p>
      <w:pPr>
        <w:widowControl/>
        <w:numPr>
          <w:ilvl w:val="0"/>
          <w:numId w:val="24"/>
        </w:numPr>
        <w:spacing w:before="156" w:beforeLines="50" w:line="360" w:lineRule="auto"/>
        <w:jc w:val="left"/>
      </w:pPr>
      <w:r>
        <w:rPr>
          <w:rFonts w:hint="eastAsia"/>
        </w:rPr>
        <w:t>网络设备的监控服务：包括设备CPU使用率、端口名称、端口物理地址、端口设置速率、设备内存使用率、丢包率。</w:t>
      </w:r>
    </w:p>
    <w:p>
      <w:pPr>
        <w:widowControl/>
        <w:numPr>
          <w:ilvl w:val="0"/>
          <w:numId w:val="24"/>
        </w:numPr>
        <w:spacing w:before="156" w:beforeLines="50" w:line="360" w:lineRule="auto"/>
        <w:jc w:val="left"/>
      </w:pPr>
      <w:r>
        <w:rPr>
          <w:rFonts w:hint="eastAsia"/>
        </w:rPr>
        <w:t>数据库的监控服务：包括如数据库版本、归档方式、内存缓冲分配情况、存储空间配置、表空间使用率、数据库错误日志、数据库慢语句监控、数据库阻塞（锁表监控）空间使用状态。</w:t>
      </w:r>
    </w:p>
    <w:p>
      <w:pPr>
        <w:widowControl/>
        <w:numPr>
          <w:ilvl w:val="0"/>
          <w:numId w:val="24"/>
        </w:numPr>
        <w:spacing w:before="156" w:beforeLines="50" w:line="360" w:lineRule="auto"/>
        <w:jc w:val="left"/>
      </w:pPr>
      <w:r>
        <w:rPr>
          <w:rFonts w:hint="eastAsia"/>
        </w:rPr>
        <w:t>虚拟化的监控服务：包括对虚拟化集群状态、虚拟化服务器（即物理宿主机）、虚拟服务器（即虚拟机）、虚拟化存储、虚拟化网络、虚拟化报警信息监控。还提供对存储、计算资源提供分析报告，可提供包括虚拟机计算资源、空间配置的扩容预判分析报告和资源收缩的分析报告。</w:t>
      </w:r>
    </w:p>
    <w:p>
      <w:pPr>
        <w:widowControl/>
        <w:numPr>
          <w:ilvl w:val="0"/>
          <w:numId w:val="24"/>
        </w:numPr>
        <w:spacing w:before="156" w:beforeLines="50" w:line="360" w:lineRule="auto"/>
        <w:jc w:val="left"/>
      </w:pPr>
      <w:r>
        <w:rPr>
          <w:rFonts w:hint="eastAsia"/>
        </w:rPr>
        <w:t>全方位报警服务：包括当前报警、历史报警、报警统计、运维笔记、设备速查。</w:t>
      </w:r>
    </w:p>
    <w:p>
      <w:pPr>
        <w:widowControl/>
        <w:numPr>
          <w:ilvl w:val="0"/>
          <w:numId w:val="24"/>
        </w:numPr>
        <w:spacing w:before="156" w:beforeLines="50" w:line="360" w:lineRule="auto"/>
        <w:jc w:val="left"/>
      </w:pPr>
      <w:r>
        <w:rPr>
          <w:rFonts w:hint="eastAsia"/>
        </w:rPr>
        <w:t>自动化巡检服务：包括业务巡检、设备巡检、网络巡检、日常巡检。</w:t>
      </w:r>
    </w:p>
    <w:p>
      <w:pPr>
        <w:widowControl/>
        <w:spacing w:before="156" w:beforeLines="50" w:line="360" w:lineRule="auto"/>
        <w:jc w:val="left"/>
      </w:pPr>
    </w:p>
    <w:p>
      <w:pPr>
        <w:pStyle w:val="6"/>
        <w:rPr>
          <w:rFonts w:hAnsi="宋体"/>
        </w:rPr>
      </w:pPr>
      <w:r>
        <w:rPr>
          <w:rFonts w:hint="eastAsia" w:hAnsi="宋体"/>
        </w:rPr>
        <w:t>2</w:t>
      </w:r>
      <w:r>
        <w:rPr>
          <w:rFonts w:hAnsi="宋体"/>
        </w:rPr>
        <w:t xml:space="preserve">.6.3 </w:t>
      </w:r>
      <w:r>
        <w:rPr>
          <w:rFonts w:hint="eastAsia" w:hAnsi="宋体"/>
        </w:rPr>
        <w:t>关键时期现场保障服务</w:t>
      </w:r>
    </w:p>
    <w:p>
      <w:pPr>
        <w:spacing w:line="360" w:lineRule="auto"/>
        <w:ind w:firstLine="420" w:firstLineChars="200"/>
      </w:pPr>
      <w:r>
        <w:rPr>
          <w:rFonts w:hint="eastAsia"/>
        </w:rPr>
        <w:t>服务商应提供关键时期现场保障服务，如：院方重大会晤、院方重要参观、重要节假日和院方认为需要现场保障的时候，服务商需按技术规范书承诺的人员提供全天候24小时现场保障或应急支持服务。</w:t>
      </w:r>
    </w:p>
    <w:p>
      <w:pPr>
        <w:spacing w:line="360" w:lineRule="auto"/>
        <w:ind w:firstLine="420" w:firstLineChars="200"/>
        <w:rPr>
          <w:rFonts w:hint="eastAsia"/>
        </w:rPr>
      </w:pPr>
      <w:r>
        <w:rPr>
          <w:rFonts w:hint="eastAsia"/>
        </w:rPr>
        <w:t>服务商应设立《现场保障制度》，并根据国家法定节假日拟定《重要节假日保障计划》，现场保障人员安排需在接到院方值守通知的两个工作日内以书面形式提交给院方审核。</w:t>
      </w:r>
    </w:p>
    <w:p>
      <w:pPr>
        <w:spacing w:line="360" w:lineRule="auto"/>
      </w:pPr>
    </w:p>
    <w:p>
      <w:pPr>
        <w:pStyle w:val="6"/>
        <w:rPr>
          <w:rFonts w:hAnsi="宋体"/>
        </w:rPr>
      </w:pPr>
      <w:r>
        <w:rPr>
          <w:rFonts w:hint="eastAsia" w:hAnsi="宋体"/>
        </w:rPr>
        <w:t>2</w:t>
      </w:r>
      <w:r>
        <w:rPr>
          <w:rFonts w:hAnsi="宋体"/>
        </w:rPr>
        <w:t xml:space="preserve">.6.4 </w:t>
      </w:r>
      <w:r>
        <w:rPr>
          <w:rFonts w:hint="eastAsia" w:hAnsi="宋体"/>
        </w:rPr>
        <w:t>标准化管理流程和维护操作规范</w:t>
      </w:r>
    </w:p>
    <w:p>
      <w:pPr>
        <w:pStyle w:val="45"/>
        <w:numPr>
          <w:ilvl w:val="0"/>
          <w:numId w:val="25"/>
        </w:numPr>
        <w:spacing w:line="360" w:lineRule="auto"/>
        <w:ind w:firstLineChars="0"/>
      </w:pPr>
      <w:r>
        <w:rPr>
          <w:rFonts w:hint="eastAsia"/>
        </w:rPr>
        <w:t>服务商根据用户的服务需求特点，必需制定电话报修流程、现场服务流程、技术升级流程、应急流程和服务质量保证措施等。</w:t>
      </w:r>
    </w:p>
    <w:p>
      <w:pPr>
        <w:pStyle w:val="45"/>
        <w:numPr>
          <w:ilvl w:val="0"/>
          <w:numId w:val="25"/>
        </w:numPr>
        <w:spacing w:line="360" w:lineRule="auto"/>
        <w:ind w:firstLineChars="0"/>
      </w:pPr>
      <w:r>
        <w:rPr>
          <w:rFonts w:hint="eastAsia"/>
        </w:rPr>
        <w:t>服务商保证工程师在操作和维护过程中严格遵守操作规范，避免设备因不规范的操作损坏。</w:t>
      </w:r>
    </w:p>
    <w:p>
      <w:pPr>
        <w:spacing w:line="360" w:lineRule="auto"/>
      </w:pPr>
    </w:p>
    <w:p>
      <w:pPr>
        <w:pStyle w:val="6"/>
        <w:rPr>
          <w:rFonts w:hAnsi="宋体"/>
        </w:rPr>
      </w:pPr>
      <w:r>
        <w:rPr>
          <w:rFonts w:hint="eastAsia" w:hAnsi="宋体"/>
        </w:rPr>
        <w:t>2</w:t>
      </w:r>
      <w:r>
        <w:rPr>
          <w:rFonts w:hAnsi="宋体"/>
        </w:rPr>
        <w:t xml:space="preserve">.6.5 </w:t>
      </w:r>
      <w:r>
        <w:rPr>
          <w:rFonts w:hint="eastAsia" w:hAnsi="宋体"/>
        </w:rPr>
        <w:t>文档交付服务</w:t>
      </w:r>
    </w:p>
    <w:p>
      <w:pPr>
        <w:spacing w:line="360" w:lineRule="auto"/>
        <w:ind w:firstLine="420" w:firstLineChars="200"/>
      </w:pPr>
      <w:r>
        <w:rPr>
          <w:rFonts w:hint="eastAsia"/>
        </w:rPr>
        <w:t>服务商应根据项目的工作内容及时提交相关维护文档包括：</w:t>
      </w:r>
    </w:p>
    <w:p>
      <w:pPr>
        <w:pStyle w:val="45"/>
        <w:numPr>
          <w:ilvl w:val="0"/>
          <w:numId w:val="26"/>
        </w:numPr>
        <w:spacing w:line="360" w:lineRule="auto"/>
        <w:ind w:firstLineChars="0"/>
      </w:pPr>
      <w:r>
        <w:rPr>
          <w:rFonts w:hint="eastAsia"/>
        </w:rPr>
        <w:t>年度服务计划；</w:t>
      </w:r>
    </w:p>
    <w:p>
      <w:pPr>
        <w:pStyle w:val="45"/>
        <w:numPr>
          <w:ilvl w:val="0"/>
          <w:numId w:val="26"/>
        </w:numPr>
        <w:spacing w:line="360" w:lineRule="auto"/>
        <w:ind w:firstLineChars="0"/>
      </w:pPr>
      <w:r>
        <w:rPr>
          <w:rFonts w:hint="eastAsia"/>
        </w:rPr>
        <w:t>定期巡检报告；</w:t>
      </w:r>
    </w:p>
    <w:p>
      <w:pPr>
        <w:pStyle w:val="45"/>
        <w:numPr>
          <w:ilvl w:val="0"/>
          <w:numId w:val="26"/>
        </w:numPr>
        <w:spacing w:line="360" w:lineRule="auto"/>
        <w:ind w:firstLineChars="0"/>
      </w:pPr>
      <w:r>
        <w:rPr>
          <w:rFonts w:hint="eastAsia"/>
        </w:rPr>
        <w:t>现场服务报告；</w:t>
      </w:r>
    </w:p>
    <w:p>
      <w:pPr>
        <w:pStyle w:val="45"/>
        <w:numPr>
          <w:ilvl w:val="0"/>
          <w:numId w:val="26"/>
        </w:numPr>
        <w:spacing w:line="360" w:lineRule="auto"/>
        <w:ind w:firstLineChars="0"/>
      </w:pPr>
      <w:r>
        <w:rPr>
          <w:rFonts w:hint="eastAsia"/>
        </w:rPr>
        <w:t>建立服务档案和解决方案资料库，</w:t>
      </w:r>
      <w:r>
        <w:t>包括</w:t>
      </w:r>
      <w:r>
        <w:rPr>
          <w:rFonts w:hint="eastAsia"/>
        </w:rPr>
        <w:t>每次故障提供故障分析报告，服务器、</w:t>
      </w:r>
      <w:r>
        <w:t>存储及数据库日常</w:t>
      </w:r>
      <w:r>
        <w:rPr>
          <w:rFonts w:hint="eastAsia"/>
        </w:rPr>
        <w:t>维护</w:t>
      </w:r>
      <w:r>
        <w:t>手册</w:t>
      </w:r>
      <w:r>
        <w:rPr>
          <w:rFonts w:hint="eastAsia"/>
        </w:rPr>
        <w:t>等</w:t>
      </w:r>
      <w:r>
        <w:t>。</w:t>
      </w:r>
    </w:p>
    <w:p>
      <w:pPr>
        <w:pStyle w:val="45"/>
        <w:numPr>
          <w:ilvl w:val="0"/>
          <w:numId w:val="26"/>
        </w:numPr>
        <w:spacing w:line="360" w:lineRule="auto"/>
        <w:ind w:firstLineChars="0"/>
      </w:pPr>
      <w:r>
        <w:rPr>
          <w:rFonts w:hint="eastAsia"/>
        </w:rPr>
        <w:t>年度总结报告和验收报告</w:t>
      </w:r>
    </w:p>
    <w:p>
      <w:pPr>
        <w:widowControl/>
        <w:jc w:val="left"/>
      </w:pPr>
      <w:r>
        <w:br w:type="page"/>
      </w:r>
    </w:p>
    <w:p>
      <w:pPr>
        <w:pStyle w:val="3"/>
      </w:pPr>
      <w:r>
        <w:rPr>
          <w:rFonts w:hint="eastAsia"/>
        </w:rPr>
        <w:t>三、服务级别</w:t>
      </w:r>
    </w:p>
    <w:p>
      <w:pPr>
        <w:pStyle w:val="4"/>
        <w:spacing w:line="360" w:lineRule="auto"/>
        <w:rPr>
          <w:rFonts w:ascii="宋体" w:hAnsi="宋体"/>
          <w:sz w:val="21"/>
          <w:szCs w:val="21"/>
        </w:rPr>
      </w:pPr>
      <w:r>
        <w:rPr>
          <w:rFonts w:hint="eastAsia" w:ascii="宋体" w:hAnsi="宋体"/>
          <w:sz w:val="21"/>
          <w:szCs w:val="21"/>
        </w:rPr>
        <w:t>提供</w:t>
      </w:r>
      <w:r>
        <w:rPr>
          <w:rFonts w:ascii="宋体" w:hAnsi="宋体"/>
          <w:sz w:val="21"/>
          <w:szCs w:val="21"/>
        </w:rPr>
        <w:t>7×24服务响应级别，工作日即时响应，2小时修复时限。</w:t>
      </w:r>
    </w:p>
    <w:p>
      <w:pPr>
        <w:pStyle w:val="4"/>
        <w:spacing w:line="360" w:lineRule="auto"/>
        <w:rPr>
          <w:rFonts w:ascii="宋体" w:hAnsi="宋体"/>
          <w:sz w:val="21"/>
          <w:szCs w:val="21"/>
        </w:rPr>
      </w:pPr>
      <w:r>
        <w:rPr>
          <w:rFonts w:ascii="宋体" w:hAnsi="宋体"/>
          <w:sz w:val="21"/>
          <w:szCs w:val="21"/>
        </w:rPr>
        <w:t>(1)</w:t>
      </w:r>
      <w:r>
        <w:rPr>
          <w:rFonts w:ascii="宋体" w:hAnsi="宋体"/>
          <w:sz w:val="21"/>
          <w:szCs w:val="21"/>
        </w:rPr>
        <w:tab/>
      </w:r>
      <w:r>
        <w:rPr>
          <w:rFonts w:ascii="宋体" w:hAnsi="宋体"/>
          <w:sz w:val="21"/>
          <w:szCs w:val="21"/>
        </w:rPr>
        <w:t>服务时间：每周7×24小时。</w:t>
      </w:r>
    </w:p>
    <w:p>
      <w:pPr>
        <w:pStyle w:val="4"/>
        <w:spacing w:line="360" w:lineRule="auto"/>
        <w:rPr>
          <w:rFonts w:ascii="宋体" w:hAnsi="宋体"/>
          <w:sz w:val="21"/>
          <w:szCs w:val="21"/>
        </w:rPr>
      </w:pPr>
      <w:r>
        <w:rPr>
          <w:rFonts w:ascii="宋体" w:hAnsi="宋体"/>
          <w:sz w:val="21"/>
          <w:szCs w:val="21"/>
        </w:rPr>
        <w:t>(2)</w:t>
      </w:r>
      <w:r>
        <w:rPr>
          <w:rFonts w:ascii="宋体" w:hAnsi="宋体"/>
          <w:sz w:val="21"/>
          <w:szCs w:val="21"/>
        </w:rPr>
        <w:tab/>
      </w:r>
      <w:r>
        <w:rPr>
          <w:rFonts w:ascii="宋体" w:hAnsi="宋体"/>
          <w:sz w:val="21"/>
          <w:szCs w:val="21"/>
        </w:rPr>
        <w:t>响应时间：要求服务商即时响应</w:t>
      </w:r>
      <w:r>
        <w:rPr>
          <w:rFonts w:hint="eastAsia" w:ascii="宋体" w:hAnsi="宋体"/>
          <w:sz w:val="21"/>
          <w:szCs w:val="21"/>
        </w:rPr>
        <w:t>，响应时间不得超过1</w:t>
      </w:r>
      <w:r>
        <w:rPr>
          <w:rFonts w:ascii="宋体" w:hAnsi="宋体"/>
          <w:sz w:val="21"/>
          <w:szCs w:val="21"/>
        </w:rPr>
        <w:t>0</w:t>
      </w:r>
      <w:r>
        <w:rPr>
          <w:rFonts w:hint="eastAsia" w:ascii="宋体" w:hAnsi="宋体"/>
          <w:sz w:val="21"/>
          <w:szCs w:val="21"/>
        </w:rPr>
        <w:t>分钟。</w:t>
      </w:r>
    </w:p>
    <w:p>
      <w:pPr>
        <w:pStyle w:val="4"/>
        <w:spacing w:line="360" w:lineRule="auto"/>
        <w:rPr>
          <w:rFonts w:ascii="宋体" w:hAnsi="宋体"/>
          <w:sz w:val="21"/>
          <w:szCs w:val="21"/>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90"/>
        <w:gridCol w:w="2830"/>
        <w:gridCol w:w="1134"/>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tcPr>
          <w:p>
            <w:pPr>
              <w:pStyle w:val="4"/>
              <w:ind w:firstLine="0"/>
              <w:jc w:val="center"/>
              <w:rPr>
                <w:rFonts w:ascii="宋体" w:hAnsi="宋体"/>
                <w:b/>
                <w:bCs/>
              </w:rPr>
            </w:pPr>
            <w:r>
              <w:rPr>
                <w:rFonts w:hint="eastAsia" w:ascii="宋体" w:hAnsi="宋体"/>
                <w:b/>
                <w:bCs/>
              </w:rPr>
              <w:t>服务内容</w:t>
            </w:r>
          </w:p>
        </w:tc>
        <w:tc>
          <w:tcPr>
            <w:tcW w:w="1990" w:type="dxa"/>
          </w:tcPr>
          <w:p>
            <w:pPr>
              <w:pStyle w:val="4"/>
              <w:ind w:firstLine="0"/>
              <w:jc w:val="center"/>
              <w:rPr>
                <w:rFonts w:ascii="宋体" w:hAnsi="宋体"/>
                <w:b/>
                <w:bCs/>
              </w:rPr>
            </w:pPr>
            <w:r>
              <w:rPr>
                <w:rFonts w:hint="eastAsia" w:ascii="宋体" w:hAnsi="宋体"/>
                <w:b/>
                <w:bCs/>
              </w:rPr>
              <w:t>故障级别</w:t>
            </w:r>
          </w:p>
        </w:tc>
        <w:tc>
          <w:tcPr>
            <w:tcW w:w="2830" w:type="dxa"/>
          </w:tcPr>
          <w:p>
            <w:pPr>
              <w:pStyle w:val="4"/>
              <w:ind w:firstLine="0"/>
              <w:jc w:val="center"/>
              <w:rPr>
                <w:rFonts w:ascii="宋体" w:hAnsi="宋体"/>
                <w:b/>
                <w:bCs/>
              </w:rPr>
            </w:pPr>
            <w:r>
              <w:rPr>
                <w:rFonts w:hint="eastAsia" w:ascii="宋体" w:hAnsi="宋体"/>
                <w:b/>
                <w:bCs/>
              </w:rPr>
              <w:t>级别说明</w:t>
            </w:r>
          </w:p>
        </w:tc>
        <w:tc>
          <w:tcPr>
            <w:tcW w:w="1134" w:type="dxa"/>
          </w:tcPr>
          <w:p>
            <w:pPr>
              <w:pStyle w:val="4"/>
              <w:ind w:firstLine="0"/>
              <w:jc w:val="center"/>
              <w:rPr>
                <w:rFonts w:ascii="宋体" w:hAnsi="宋体"/>
                <w:b/>
                <w:bCs/>
              </w:rPr>
            </w:pPr>
            <w:r>
              <w:rPr>
                <w:rFonts w:ascii="宋体" w:hAnsi="宋体"/>
                <w:b/>
                <w:bCs/>
              </w:rPr>
              <w:t>现场响应</w:t>
            </w:r>
          </w:p>
        </w:tc>
        <w:tc>
          <w:tcPr>
            <w:tcW w:w="1565" w:type="dxa"/>
          </w:tcPr>
          <w:p>
            <w:pPr>
              <w:pStyle w:val="4"/>
              <w:ind w:firstLine="0"/>
              <w:jc w:val="center"/>
              <w:rPr>
                <w:rFonts w:ascii="宋体" w:hAnsi="宋体"/>
                <w:b/>
                <w:bCs/>
              </w:rPr>
            </w:pPr>
            <w:r>
              <w:rPr>
                <w:rFonts w:hint="eastAsia" w:ascii="宋体" w:hAnsi="宋体"/>
                <w:b/>
                <w:bCs/>
              </w:rPr>
              <w:t>恢复系统正常运行时间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pStyle w:val="4"/>
              <w:ind w:firstLine="0"/>
              <w:jc w:val="center"/>
              <w:rPr>
                <w:rFonts w:ascii="宋体" w:hAnsi="宋体"/>
              </w:rPr>
            </w:pPr>
            <w:r>
              <w:rPr>
                <w:rFonts w:hint="eastAsia" w:ascii="宋体" w:hAnsi="宋体"/>
              </w:rPr>
              <w:t>硬件设备维保服务级别</w:t>
            </w:r>
          </w:p>
        </w:tc>
        <w:tc>
          <w:tcPr>
            <w:tcW w:w="1990" w:type="dxa"/>
          </w:tcPr>
          <w:p>
            <w:pPr>
              <w:pStyle w:val="4"/>
              <w:ind w:firstLine="0"/>
              <w:rPr>
                <w:rFonts w:ascii="宋体" w:hAnsi="宋体"/>
              </w:rPr>
            </w:pPr>
            <w:r>
              <w:rPr>
                <w:rFonts w:hint="eastAsia" w:ascii="宋体" w:hAnsi="宋体"/>
              </w:rPr>
              <w:t>紧急故障（系统瘫痪）</w:t>
            </w:r>
          </w:p>
        </w:tc>
        <w:tc>
          <w:tcPr>
            <w:tcW w:w="2830" w:type="dxa"/>
          </w:tcPr>
          <w:p>
            <w:pPr>
              <w:pStyle w:val="4"/>
              <w:ind w:firstLine="0"/>
              <w:rPr>
                <w:rFonts w:ascii="宋体" w:hAnsi="宋体"/>
              </w:rPr>
            </w:pPr>
            <w:r>
              <w:rPr>
                <w:rFonts w:hint="eastAsia" w:ascii="宋体" w:hAnsi="宋体"/>
              </w:rPr>
              <w:t>硬件设备不能为业务系统提供服务或影响业务系统</w:t>
            </w:r>
          </w:p>
        </w:tc>
        <w:tc>
          <w:tcPr>
            <w:tcW w:w="1134" w:type="dxa"/>
          </w:tcPr>
          <w:p>
            <w:pPr>
              <w:pStyle w:val="4"/>
              <w:ind w:firstLine="0"/>
              <w:rPr>
                <w:rFonts w:ascii="宋体" w:hAnsi="宋体"/>
              </w:rPr>
            </w:pPr>
            <w:r>
              <w:rPr>
                <w:rFonts w:hint="eastAsia" w:ascii="宋体" w:hAnsi="宋体" w:cs="Arial"/>
              </w:rPr>
              <w:t xml:space="preserve">≤ </w:t>
            </w:r>
            <w:r>
              <w:rPr>
                <w:rFonts w:ascii="宋体" w:hAnsi="宋体"/>
              </w:rPr>
              <w:t>1小时</w:t>
            </w:r>
          </w:p>
        </w:tc>
        <w:tc>
          <w:tcPr>
            <w:tcW w:w="1565" w:type="dxa"/>
          </w:tcPr>
          <w:p>
            <w:pPr>
              <w:pStyle w:val="4"/>
              <w:ind w:firstLine="0"/>
              <w:rPr>
                <w:rFonts w:ascii="宋体" w:hAnsi="宋体"/>
              </w:rPr>
            </w:pPr>
            <w:r>
              <w:rPr>
                <w:rFonts w:hint="eastAsia" w:ascii="宋体" w:hAnsi="宋体"/>
              </w:rPr>
              <w:t>≤</w:t>
            </w:r>
            <w:r>
              <w:rPr>
                <w:rFonts w:ascii="宋体" w:hAnsi="宋体"/>
              </w:rPr>
              <w:t xml:space="preserve"> 2小时</w:t>
            </w:r>
          </w:p>
          <w:p>
            <w:pPr>
              <w:pStyle w:val="4"/>
              <w:ind w:firstLine="0"/>
              <w:rPr>
                <w:rFonts w:ascii="宋体" w:hAnsi="宋体"/>
              </w:rPr>
            </w:pPr>
            <w:r>
              <w:rPr>
                <w:rFonts w:hint="eastAsia" w:ascii="宋体" w:hAnsi="宋体"/>
              </w:rPr>
              <w:t>超过</w:t>
            </w:r>
            <w:r>
              <w:rPr>
                <w:rFonts w:ascii="宋体" w:hAnsi="宋体"/>
              </w:rPr>
              <w:t>2小时提供配件备机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pStyle w:val="4"/>
              <w:ind w:firstLine="0"/>
              <w:jc w:val="center"/>
              <w:rPr>
                <w:rFonts w:ascii="宋体" w:hAnsi="宋体"/>
              </w:rPr>
            </w:pPr>
          </w:p>
        </w:tc>
        <w:tc>
          <w:tcPr>
            <w:tcW w:w="1990" w:type="dxa"/>
          </w:tcPr>
          <w:p>
            <w:pPr>
              <w:pStyle w:val="4"/>
              <w:ind w:firstLine="0"/>
              <w:rPr>
                <w:rFonts w:ascii="宋体" w:hAnsi="宋体"/>
              </w:rPr>
            </w:pPr>
            <w:r>
              <w:rPr>
                <w:rFonts w:hint="eastAsia" w:ascii="宋体" w:hAnsi="宋体"/>
              </w:rPr>
              <w:t>严重故障（系统性能受损）</w:t>
            </w:r>
          </w:p>
        </w:tc>
        <w:tc>
          <w:tcPr>
            <w:tcW w:w="2830" w:type="dxa"/>
          </w:tcPr>
          <w:p>
            <w:pPr>
              <w:pStyle w:val="4"/>
              <w:ind w:firstLine="0"/>
              <w:rPr>
                <w:rFonts w:ascii="宋体" w:hAnsi="宋体"/>
              </w:rPr>
            </w:pPr>
            <w:r>
              <w:rPr>
                <w:rFonts w:hint="eastAsia" w:ascii="宋体" w:hAnsi="宋体"/>
              </w:rPr>
              <w:t>硬件设备全部或部分系统应用运行缓慢。</w:t>
            </w:r>
          </w:p>
        </w:tc>
        <w:tc>
          <w:tcPr>
            <w:tcW w:w="1134" w:type="dxa"/>
          </w:tcPr>
          <w:p>
            <w:pPr>
              <w:pStyle w:val="4"/>
              <w:ind w:firstLine="0"/>
              <w:rPr>
                <w:rFonts w:ascii="宋体" w:hAnsi="宋体"/>
              </w:rPr>
            </w:pPr>
            <w:r>
              <w:rPr>
                <w:rFonts w:hint="eastAsia" w:ascii="宋体" w:hAnsi="宋体" w:cs="Arial"/>
              </w:rPr>
              <w:t xml:space="preserve">≤ </w:t>
            </w:r>
            <w:r>
              <w:rPr>
                <w:rFonts w:ascii="宋体" w:hAnsi="宋体"/>
              </w:rPr>
              <w:t>2小时</w:t>
            </w:r>
          </w:p>
        </w:tc>
        <w:tc>
          <w:tcPr>
            <w:tcW w:w="1565" w:type="dxa"/>
          </w:tcPr>
          <w:p>
            <w:pPr>
              <w:pStyle w:val="4"/>
              <w:ind w:firstLine="0"/>
              <w:rPr>
                <w:rFonts w:ascii="宋体" w:hAnsi="宋体"/>
              </w:rPr>
            </w:pPr>
            <w:r>
              <w:rPr>
                <w:rFonts w:hint="eastAsia" w:ascii="宋体" w:hAnsi="宋体"/>
              </w:rPr>
              <w:t>≤</w:t>
            </w:r>
            <w:r>
              <w:rPr>
                <w:rFonts w:ascii="宋体" w:hAnsi="宋体"/>
              </w:rPr>
              <w:t xml:space="preserve"> 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pStyle w:val="4"/>
              <w:ind w:firstLine="0"/>
              <w:jc w:val="center"/>
              <w:rPr>
                <w:rFonts w:ascii="宋体" w:hAnsi="宋体"/>
              </w:rPr>
            </w:pPr>
          </w:p>
        </w:tc>
        <w:tc>
          <w:tcPr>
            <w:tcW w:w="1990" w:type="dxa"/>
          </w:tcPr>
          <w:p>
            <w:pPr>
              <w:pStyle w:val="4"/>
              <w:ind w:firstLine="0"/>
              <w:rPr>
                <w:rFonts w:ascii="宋体" w:hAnsi="宋体"/>
              </w:rPr>
            </w:pPr>
            <w:r>
              <w:rPr>
                <w:rFonts w:hint="eastAsia" w:ascii="宋体" w:hAnsi="宋体"/>
              </w:rPr>
              <w:t>一般故障（系统运行正常）</w:t>
            </w:r>
          </w:p>
        </w:tc>
        <w:tc>
          <w:tcPr>
            <w:tcW w:w="2830" w:type="dxa"/>
          </w:tcPr>
          <w:p>
            <w:pPr>
              <w:pStyle w:val="4"/>
              <w:ind w:firstLine="0"/>
              <w:rPr>
                <w:rFonts w:ascii="宋体" w:hAnsi="宋体"/>
              </w:rPr>
            </w:pPr>
            <w:r>
              <w:rPr>
                <w:rFonts w:hint="eastAsia" w:ascii="宋体" w:hAnsi="宋体"/>
              </w:rPr>
              <w:t>一般报警信息，对硬件设备正常运行没有影响。</w:t>
            </w:r>
          </w:p>
        </w:tc>
        <w:tc>
          <w:tcPr>
            <w:tcW w:w="1134" w:type="dxa"/>
          </w:tcPr>
          <w:p>
            <w:pPr>
              <w:pStyle w:val="4"/>
              <w:ind w:firstLine="0"/>
              <w:rPr>
                <w:rFonts w:ascii="宋体" w:hAnsi="宋体"/>
              </w:rPr>
            </w:pPr>
            <w:r>
              <w:rPr>
                <w:rFonts w:hint="eastAsia" w:ascii="宋体" w:hAnsi="宋体" w:cs="Arial"/>
              </w:rPr>
              <w:t xml:space="preserve">≤ </w:t>
            </w:r>
            <w:r>
              <w:rPr>
                <w:rFonts w:ascii="宋体" w:hAnsi="宋体"/>
              </w:rPr>
              <w:t>4小时</w:t>
            </w:r>
          </w:p>
        </w:tc>
        <w:tc>
          <w:tcPr>
            <w:tcW w:w="1565" w:type="dxa"/>
          </w:tcPr>
          <w:p>
            <w:pPr>
              <w:pStyle w:val="4"/>
              <w:ind w:firstLine="0"/>
              <w:rPr>
                <w:rFonts w:ascii="宋体" w:hAnsi="宋体"/>
              </w:rPr>
            </w:pPr>
            <w:r>
              <w:rPr>
                <w:rFonts w:hint="eastAsia" w:ascii="宋体" w:hAnsi="宋体"/>
              </w:rPr>
              <w:t>≤</w:t>
            </w:r>
            <w:r>
              <w:rPr>
                <w:rFonts w:ascii="宋体" w:hAnsi="宋体"/>
              </w:rPr>
              <w:t xml:space="preserve"> 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pStyle w:val="4"/>
              <w:ind w:firstLine="0"/>
              <w:jc w:val="center"/>
              <w:rPr>
                <w:rFonts w:ascii="宋体" w:hAnsi="宋体"/>
              </w:rPr>
            </w:pPr>
            <w:r>
              <w:rPr>
                <w:rFonts w:ascii="宋体" w:hAnsi="宋体"/>
              </w:rPr>
              <w:t>网络运维</w:t>
            </w:r>
            <w:r>
              <w:rPr>
                <w:rFonts w:hint="eastAsia" w:ascii="宋体" w:hAnsi="宋体"/>
              </w:rPr>
              <w:t>服务级别</w:t>
            </w:r>
          </w:p>
        </w:tc>
        <w:tc>
          <w:tcPr>
            <w:tcW w:w="1990" w:type="dxa"/>
          </w:tcPr>
          <w:p>
            <w:pPr>
              <w:pStyle w:val="4"/>
              <w:ind w:firstLine="0"/>
              <w:rPr>
                <w:rFonts w:ascii="宋体" w:hAnsi="宋体"/>
              </w:rPr>
            </w:pPr>
            <w:r>
              <w:rPr>
                <w:rFonts w:hint="eastAsia" w:ascii="宋体" w:hAnsi="宋体"/>
              </w:rPr>
              <w:t>紧急故障（系统瘫痪）</w:t>
            </w:r>
          </w:p>
        </w:tc>
        <w:tc>
          <w:tcPr>
            <w:tcW w:w="2830" w:type="dxa"/>
          </w:tcPr>
          <w:p>
            <w:pPr>
              <w:pStyle w:val="4"/>
              <w:ind w:firstLine="0"/>
              <w:rPr>
                <w:rFonts w:ascii="宋体" w:hAnsi="宋体"/>
              </w:rPr>
            </w:pPr>
            <w:r>
              <w:rPr>
                <w:rFonts w:hint="eastAsia" w:ascii="宋体" w:hAnsi="宋体"/>
              </w:rPr>
              <w:t>网络系统或设备不能为业务系统提供服务或影响业务系统</w:t>
            </w:r>
          </w:p>
        </w:tc>
        <w:tc>
          <w:tcPr>
            <w:tcW w:w="1134" w:type="dxa"/>
          </w:tcPr>
          <w:p>
            <w:pPr>
              <w:pStyle w:val="4"/>
              <w:ind w:firstLine="0"/>
              <w:rPr>
                <w:rFonts w:ascii="宋体" w:hAnsi="宋体"/>
              </w:rPr>
            </w:pPr>
            <w:r>
              <w:rPr>
                <w:rFonts w:hint="eastAsia" w:ascii="宋体" w:hAnsi="宋体" w:cs="Arial"/>
              </w:rPr>
              <w:t xml:space="preserve">≤ </w:t>
            </w:r>
            <w:r>
              <w:rPr>
                <w:rFonts w:ascii="宋体" w:hAnsi="宋体"/>
              </w:rPr>
              <w:t>1小时</w:t>
            </w:r>
          </w:p>
        </w:tc>
        <w:tc>
          <w:tcPr>
            <w:tcW w:w="1565" w:type="dxa"/>
          </w:tcPr>
          <w:p>
            <w:pPr>
              <w:pStyle w:val="4"/>
              <w:ind w:firstLine="0"/>
              <w:rPr>
                <w:rFonts w:ascii="宋体" w:hAnsi="宋体"/>
              </w:rPr>
            </w:pPr>
            <w:r>
              <w:rPr>
                <w:rFonts w:hint="eastAsia" w:ascii="宋体" w:hAnsi="宋体"/>
              </w:rPr>
              <w:t>≤</w:t>
            </w:r>
            <w:r>
              <w:rPr>
                <w:rFonts w:ascii="宋体" w:hAnsi="宋体"/>
              </w:rPr>
              <w:t xml:space="preserve"> 2小时</w:t>
            </w:r>
          </w:p>
          <w:p>
            <w:pPr>
              <w:pStyle w:val="4"/>
              <w:ind w:firstLine="0"/>
              <w:rPr>
                <w:rFonts w:ascii="宋体" w:hAnsi="宋体"/>
              </w:rPr>
            </w:pPr>
            <w:r>
              <w:rPr>
                <w:rFonts w:hint="eastAsia" w:ascii="宋体" w:hAnsi="宋体"/>
              </w:rPr>
              <w:t>超过</w:t>
            </w:r>
            <w:r>
              <w:rPr>
                <w:rFonts w:ascii="宋体" w:hAnsi="宋体"/>
              </w:rPr>
              <w:t>2小时提供配件备机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pStyle w:val="4"/>
              <w:ind w:firstLine="0"/>
              <w:jc w:val="center"/>
              <w:rPr>
                <w:rFonts w:ascii="宋体" w:hAnsi="宋体"/>
              </w:rPr>
            </w:pPr>
          </w:p>
        </w:tc>
        <w:tc>
          <w:tcPr>
            <w:tcW w:w="1990" w:type="dxa"/>
          </w:tcPr>
          <w:p>
            <w:pPr>
              <w:pStyle w:val="4"/>
              <w:ind w:firstLine="0"/>
              <w:rPr>
                <w:rFonts w:ascii="宋体" w:hAnsi="宋体"/>
              </w:rPr>
            </w:pPr>
            <w:r>
              <w:rPr>
                <w:rFonts w:hint="eastAsia" w:ascii="宋体" w:hAnsi="宋体"/>
              </w:rPr>
              <w:t>严重故障（系统性能受损）</w:t>
            </w:r>
          </w:p>
        </w:tc>
        <w:tc>
          <w:tcPr>
            <w:tcW w:w="2830" w:type="dxa"/>
          </w:tcPr>
          <w:p>
            <w:pPr>
              <w:pStyle w:val="4"/>
              <w:ind w:firstLine="0"/>
              <w:rPr>
                <w:rFonts w:ascii="宋体" w:hAnsi="宋体"/>
              </w:rPr>
            </w:pPr>
            <w:r>
              <w:rPr>
                <w:rFonts w:hint="eastAsia" w:ascii="宋体" w:hAnsi="宋体"/>
              </w:rPr>
              <w:t>网络系统全部或部分网络运行缓慢。</w:t>
            </w:r>
          </w:p>
        </w:tc>
        <w:tc>
          <w:tcPr>
            <w:tcW w:w="1134" w:type="dxa"/>
          </w:tcPr>
          <w:p>
            <w:pPr>
              <w:pStyle w:val="4"/>
              <w:ind w:firstLine="0"/>
              <w:rPr>
                <w:rFonts w:ascii="宋体" w:hAnsi="宋体"/>
              </w:rPr>
            </w:pPr>
            <w:r>
              <w:rPr>
                <w:rFonts w:hint="eastAsia" w:ascii="宋体" w:hAnsi="宋体" w:cs="Arial"/>
              </w:rPr>
              <w:t xml:space="preserve">≤ </w:t>
            </w:r>
            <w:r>
              <w:rPr>
                <w:rFonts w:ascii="宋体" w:hAnsi="宋体"/>
              </w:rPr>
              <w:t>2小时</w:t>
            </w:r>
          </w:p>
        </w:tc>
        <w:tc>
          <w:tcPr>
            <w:tcW w:w="1565" w:type="dxa"/>
          </w:tcPr>
          <w:p>
            <w:pPr>
              <w:pStyle w:val="4"/>
              <w:ind w:firstLine="0"/>
              <w:rPr>
                <w:rFonts w:ascii="宋体" w:hAnsi="宋体"/>
              </w:rPr>
            </w:pPr>
            <w:r>
              <w:rPr>
                <w:rFonts w:hint="eastAsia" w:ascii="宋体" w:hAnsi="宋体"/>
              </w:rPr>
              <w:t>≤</w:t>
            </w:r>
            <w:r>
              <w:rPr>
                <w:rFonts w:ascii="宋体" w:hAnsi="宋体"/>
              </w:rPr>
              <w:t xml:space="preserve"> 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pStyle w:val="4"/>
              <w:ind w:firstLine="0"/>
              <w:jc w:val="center"/>
              <w:rPr>
                <w:rFonts w:ascii="宋体" w:hAnsi="宋体"/>
              </w:rPr>
            </w:pPr>
          </w:p>
        </w:tc>
        <w:tc>
          <w:tcPr>
            <w:tcW w:w="1990" w:type="dxa"/>
          </w:tcPr>
          <w:p>
            <w:pPr>
              <w:pStyle w:val="4"/>
              <w:ind w:firstLine="0"/>
              <w:rPr>
                <w:rFonts w:ascii="宋体" w:hAnsi="宋体"/>
              </w:rPr>
            </w:pPr>
            <w:r>
              <w:rPr>
                <w:rFonts w:hint="eastAsia" w:ascii="宋体" w:hAnsi="宋体"/>
              </w:rPr>
              <w:t>一般故障（系统运行正常）</w:t>
            </w:r>
          </w:p>
        </w:tc>
        <w:tc>
          <w:tcPr>
            <w:tcW w:w="2830" w:type="dxa"/>
          </w:tcPr>
          <w:p>
            <w:pPr>
              <w:pStyle w:val="4"/>
              <w:ind w:firstLine="0"/>
              <w:rPr>
                <w:rFonts w:ascii="宋体" w:hAnsi="宋体"/>
              </w:rPr>
            </w:pPr>
            <w:r>
              <w:rPr>
                <w:rFonts w:hint="eastAsia" w:ascii="宋体" w:hAnsi="宋体"/>
              </w:rPr>
              <w:t>一般报警信息，对网络稳定正常运行没有影响</w:t>
            </w:r>
          </w:p>
        </w:tc>
        <w:tc>
          <w:tcPr>
            <w:tcW w:w="1134" w:type="dxa"/>
          </w:tcPr>
          <w:p>
            <w:pPr>
              <w:pStyle w:val="4"/>
              <w:ind w:firstLine="0"/>
              <w:rPr>
                <w:rFonts w:ascii="宋体" w:hAnsi="宋体"/>
              </w:rPr>
            </w:pPr>
            <w:r>
              <w:rPr>
                <w:rFonts w:hint="eastAsia" w:ascii="宋体" w:hAnsi="宋体" w:cs="Arial"/>
              </w:rPr>
              <w:t xml:space="preserve">≤ </w:t>
            </w:r>
            <w:r>
              <w:rPr>
                <w:rFonts w:ascii="宋体" w:hAnsi="宋体"/>
              </w:rPr>
              <w:t>4小时</w:t>
            </w:r>
          </w:p>
        </w:tc>
        <w:tc>
          <w:tcPr>
            <w:tcW w:w="1565" w:type="dxa"/>
          </w:tcPr>
          <w:p>
            <w:pPr>
              <w:pStyle w:val="4"/>
              <w:ind w:firstLine="0"/>
              <w:rPr>
                <w:rFonts w:ascii="宋体" w:hAnsi="宋体"/>
              </w:rPr>
            </w:pPr>
            <w:r>
              <w:rPr>
                <w:rFonts w:hint="eastAsia" w:ascii="宋体" w:hAnsi="宋体"/>
              </w:rPr>
              <w:t>≤</w:t>
            </w:r>
            <w:r>
              <w:rPr>
                <w:rFonts w:ascii="宋体" w:hAnsi="宋体"/>
              </w:rPr>
              <w:t xml:space="preserve"> 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pStyle w:val="4"/>
              <w:ind w:firstLine="0"/>
              <w:jc w:val="center"/>
              <w:rPr>
                <w:rFonts w:ascii="宋体" w:hAnsi="宋体"/>
              </w:rPr>
            </w:pPr>
            <w:r>
              <w:rPr>
                <w:rFonts w:hint="eastAsia" w:ascii="宋体" w:hAnsi="宋体"/>
              </w:rPr>
              <w:t>数据库维护服务级别</w:t>
            </w:r>
          </w:p>
        </w:tc>
        <w:tc>
          <w:tcPr>
            <w:tcW w:w="1990" w:type="dxa"/>
          </w:tcPr>
          <w:p>
            <w:pPr>
              <w:pStyle w:val="4"/>
              <w:ind w:firstLine="0"/>
              <w:rPr>
                <w:rFonts w:ascii="宋体" w:hAnsi="宋体"/>
              </w:rPr>
            </w:pPr>
            <w:r>
              <w:rPr>
                <w:rFonts w:hint="eastAsia" w:ascii="宋体" w:hAnsi="宋体"/>
              </w:rPr>
              <w:t>紧急故障（系统瘫痪）</w:t>
            </w:r>
          </w:p>
        </w:tc>
        <w:tc>
          <w:tcPr>
            <w:tcW w:w="2830" w:type="dxa"/>
          </w:tcPr>
          <w:p>
            <w:pPr>
              <w:pStyle w:val="4"/>
              <w:ind w:firstLine="0"/>
              <w:rPr>
                <w:rFonts w:ascii="宋体" w:hAnsi="宋体"/>
              </w:rPr>
            </w:pPr>
            <w:r>
              <w:rPr>
                <w:rFonts w:hint="eastAsia" w:ascii="宋体" w:hAnsi="宋体"/>
              </w:rPr>
              <w:t>数据库不能为业务系统提供服务或影响业务系统部分交易故障。</w:t>
            </w:r>
          </w:p>
        </w:tc>
        <w:tc>
          <w:tcPr>
            <w:tcW w:w="1134" w:type="dxa"/>
          </w:tcPr>
          <w:p>
            <w:pPr>
              <w:pStyle w:val="4"/>
              <w:ind w:firstLine="0"/>
              <w:rPr>
                <w:rFonts w:ascii="宋体" w:hAnsi="宋体"/>
              </w:rPr>
            </w:pPr>
            <w:r>
              <w:rPr>
                <w:rFonts w:hint="eastAsia" w:ascii="宋体" w:hAnsi="宋体"/>
              </w:rPr>
              <w:t>≤</w:t>
            </w:r>
            <w:r>
              <w:rPr>
                <w:rFonts w:ascii="宋体" w:hAnsi="宋体"/>
              </w:rPr>
              <w:t xml:space="preserve"> 1小时</w:t>
            </w:r>
          </w:p>
        </w:tc>
        <w:tc>
          <w:tcPr>
            <w:tcW w:w="1565" w:type="dxa"/>
          </w:tcPr>
          <w:p>
            <w:pPr>
              <w:pStyle w:val="4"/>
              <w:ind w:firstLine="0"/>
              <w:rPr>
                <w:rFonts w:ascii="宋体" w:hAnsi="宋体"/>
              </w:rPr>
            </w:pPr>
            <w:r>
              <w:rPr>
                <w:rFonts w:ascii="宋体" w:hAnsi="宋体"/>
              </w:rPr>
              <w:t>2小时恢复系统正常运行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pStyle w:val="4"/>
              <w:ind w:firstLine="0"/>
              <w:jc w:val="center"/>
              <w:rPr>
                <w:rFonts w:ascii="宋体" w:hAnsi="宋体"/>
              </w:rPr>
            </w:pPr>
          </w:p>
        </w:tc>
        <w:tc>
          <w:tcPr>
            <w:tcW w:w="1990" w:type="dxa"/>
          </w:tcPr>
          <w:p>
            <w:pPr>
              <w:pStyle w:val="4"/>
              <w:ind w:firstLine="0"/>
              <w:rPr>
                <w:rFonts w:ascii="宋体" w:hAnsi="宋体"/>
              </w:rPr>
            </w:pPr>
            <w:r>
              <w:rPr>
                <w:rFonts w:hint="eastAsia" w:ascii="宋体" w:hAnsi="宋体"/>
              </w:rPr>
              <w:t>严重故障（系统性能受损）</w:t>
            </w:r>
          </w:p>
        </w:tc>
        <w:tc>
          <w:tcPr>
            <w:tcW w:w="2830" w:type="dxa"/>
          </w:tcPr>
          <w:p>
            <w:pPr>
              <w:pStyle w:val="4"/>
              <w:ind w:firstLine="0"/>
              <w:rPr>
                <w:rFonts w:ascii="宋体" w:hAnsi="宋体"/>
              </w:rPr>
            </w:pPr>
            <w:r>
              <w:rPr>
                <w:rFonts w:hint="eastAsia" w:ascii="宋体" w:hAnsi="宋体"/>
              </w:rPr>
              <w:t>业务系统全部或部分交易运行缓慢。</w:t>
            </w:r>
          </w:p>
        </w:tc>
        <w:tc>
          <w:tcPr>
            <w:tcW w:w="1134" w:type="dxa"/>
          </w:tcPr>
          <w:p>
            <w:pPr>
              <w:pStyle w:val="4"/>
              <w:ind w:firstLine="0"/>
              <w:rPr>
                <w:rFonts w:ascii="宋体" w:hAnsi="宋体"/>
              </w:rPr>
            </w:pPr>
            <w:r>
              <w:rPr>
                <w:rFonts w:hint="eastAsia" w:ascii="宋体" w:hAnsi="宋体"/>
              </w:rPr>
              <w:t>≤</w:t>
            </w:r>
            <w:r>
              <w:rPr>
                <w:rFonts w:ascii="宋体" w:hAnsi="宋体"/>
              </w:rPr>
              <w:t xml:space="preserve"> 2小时</w:t>
            </w:r>
          </w:p>
        </w:tc>
        <w:tc>
          <w:tcPr>
            <w:tcW w:w="1565" w:type="dxa"/>
          </w:tcPr>
          <w:p>
            <w:pPr>
              <w:pStyle w:val="4"/>
              <w:ind w:firstLine="0"/>
              <w:rPr>
                <w:rFonts w:ascii="宋体" w:hAnsi="宋体"/>
              </w:rPr>
            </w:pPr>
            <w:r>
              <w:rPr>
                <w:rFonts w:ascii="宋体" w:hAnsi="宋体"/>
              </w:rPr>
              <w:t>5小时恢复系统正常运行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pStyle w:val="4"/>
              <w:ind w:firstLine="0"/>
              <w:jc w:val="center"/>
              <w:rPr>
                <w:rFonts w:ascii="宋体" w:hAnsi="宋体"/>
              </w:rPr>
            </w:pPr>
          </w:p>
        </w:tc>
        <w:tc>
          <w:tcPr>
            <w:tcW w:w="1990" w:type="dxa"/>
          </w:tcPr>
          <w:p>
            <w:pPr>
              <w:pStyle w:val="4"/>
              <w:ind w:firstLine="0"/>
              <w:rPr>
                <w:rFonts w:ascii="宋体" w:hAnsi="宋体"/>
              </w:rPr>
            </w:pPr>
            <w:r>
              <w:rPr>
                <w:rFonts w:hint="eastAsia" w:ascii="宋体" w:hAnsi="宋体"/>
              </w:rPr>
              <w:t>一般故障（系统运行正常）</w:t>
            </w:r>
          </w:p>
        </w:tc>
        <w:tc>
          <w:tcPr>
            <w:tcW w:w="2830" w:type="dxa"/>
          </w:tcPr>
          <w:p>
            <w:pPr>
              <w:pStyle w:val="4"/>
              <w:ind w:firstLine="0"/>
              <w:rPr>
                <w:rFonts w:ascii="宋体" w:hAnsi="宋体"/>
              </w:rPr>
            </w:pPr>
            <w:r>
              <w:rPr>
                <w:rFonts w:hint="eastAsia" w:ascii="宋体" w:hAnsi="宋体"/>
              </w:rPr>
              <w:t>一般报警信息，对交易系统正常运行没有影响；系统参数调整等。</w:t>
            </w:r>
          </w:p>
        </w:tc>
        <w:tc>
          <w:tcPr>
            <w:tcW w:w="1134" w:type="dxa"/>
          </w:tcPr>
          <w:p>
            <w:pPr>
              <w:pStyle w:val="4"/>
              <w:ind w:firstLine="0"/>
              <w:rPr>
                <w:rFonts w:ascii="宋体" w:hAnsi="宋体"/>
              </w:rPr>
            </w:pPr>
            <w:r>
              <w:rPr>
                <w:rFonts w:hint="eastAsia" w:ascii="宋体" w:hAnsi="宋体"/>
              </w:rPr>
              <w:t>≤</w:t>
            </w:r>
            <w:r>
              <w:rPr>
                <w:rFonts w:ascii="宋体" w:hAnsi="宋体"/>
              </w:rPr>
              <w:t xml:space="preserve"> 4小时</w:t>
            </w:r>
          </w:p>
        </w:tc>
        <w:tc>
          <w:tcPr>
            <w:tcW w:w="1565" w:type="dxa"/>
          </w:tcPr>
          <w:p>
            <w:pPr>
              <w:pStyle w:val="4"/>
              <w:ind w:firstLine="0"/>
              <w:rPr>
                <w:rFonts w:ascii="宋体" w:hAnsi="宋体"/>
              </w:rPr>
            </w:pPr>
            <w:r>
              <w:rPr>
                <w:rFonts w:ascii="宋体" w:hAnsi="宋体"/>
              </w:rPr>
              <w:t>24小时恢复系统正常运行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pStyle w:val="4"/>
              <w:ind w:firstLine="0"/>
              <w:jc w:val="center"/>
              <w:rPr>
                <w:rFonts w:ascii="宋体" w:hAnsi="宋体"/>
              </w:rPr>
            </w:pPr>
            <w:r>
              <w:rPr>
                <w:rFonts w:hint="eastAsia" w:ascii="宋体" w:hAnsi="宋体"/>
              </w:rPr>
              <w:t>虚拟化平台维护服务级别</w:t>
            </w:r>
          </w:p>
        </w:tc>
        <w:tc>
          <w:tcPr>
            <w:tcW w:w="1990" w:type="dxa"/>
          </w:tcPr>
          <w:p>
            <w:pPr>
              <w:pStyle w:val="4"/>
              <w:ind w:firstLine="0"/>
              <w:rPr>
                <w:rFonts w:ascii="宋体" w:hAnsi="宋体"/>
              </w:rPr>
            </w:pPr>
            <w:r>
              <w:rPr>
                <w:rFonts w:hint="eastAsia" w:ascii="宋体" w:hAnsi="宋体"/>
              </w:rPr>
              <w:t>紧急故障（系统瘫痪）</w:t>
            </w:r>
          </w:p>
        </w:tc>
        <w:tc>
          <w:tcPr>
            <w:tcW w:w="2830" w:type="dxa"/>
          </w:tcPr>
          <w:p>
            <w:pPr>
              <w:pStyle w:val="4"/>
              <w:ind w:firstLine="0"/>
              <w:rPr>
                <w:rFonts w:ascii="宋体" w:hAnsi="宋体"/>
              </w:rPr>
            </w:pPr>
            <w:r>
              <w:rPr>
                <w:rFonts w:ascii="宋体" w:hAnsi="宋体"/>
              </w:rPr>
              <w:t>虚拟化平台不能为业务系统提供服务或影响业务系统部分运行故障。</w:t>
            </w:r>
          </w:p>
        </w:tc>
        <w:tc>
          <w:tcPr>
            <w:tcW w:w="1134" w:type="dxa"/>
          </w:tcPr>
          <w:p>
            <w:pPr>
              <w:pStyle w:val="4"/>
              <w:ind w:firstLine="0"/>
              <w:rPr>
                <w:rFonts w:ascii="宋体" w:hAnsi="宋体"/>
              </w:rPr>
            </w:pPr>
            <w:r>
              <w:rPr>
                <w:rFonts w:hint="eastAsia" w:ascii="宋体" w:hAnsi="宋体"/>
              </w:rPr>
              <w:t>≤</w:t>
            </w:r>
            <w:r>
              <w:rPr>
                <w:rFonts w:ascii="宋体" w:hAnsi="宋体"/>
              </w:rPr>
              <w:t xml:space="preserve"> 1小时</w:t>
            </w:r>
          </w:p>
        </w:tc>
        <w:tc>
          <w:tcPr>
            <w:tcW w:w="1565" w:type="dxa"/>
          </w:tcPr>
          <w:p>
            <w:pPr>
              <w:pStyle w:val="4"/>
              <w:ind w:firstLine="0"/>
              <w:rPr>
                <w:rFonts w:ascii="宋体" w:hAnsi="宋体"/>
              </w:rPr>
            </w:pPr>
            <w:r>
              <w:rPr>
                <w:rFonts w:ascii="宋体" w:hAnsi="宋体"/>
              </w:rPr>
              <w:t>2小时恢复系统正常运行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pStyle w:val="4"/>
              <w:ind w:firstLine="0"/>
              <w:rPr>
                <w:rFonts w:ascii="宋体" w:hAnsi="宋体"/>
              </w:rPr>
            </w:pPr>
          </w:p>
        </w:tc>
        <w:tc>
          <w:tcPr>
            <w:tcW w:w="1990" w:type="dxa"/>
          </w:tcPr>
          <w:p>
            <w:pPr>
              <w:pStyle w:val="4"/>
              <w:ind w:firstLine="0"/>
              <w:rPr>
                <w:rFonts w:ascii="宋体" w:hAnsi="宋体"/>
              </w:rPr>
            </w:pPr>
            <w:r>
              <w:rPr>
                <w:rFonts w:hint="eastAsia" w:ascii="宋体" w:hAnsi="宋体"/>
              </w:rPr>
              <w:t>严重故障（系统性能受损）</w:t>
            </w:r>
          </w:p>
        </w:tc>
        <w:tc>
          <w:tcPr>
            <w:tcW w:w="2830" w:type="dxa"/>
          </w:tcPr>
          <w:p>
            <w:pPr>
              <w:pStyle w:val="4"/>
              <w:ind w:firstLine="0"/>
              <w:rPr>
                <w:rFonts w:ascii="宋体" w:hAnsi="宋体"/>
              </w:rPr>
            </w:pPr>
            <w:r>
              <w:rPr>
                <w:rFonts w:ascii="宋体" w:hAnsi="宋体"/>
              </w:rPr>
              <w:t>业务系统全部或部分交易运行缓慢。</w:t>
            </w:r>
          </w:p>
        </w:tc>
        <w:tc>
          <w:tcPr>
            <w:tcW w:w="1134" w:type="dxa"/>
          </w:tcPr>
          <w:p>
            <w:pPr>
              <w:pStyle w:val="4"/>
              <w:ind w:firstLine="0"/>
              <w:rPr>
                <w:rFonts w:ascii="宋体" w:hAnsi="宋体"/>
              </w:rPr>
            </w:pPr>
            <w:r>
              <w:rPr>
                <w:rFonts w:hint="eastAsia" w:ascii="宋体" w:hAnsi="宋体"/>
              </w:rPr>
              <w:t>≤</w:t>
            </w:r>
            <w:r>
              <w:rPr>
                <w:rFonts w:ascii="宋体" w:hAnsi="宋体"/>
              </w:rPr>
              <w:t xml:space="preserve"> 2小时</w:t>
            </w:r>
          </w:p>
        </w:tc>
        <w:tc>
          <w:tcPr>
            <w:tcW w:w="1565" w:type="dxa"/>
          </w:tcPr>
          <w:p>
            <w:pPr>
              <w:pStyle w:val="4"/>
              <w:ind w:firstLine="0"/>
              <w:rPr>
                <w:rFonts w:ascii="宋体" w:hAnsi="宋体"/>
              </w:rPr>
            </w:pPr>
            <w:r>
              <w:rPr>
                <w:rFonts w:ascii="宋体" w:hAnsi="宋体"/>
              </w:rPr>
              <w:t>5小时恢复系统正常运行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pStyle w:val="4"/>
              <w:ind w:firstLine="0"/>
              <w:rPr>
                <w:rFonts w:ascii="宋体" w:hAnsi="宋体"/>
              </w:rPr>
            </w:pPr>
          </w:p>
        </w:tc>
        <w:tc>
          <w:tcPr>
            <w:tcW w:w="1990" w:type="dxa"/>
          </w:tcPr>
          <w:p>
            <w:pPr>
              <w:pStyle w:val="4"/>
              <w:ind w:firstLine="0"/>
              <w:rPr>
                <w:rFonts w:ascii="宋体" w:hAnsi="宋体"/>
              </w:rPr>
            </w:pPr>
            <w:r>
              <w:rPr>
                <w:rFonts w:hint="eastAsia" w:ascii="宋体" w:hAnsi="宋体"/>
              </w:rPr>
              <w:t>一般故障（系统运行正常）</w:t>
            </w:r>
          </w:p>
        </w:tc>
        <w:tc>
          <w:tcPr>
            <w:tcW w:w="2830" w:type="dxa"/>
          </w:tcPr>
          <w:p>
            <w:pPr>
              <w:pStyle w:val="4"/>
              <w:ind w:firstLine="0"/>
              <w:rPr>
                <w:rFonts w:ascii="宋体" w:hAnsi="宋体"/>
              </w:rPr>
            </w:pPr>
            <w:r>
              <w:rPr>
                <w:rFonts w:ascii="宋体" w:hAnsi="宋体"/>
              </w:rPr>
              <w:t>一般报警信息，对业务系统正常运行没有影响；系统参数调整等。</w:t>
            </w:r>
          </w:p>
        </w:tc>
        <w:tc>
          <w:tcPr>
            <w:tcW w:w="1134" w:type="dxa"/>
          </w:tcPr>
          <w:p>
            <w:pPr>
              <w:pStyle w:val="4"/>
              <w:ind w:firstLine="0"/>
              <w:rPr>
                <w:rFonts w:ascii="宋体" w:hAnsi="宋体"/>
              </w:rPr>
            </w:pPr>
            <w:r>
              <w:rPr>
                <w:rFonts w:hint="eastAsia" w:ascii="宋体" w:hAnsi="宋体"/>
              </w:rPr>
              <w:t>≤</w:t>
            </w:r>
            <w:r>
              <w:rPr>
                <w:rFonts w:ascii="宋体" w:hAnsi="宋体"/>
              </w:rPr>
              <w:t xml:space="preserve"> 4小时</w:t>
            </w:r>
          </w:p>
        </w:tc>
        <w:tc>
          <w:tcPr>
            <w:tcW w:w="1565" w:type="dxa"/>
          </w:tcPr>
          <w:p>
            <w:pPr>
              <w:pStyle w:val="4"/>
              <w:ind w:firstLine="0"/>
              <w:rPr>
                <w:rFonts w:ascii="宋体" w:hAnsi="宋体"/>
              </w:rPr>
            </w:pPr>
            <w:r>
              <w:rPr>
                <w:rFonts w:ascii="宋体" w:hAnsi="宋体"/>
              </w:rPr>
              <w:t>24小时恢复系统正常运行</w:t>
            </w:r>
          </w:p>
        </w:tc>
      </w:tr>
    </w:tbl>
    <w:p>
      <w:pPr>
        <w:pStyle w:val="4"/>
        <w:rPr>
          <w:rFonts w:ascii="宋体" w:hAnsi="宋体"/>
        </w:rPr>
      </w:pPr>
    </w:p>
    <w:p>
      <w:pPr>
        <w:widowControl/>
        <w:jc w:val="left"/>
        <w:rPr>
          <w:rFonts w:cs="Times New Roman"/>
          <w:kern w:val="0"/>
          <w:sz w:val="20"/>
          <w:szCs w:val="20"/>
        </w:rPr>
      </w:pPr>
      <w:r>
        <w:br w:type="page"/>
      </w:r>
    </w:p>
    <w:p>
      <w:pPr>
        <w:pStyle w:val="3"/>
        <w:numPr>
          <w:ilvl w:val="0"/>
          <w:numId w:val="27"/>
        </w:numPr>
      </w:pPr>
      <w:r>
        <w:rPr>
          <w:rFonts w:hint="eastAsia"/>
        </w:rPr>
        <w:t>服务商要求</w:t>
      </w:r>
    </w:p>
    <w:p>
      <w:pPr>
        <w:pStyle w:val="4"/>
        <w:spacing w:line="360" w:lineRule="auto"/>
        <w:ind w:left="399" w:leftChars="190" w:firstLine="0"/>
        <w:rPr>
          <w:rFonts w:ascii="宋体" w:hAnsi="宋体"/>
          <w:b/>
          <w:bCs/>
          <w:color w:val="000000"/>
          <w:sz w:val="24"/>
          <w:szCs w:val="28"/>
        </w:rPr>
      </w:pPr>
      <w:r>
        <w:rPr>
          <w:rFonts w:hint="eastAsia" w:ascii="宋体" w:hAnsi="宋体"/>
          <w:b/>
          <w:bCs/>
          <w:color w:val="000000"/>
          <w:sz w:val="24"/>
          <w:szCs w:val="28"/>
        </w:rPr>
        <w:t>4.1.服务商公司资质要求（提供相关证书）：</w:t>
      </w:r>
    </w:p>
    <w:p>
      <w:pPr>
        <w:pStyle w:val="4"/>
        <w:spacing w:line="360" w:lineRule="auto"/>
        <w:ind w:left="630" w:leftChars="300" w:firstLine="0"/>
        <w:rPr>
          <w:rFonts w:ascii="宋体" w:hAnsi="宋体" w:cs="宋体"/>
          <w:sz w:val="21"/>
          <w:szCs w:val="21"/>
        </w:rPr>
      </w:pPr>
      <w:r>
        <w:rPr>
          <w:rFonts w:ascii="宋体" w:hAnsi="宋体"/>
          <w:sz w:val="21"/>
          <w:szCs w:val="21"/>
        </w:rPr>
        <w:t>(1</w:t>
      </w:r>
      <w:r>
        <w:rPr>
          <w:rFonts w:hint="eastAsia" w:ascii="宋体" w:hAnsi="宋体"/>
          <w:sz w:val="21"/>
          <w:szCs w:val="21"/>
        </w:rPr>
        <w:t xml:space="preserve">) </w:t>
      </w:r>
      <w:r>
        <w:rPr>
          <w:rFonts w:hint="eastAsia" w:ascii="宋体" w:hAnsi="宋体" w:cs="宋体"/>
          <w:sz w:val="21"/>
          <w:szCs w:val="21"/>
        </w:rPr>
        <w:t xml:space="preserve">ITSS信息技术服务运行维护标准贰级（或以上）证书； </w:t>
      </w:r>
      <w:r>
        <w:rPr>
          <w:rFonts w:hint="eastAsia" w:ascii="宋体" w:hAnsi="宋体" w:cs="宋体"/>
          <w:sz w:val="21"/>
          <w:szCs w:val="21"/>
        </w:rPr>
        <w:br w:type="textWrapping"/>
      </w:r>
      <w:r>
        <w:rPr>
          <w:rFonts w:ascii="宋体" w:hAnsi="宋体"/>
          <w:sz w:val="21"/>
          <w:szCs w:val="21"/>
        </w:rPr>
        <w:t>(2)</w:t>
      </w:r>
      <w:r>
        <w:rPr>
          <w:rFonts w:hint="eastAsia" w:ascii="宋体" w:hAnsi="宋体"/>
          <w:sz w:val="21"/>
          <w:szCs w:val="21"/>
        </w:rPr>
        <w:t xml:space="preserve"> </w:t>
      </w:r>
      <w:r>
        <w:rPr>
          <w:rFonts w:hint="eastAsia" w:ascii="宋体" w:hAnsi="宋体" w:cs="宋体"/>
          <w:sz w:val="21"/>
          <w:szCs w:val="21"/>
        </w:rPr>
        <w:t>CCRC信息安全服务资质认证证书（信息系统安全集成方向）二级或以上；</w:t>
      </w:r>
    </w:p>
    <w:p>
      <w:pPr>
        <w:pStyle w:val="4"/>
        <w:spacing w:line="360" w:lineRule="auto"/>
        <w:ind w:left="630" w:leftChars="300" w:firstLine="0"/>
        <w:rPr>
          <w:rFonts w:ascii="宋体" w:hAnsi="宋体" w:cs="宋体"/>
          <w:sz w:val="21"/>
          <w:szCs w:val="21"/>
        </w:rPr>
      </w:pPr>
      <w:r>
        <w:rPr>
          <w:rFonts w:ascii="宋体" w:hAnsi="宋体"/>
          <w:sz w:val="21"/>
          <w:szCs w:val="21"/>
        </w:rPr>
        <w:t>(3) ISO20000IT服务管理体系认证证书</w:t>
      </w:r>
      <w:r>
        <w:rPr>
          <w:rFonts w:hint="eastAsia" w:ascii="宋体" w:hAnsi="宋体"/>
          <w:sz w:val="21"/>
          <w:szCs w:val="21"/>
        </w:rPr>
        <w:t>;</w:t>
      </w:r>
    </w:p>
    <w:p>
      <w:pPr>
        <w:pStyle w:val="4"/>
        <w:spacing w:line="360" w:lineRule="auto"/>
        <w:ind w:left="630" w:leftChars="300" w:firstLine="0"/>
        <w:rPr>
          <w:rFonts w:ascii="宋体" w:hAnsi="宋体"/>
        </w:rPr>
      </w:pPr>
      <w:r>
        <w:rPr>
          <w:rFonts w:hint="eastAsia" w:ascii="宋体" w:hAnsi="宋体"/>
        </w:rPr>
        <w:t>（以上证书提供复印件并加盖服务商公章）</w:t>
      </w:r>
    </w:p>
    <w:p>
      <w:pPr>
        <w:pStyle w:val="4"/>
        <w:spacing w:line="360" w:lineRule="auto"/>
        <w:ind w:left="399" w:leftChars="190" w:firstLine="0"/>
        <w:rPr>
          <w:rFonts w:ascii="宋体" w:hAnsi="宋体"/>
          <w:b/>
          <w:bCs/>
          <w:color w:val="000000"/>
          <w:sz w:val="24"/>
          <w:szCs w:val="28"/>
        </w:rPr>
      </w:pPr>
      <w:r>
        <w:rPr>
          <w:rFonts w:hint="eastAsia" w:ascii="宋体" w:hAnsi="宋体"/>
          <w:b/>
          <w:bCs/>
          <w:color w:val="000000"/>
          <w:sz w:val="24"/>
          <w:szCs w:val="28"/>
        </w:rPr>
        <w:t xml:space="preserve">4.2.技术实力要求，投入本项目服务工程师： </w:t>
      </w:r>
    </w:p>
    <w:p>
      <w:pPr>
        <w:pStyle w:val="4"/>
        <w:spacing w:line="360" w:lineRule="auto"/>
        <w:ind w:left="399" w:leftChars="190" w:firstLine="210" w:firstLineChars="100"/>
        <w:rPr>
          <w:rFonts w:ascii="宋体" w:hAnsi="宋体" w:cs="宋体"/>
          <w:sz w:val="21"/>
          <w:szCs w:val="21"/>
        </w:rPr>
      </w:pPr>
      <w:r>
        <w:rPr>
          <w:rFonts w:ascii="宋体" w:hAnsi="宋体"/>
          <w:sz w:val="21"/>
          <w:szCs w:val="21"/>
        </w:rPr>
        <w:t>(1)</w:t>
      </w:r>
      <w:r>
        <w:rPr>
          <w:rFonts w:hint="eastAsia" w:ascii="宋体" w:hAnsi="宋体"/>
          <w:sz w:val="21"/>
          <w:szCs w:val="21"/>
        </w:rPr>
        <w:t xml:space="preserve"> 项目经理要求：</w:t>
      </w:r>
      <w:r>
        <w:rPr>
          <w:rFonts w:hint="eastAsia" w:ascii="宋体" w:hAnsi="宋体" w:cs="宋体"/>
          <w:sz w:val="21"/>
          <w:szCs w:val="21"/>
        </w:rPr>
        <w:t>本科或以上学历，具备P</w:t>
      </w:r>
      <w:r>
        <w:rPr>
          <w:rFonts w:ascii="宋体" w:hAnsi="宋体" w:cs="宋体"/>
          <w:sz w:val="21"/>
          <w:szCs w:val="21"/>
        </w:rPr>
        <w:t>MP</w:t>
      </w:r>
      <w:r>
        <w:rPr>
          <w:rFonts w:hint="eastAsia" w:ascii="宋体" w:hAnsi="宋体" w:cs="宋体"/>
          <w:sz w:val="21"/>
          <w:szCs w:val="21"/>
        </w:rPr>
        <w:t>证书，具有计算机技术与软件专业技术资格证书，专业类别为系统集成项目管理工程师</w:t>
      </w:r>
      <w:r>
        <w:rPr>
          <w:rFonts w:hint="eastAsia" w:ascii="宋体" w:hAnsi="宋体" w:cs="宋体"/>
          <w:sz w:val="21"/>
          <w:szCs w:val="21"/>
          <w:lang w:val="en-US" w:eastAsia="zh-CN"/>
        </w:rPr>
        <w:t>或信息系统项目管理师</w:t>
      </w:r>
      <w:r>
        <w:rPr>
          <w:rFonts w:hint="eastAsia" w:ascii="宋体" w:hAnsi="宋体" w:cs="宋体"/>
          <w:sz w:val="21"/>
          <w:szCs w:val="21"/>
        </w:rPr>
        <w:t>，具有</w:t>
      </w:r>
      <w:r>
        <w:rPr>
          <w:rFonts w:ascii="宋体" w:hAnsi="宋体" w:cs="宋体"/>
          <w:sz w:val="21"/>
          <w:szCs w:val="21"/>
        </w:rPr>
        <w:t>ITIL</w:t>
      </w:r>
      <w:r>
        <w:rPr>
          <w:rFonts w:hint="eastAsia" w:ascii="宋体" w:hAnsi="宋体" w:cs="宋体"/>
          <w:sz w:val="21"/>
          <w:szCs w:val="21"/>
        </w:rPr>
        <w:t>证书；</w:t>
      </w:r>
    </w:p>
    <w:p>
      <w:pPr>
        <w:pStyle w:val="4"/>
        <w:spacing w:line="360" w:lineRule="auto"/>
        <w:ind w:left="819" w:leftChars="290" w:hanging="210" w:hangingChars="100"/>
        <w:rPr>
          <w:rFonts w:ascii="宋体" w:hAnsi="宋体" w:cs="宋体"/>
          <w:sz w:val="21"/>
          <w:szCs w:val="21"/>
        </w:rPr>
      </w:pPr>
      <w:r>
        <w:rPr>
          <w:rFonts w:ascii="宋体" w:hAnsi="宋体"/>
          <w:sz w:val="21"/>
          <w:szCs w:val="21"/>
        </w:rPr>
        <w:t>(</w:t>
      </w:r>
      <w:r>
        <w:rPr>
          <w:rFonts w:hint="eastAsia" w:ascii="宋体" w:hAnsi="宋体"/>
          <w:sz w:val="21"/>
          <w:szCs w:val="21"/>
        </w:rPr>
        <w:t>2</w:t>
      </w:r>
      <w:r>
        <w:rPr>
          <w:rFonts w:ascii="宋体" w:hAnsi="宋体"/>
          <w:sz w:val="21"/>
          <w:szCs w:val="21"/>
        </w:rPr>
        <w:t>)</w:t>
      </w:r>
      <w:r>
        <w:rPr>
          <w:rFonts w:hint="eastAsia" w:ascii="宋体" w:hAnsi="宋体"/>
          <w:sz w:val="21"/>
          <w:szCs w:val="21"/>
        </w:rPr>
        <w:t xml:space="preserve"> </w:t>
      </w:r>
      <w:r>
        <w:rPr>
          <w:rFonts w:hint="eastAsia" w:ascii="宋体" w:hAnsi="宋体" w:cs="宋体"/>
          <w:sz w:val="21"/>
          <w:szCs w:val="21"/>
        </w:rPr>
        <w:t>至少1名具有中级或以上系统集成项目管理工程师证书；</w:t>
      </w:r>
    </w:p>
    <w:p>
      <w:pPr>
        <w:pStyle w:val="4"/>
        <w:spacing w:line="360" w:lineRule="auto"/>
        <w:ind w:left="819" w:leftChars="290" w:hanging="210" w:hangingChars="100"/>
        <w:rPr>
          <w:rFonts w:ascii="宋体" w:hAnsi="宋体" w:cs="宋体"/>
          <w:sz w:val="21"/>
          <w:szCs w:val="21"/>
        </w:rPr>
      </w:pPr>
      <w:r>
        <w:rPr>
          <w:rFonts w:ascii="宋体" w:hAnsi="宋体"/>
          <w:sz w:val="21"/>
          <w:szCs w:val="21"/>
        </w:rPr>
        <w:t>(</w:t>
      </w:r>
      <w:r>
        <w:rPr>
          <w:rFonts w:hint="eastAsia" w:ascii="宋体" w:hAnsi="宋体"/>
          <w:sz w:val="21"/>
          <w:szCs w:val="21"/>
        </w:rPr>
        <w:t>3</w:t>
      </w:r>
      <w:r>
        <w:rPr>
          <w:rFonts w:ascii="宋体" w:hAnsi="宋体"/>
          <w:sz w:val="21"/>
          <w:szCs w:val="21"/>
        </w:rPr>
        <w:t>)</w:t>
      </w:r>
      <w:r>
        <w:rPr>
          <w:rFonts w:hint="eastAsia" w:ascii="宋体" w:hAnsi="宋体"/>
          <w:sz w:val="21"/>
          <w:szCs w:val="21"/>
        </w:rPr>
        <w:t xml:space="preserve"> </w:t>
      </w:r>
      <w:r>
        <w:rPr>
          <w:rFonts w:hint="eastAsia" w:ascii="宋体" w:hAnsi="宋体" w:cs="宋体"/>
          <w:sz w:val="21"/>
          <w:szCs w:val="21"/>
        </w:rPr>
        <w:t>至少</w:t>
      </w:r>
      <w:r>
        <w:rPr>
          <w:rFonts w:ascii="宋体" w:hAnsi="宋体" w:cs="宋体"/>
          <w:sz w:val="21"/>
          <w:szCs w:val="21"/>
        </w:rPr>
        <w:t>3</w:t>
      </w:r>
      <w:r>
        <w:rPr>
          <w:rFonts w:hint="eastAsia" w:ascii="宋体" w:hAnsi="宋体" w:cs="宋体"/>
          <w:sz w:val="21"/>
          <w:szCs w:val="21"/>
        </w:rPr>
        <w:t xml:space="preserve">名具有中级或以上网络工程师； </w:t>
      </w:r>
    </w:p>
    <w:p>
      <w:pPr>
        <w:pStyle w:val="4"/>
        <w:spacing w:line="360" w:lineRule="auto"/>
        <w:ind w:left="819" w:leftChars="290" w:hanging="210" w:hangingChars="100"/>
        <w:rPr>
          <w:rFonts w:ascii="宋体" w:hAnsi="宋体" w:cs="宋体"/>
          <w:sz w:val="21"/>
          <w:szCs w:val="21"/>
        </w:rPr>
      </w:pPr>
      <w:r>
        <w:rPr>
          <w:rFonts w:ascii="宋体" w:hAnsi="宋体"/>
          <w:sz w:val="21"/>
          <w:szCs w:val="21"/>
        </w:rPr>
        <w:t>(</w:t>
      </w:r>
      <w:r>
        <w:rPr>
          <w:rFonts w:hint="eastAsia" w:ascii="宋体" w:hAnsi="宋体"/>
          <w:sz w:val="21"/>
          <w:szCs w:val="21"/>
        </w:rPr>
        <w:t>4</w:t>
      </w:r>
      <w:r>
        <w:rPr>
          <w:rFonts w:ascii="宋体" w:hAnsi="宋体"/>
          <w:sz w:val="21"/>
          <w:szCs w:val="21"/>
        </w:rPr>
        <w:t>)</w:t>
      </w:r>
      <w:r>
        <w:rPr>
          <w:rFonts w:hint="eastAsia" w:ascii="宋体" w:hAnsi="宋体"/>
          <w:sz w:val="21"/>
          <w:szCs w:val="21"/>
        </w:rPr>
        <w:t xml:space="preserve"> </w:t>
      </w:r>
      <w:r>
        <w:rPr>
          <w:rFonts w:hint="eastAsia" w:ascii="宋体" w:hAnsi="宋体" w:cs="宋体"/>
          <w:sz w:val="21"/>
          <w:szCs w:val="21"/>
        </w:rPr>
        <w:t xml:space="preserve">至少1名具有注册信息安全工程师证书； </w:t>
      </w:r>
    </w:p>
    <w:p>
      <w:pPr>
        <w:pStyle w:val="4"/>
        <w:spacing w:line="360" w:lineRule="auto"/>
        <w:ind w:left="819" w:leftChars="290" w:hanging="210" w:hangingChars="100"/>
        <w:rPr>
          <w:rFonts w:ascii="宋体" w:hAnsi="宋体" w:cs="宋体"/>
          <w:sz w:val="21"/>
          <w:szCs w:val="21"/>
        </w:rPr>
      </w:pPr>
      <w:r>
        <w:rPr>
          <w:rFonts w:ascii="宋体" w:hAnsi="宋体"/>
          <w:sz w:val="21"/>
          <w:szCs w:val="21"/>
        </w:rPr>
        <w:t>(</w:t>
      </w:r>
      <w:r>
        <w:rPr>
          <w:rFonts w:hint="eastAsia" w:ascii="宋体" w:hAnsi="宋体"/>
          <w:sz w:val="21"/>
          <w:szCs w:val="21"/>
        </w:rPr>
        <w:t>5</w:t>
      </w:r>
      <w:r>
        <w:rPr>
          <w:rFonts w:ascii="宋体" w:hAnsi="宋体"/>
          <w:sz w:val="21"/>
          <w:szCs w:val="21"/>
        </w:rPr>
        <w:t>)</w:t>
      </w:r>
      <w:r>
        <w:rPr>
          <w:rFonts w:hint="eastAsia" w:ascii="宋体" w:hAnsi="宋体"/>
          <w:sz w:val="21"/>
          <w:szCs w:val="21"/>
        </w:rPr>
        <w:t xml:space="preserve"> </w:t>
      </w:r>
      <w:r>
        <w:rPr>
          <w:rFonts w:hint="eastAsia" w:ascii="宋体" w:hAnsi="宋体" w:cs="宋体"/>
          <w:sz w:val="21"/>
          <w:szCs w:val="21"/>
        </w:rPr>
        <w:t xml:space="preserve">至少1名具有注册信息安全管理人员证书； </w:t>
      </w:r>
    </w:p>
    <w:p>
      <w:pPr>
        <w:pStyle w:val="4"/>
        <w:spacing w:line="360" w:lineRule="auto"/>
        <w:ind w:left="819" w:leftChars="290" w:hanging="210" w:hangingChars="100"/>
        <w:rPr>
          <w:rFonts w:ascii="宋体" w:hAnsi="宋体" w:cs="宋体"/>
          <w:sz w:val="21"/>
          <w:szCs w:val="21"/>
        </w:rPr>
      </w:pPr>
      <w:r>
        <w:rPr>
          <w:rFonts w:ascii="宋体" w:hAnsi="宋体"/>
          <w:sz w:val="21"/>
          <w:szCs w:val="21"/>
        </w:rPr>
        <w:t>(</w:t>
      </w:r>
      <w:r>
        <w:rPr>
          <w:rFonts w:hint="eastAsia" w:ascii="宋体" w:hAnsi="宋体"/>
          <w:sz w:val="21"/>
          <w:szCs w:val="21"/>
        </w:rPr>
        <w:t>6</w:t>
      </w:r>
      <w:r>
        <w:rPr>
          <w:rFonts w:ascii="宋体" w:hAnsi="宋体"/>
          <w:sz w:val="21"/>
          <w:szCs w:val="21"/>
        </w:rPr>
        <w:t>)</w:t>
      </w:r>
      <w:r>
        <w:rPr>
          <w:rFonts w:hint="eastAsia" w:ascii="宋体" w:hAnsi="宋体"/>
          <w:sz w:val="21"/>
          <w:szCs w:val="21"/>
        </w:rPr>
        <w:t xml:space="preserve"> </w:t>
      </w:r>
      <w:r>
        <w:rPr>
          <w:rFonts w:hint="eastAsia" w:ascii="宋体" w:hAnsi="宋体" w:cs="宋体"/>
          <w:sz w:val="21"/>
          <w:szCs w:val="21"/>
        </w:rPr>
        <w:t xml:space="preserve">至少1名具有注册渗透测试工程师； </w:t>
      </w:r>
    </w:p>
    <w:p>
      <w:pPr>
        <w:pStyle w:val="4"/>
        <w:spacing w:line="360" w:lineRule="auto"/>
        <w:ind w:left="819" w:leftChars="290" w:hanging="210" w:hangingChars="100"/>
        <w:rPr>
          <w:rFonts w:ascii="宋体" w:hAnsi="宋体" w:cs="宋体"/>
          <w:sz w:val="21"/>
          <w:szCs w:val="21"/>
        </w:rPr>
      </w:pPr>
      <w:r>
        <w:rPr>
          <w:rFonts w:ascii="宋体" w:hAnsi="宋体" w:cs="宋体"/>
          <w:sz w:val="21"/>
          <w:szCs w:val="21"/>
        </w:rPr>
        <w:t>(7)</w:t>
      </w:r>
      <w:r>
        <w:rPr>
          <w:rFonts w:hint="eastAsia" w:ascii="宋体" w:hAnsi="宋体" w:cs="宋体"/>
          <w:sz w:val="21"/>
          <w:szCs w:val="21"/>
        </w:rPr>
        <w:t xml:space="preserve"> 至少1名具有信息安全保障人员认证证书； </w:t>
      </w:r>
    </w:p>
    <w:p>
      <w:pPr>
        <w:pStyle w:val="4"/>
        <w:spacing w:line="360" w:lineRule="auto"/>
        <w:ind w:left="819" w:leftChars="290" w:hanging="210" w:hangingChars="100"/>
        <w:rPr>
          <w:rFonts w:ascii="宋体" w:hAnsi="宋体" w:cs="宋体"/>
          <w:sz w:val="21"/>
          <w:szCs w:val="21"/>
        </w:rPr>
      </w:pPr>
      <w:r>
        <w:rPr>
          <w:rFonts w:hint="eastAsia" w:ascii="宋体" w:hAnsi="宋体" w:cs="宋体"/>
          <w:sz w:val="21"/>
          <w:szCs w:val="21"/>
        </w:rPr>
        <w:t>（以</w:t>
      </w:r>
      <w:r>
        <w:rPr>
          <w:rFonts w:ascii="宋体" w:hAnsi="宋体" w:cs="宋体"/>
          <w:sz w:val="21"/>
          <w:szCs w:val="21"/>
        </w:rPr>
        <w:t>上</w:t>
      </w:r>
      <w:r>
        <w:rPr>
          <w:rFonts w:hint="eastAsia" w:ascii="宋体" w:hAnsi="宋体" w:cs="宋体"/>
          <w:sz w:val="21"/>
          <w:szCs w:val="21"/>
        </w:rPr>
        <w:t>证书提供证书复印件和最近三个月的有效社保证明，并加盖服务商公章</w:t>
      </w:r>
      <w:r>
        <w:rPr>
          <w:rFonts w:hint="eastAsia"/>
        </w:rPr>
        <w:t>。</w:t>
      </w:r>
      <w:r>
        <w:rPr>
          <w:rFonts w:ascii="宋体" w:hAnsi="宋体" w:cs="宋体"/>
          <w:sz w:val="21"/>
          <w:szCs w:val="21"/>
        </w:rPr>
        <w:t>注：同一个人具有不同证书的</w:t>
      </w:r>
      <w:r>
        <w:rPr>
          <w:rFonts w:hint="eastAsia" w:ascii="宋体" w:hAnsi="宋体" w:cs="宋体"/>
          <w:sz w:val="21"/>
          <w:szCs w:val="21"/>
        </w:rPr>
        <w:t>只算一名有效人员）</w:t>
      </w:r>
    </w:p>
    <w:p>
      <w:pPr>
        <w:pStyle w:val="4"/>
        <w:spacing w:line="360" w:lineRule="auto"/>
        <w:ind w:left="399" w:leftChars="190" w:firstLine="0"/>
        <w:rPr>
          <w:rFonts w:ascii="宋体" w:hAnsi="宋体"/>
          <w:b/>
          <w:bCs/>
          <w:color w:val="000000"/>
          <w:sz w:val="24"/>
          <w:szCs w:val="28"/>
        </w:rPr>
      </w:pPr>
      <w:r>
        <w:rPr>
          <w:rFonts w:hint="eastAsia" w:ascii="宋体" w:hAnsi="宋体"/>
          <w:b/>
          <w:bCs/>
          <w:color w:val="000000"/>
          <w:sz w:val="24"/>
          <w:szCs w:val="28"/>
        </w:rPr>
        <w:t>4.3.项目经验：</w:t>
      </w:r>
    </w:p>
    <w:p>
      <w:pPr>
        <w:spacing w:line="360" w:lineRule="auto"/>
        <w:ind w:firstLine="420"/>
        <w:jc w:val="left"/>
        <w:rPr>
          <w:bCs/>
          <w:kern w:val="0"/>
          <w:sz w:val="24"/>
          <w:szCs w:val="24"/>
        </w:rPr>
      </w:pPr>
      <w:r>
        <w:rPr>
          <w:rFonts w:hint="eastAsia"/>
          <w:bCs/>
          <w:kern w:val="0"/>
          <w:sz w:val="24"/>
          <w:szCs w:val="24"/>
        </w:rPr>
        <w:t>服务商近3年内（以合同签订时间为准）具有实施过同类</w:t>
      </w:r>
      <w:r>
        <w:rPr>
          <w:rFonts w:hint="eastAsia"/>
          <w:bCs/>
          <w:kern w:val="0"/>
          <w:sz w:val="24"/>
          <w:szCs w:val="24"/>
          <w:lang w:val="en-US" w:eastAsia="zh-CN"/>
        </w:rPr>
        <w:t>设备/数据库/虚拟化等</w:t>
      </w:r>
      <w:r>
        <w:rPr>
          <w:rFonts w:hint="eastAsia"/>
          <w:bCs/>
          <w:kern w:val="0"/>
          <w:sz w:val="24"/>
          <w:szCs w:val="24"/>
        </w:rPr>
        <w:t>维保项目且金额超过5</w:t>
      </w:r>
      <w:r>
        <w:rPr>
          <w:bCs/>
          <w:kern w:val="0"/>
          <w:sz w:val="24"/>
          <w:szCs w:val="24"/>
        </w:rPr>
        <w:t>0</w:t>
      </w:r>
      <w:r>
        <w:rPr>
          <w:rFonts w:hint="eastAsia"/>
          <w:bCs/>
          <w:kern w:val="0"/>
          <w:sz w:val="24"/>
          <w:szCs w:val="24"/>
        </w:rPr>
        <w:t>万的案例不少于</w:t>
      </w:r>
      <w:r>
        <w:rPr>
          <w:bCs/>
          <w:kern w:val="0"/>
          <w:sz w:val="24"/>
          <w:szCs w:val="24"/>
        </w:rPr>
        <w:t>10</w:t>
      </w:r>
      <w:r>
        <w:rPr>
          <w:rFonts w:hint="eastAsia"/>
          <w:bCs/>
          <w:kern w:val="0"/>
          <w:sz w:val="24"/>
          <w:szCs w:val="24"/>
        </w:rPr>
        <w:t>个。</w:t>
      </w:r>
    </w:p>
    <w:p>
      <w:pPr>
        <w:pStyle w:val="4"/>
        <w:spacing w:line="360" w:lineRule="auto"/>
        <w:ind w:firstLineChars="200"/>
        <w:rPr>
          <w:rFonts w:ascii="宋体" w:hAnsi="宋体" w:cs="宋体"/>
          <w:sz w:val="21"/>
          <w:szCs w:val="21"/>
        </w:rPr>
      </w:pPr>
      <w:r>
        <w:rPr>
          <w:rFonts w:hint="eastAsia" w:ascii="宋体" w:hAnsi="宋体" w:cs="宋体"/>
          <w:sz w:val="21"/>
          <w:szCs w:val="21"/>
        </w:rPr>
        <w:t>（以</w:t>
      </w:r>
      <w:r>
        <w:rPr>
          <w:rFonts w:ascii="宋体" w:hAnsi="宋体" w:cs="宋体"/>
          <w:sz w:val="21"/>
          <w:szCs w:val="21"/>
        </w:rPr>
        <w:t>上</w:t>
      </w:r>
      <w:r>
        <w:rPr>
          <w:rFonts w:hint="eastAsia" w:ascii="宋体" w:hAnsi="宋体" w:cs="宋体"/>
          <w:sz w:val="21"/>
          <w:szCs w:val="21"/>
        </w:rPr>
        <w:t>提供有效合同复印件，并加盖服务商公章）</w:t>
      </w:r>
    </w:p>
    <w:p>
      <w:pPr>
        <w:spacing w:line="360" w:lineRule="auto"/>
        <w:ind w:firstLine="420"/>
        <w:jc w:val="left"/>
        <w:rPr>
          <w:rFonts w:cs="Times New Roman"/>
          <w:b/>
          <w:bCs/>
          <w:color w:val="000000"/>
          <w:kern w:val="0"/>
          <w:sz w:val="24"/>
          <w:szCs w:val="28"/>
        </w:rPr>
      </w:pPr>
      <w:r>
        <w:rPr>
          <w:rFonts w:hint="eastAsia" w:cs="Times New Roman"/>
          <w:b/>
          <w:bCs/>
          <w:color w:val="000000"/>
          <w:kern w:val="0"/>
          <w:sz w:val="24"/>
          <w:szCs w:val="28"/>
        </w:rPr>
        <w:t>4.4.售后服务能力：</w:t>
      </w:r>
    </w:p>
    <w:p>
      <w:pPr>
        <w:spacing w:line="360" w:lineRule="auto"/>
        <w:ind w:firstLine="420"/>
        <w:jc w:val="left"/>
        <w:rPr>
          <w:bCs/>
          <w:kern w:val="0"/>
          <w:sz w:val="24"/>
          <w:szCs w:val="24"/>
        </w:rPr>
      </w:pPr>
      <w:r>
        <w:rPr>
          <w:rFonts w:hint="eastAsia"/>
          <w:bCs/>
          <w:kern w:val="0"/>
          <w:sz w:val="24"/>
          <w:szCs w:val="24"/>
        </w:rPr>
        <w:t>投标人具有健全的售后服务体系，设有专门的售后服务呼叫服务热线，并提供服务热线号及开通服务热线的证明文件。</w:t>
      </w:r>
    </w:p>
    <w:p>
      <w:pPr>
        <w:pStyle w:val="4"/>
        <w:spacing w:line="360" w:lineRule="auto"/>
        <w:ind w:firstLineChars="200"/>
        <w:rPr>
          <w:rFonts w:hint="eastAsia" w:ascii="宋体" w:hAnsi="宋体" w:cs="宋体"/>
          <w:sz w:val="21"/>
          <w:szCs w:val="21"/>
        </w:rPr>
      </w:pPr>
      <w:r>
        <w:rPr>
          <w:rFonts w:hint="eastAsia" w:ascii="宋体" w:hAnsi="宋体" w:cs="宋体"/>
          <w:sz w:val="21"/>
          <w:szCs w:val="21"/>
        </w:rPr>
        <w:t>（以</w:t>
      </w:r>
      <w:r>
        <w:rPr>
          <w:rFonts w:ascii="宋体" w:hAnsi="宋体" w:cs="宋体"/>
          <w:sz w:val="21"/>
          <w:szCs w:val="21"/>
        </w:rPr>
        <w:t>上</w:t>
      </w:r>
      <w:r>
        <w:rPr>
          <w:rFonts w:hint="eastAsia" w:ascii="宋体" w:hAnsi="宋体" w:cs="宋体"/>
          <w:sz w:val="21"/>
          <w:szCs w:val="21"/>
        </w:rPr>
        <w:t>提供有效证明文件，并加盖服务商公章）</w:t>
      </w:r>
    </w:p>
    <w:p>
      <w:pPr>
        <w:pStyle w:val="4"/>
        <w:spacing w:line="360" w:lineRule="auto"/>
        <w:ind w:left="0" w:leftChars="0" w:firstLine="0" w:firstLineChars="0"/>
        <w:rPr>
          <w:rFonts w:hint="default" w:ascii="宋体" w:hAnsi="宋体" w:eastAsia="宋体" w:cs="宋体"/>
          <w:sz w:val="21"/>
          <w:szCs w:val="21"/>
          <w:lang w:val="en-US" w:eastAsia="zh-CN"/>
        </w:rPr>
      </w:pPr>
    </w:p>
    <w:p>
      <w:pPr>
        <w:pStyle w:val="4"/>
        <w:spacing w:line="360" w:lineRule="auto"/>
        <w:ind w:left="0" w:leftChars="0"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注：资质证明文件未按要求提交，则报名视为无效。</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0"/>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D0C28"/>
    <w:multiLevelType w:val="multilevel"/>
    <w:tmpl w:val="02DD0C2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5BE755E"/>
    <w:multiLevelType w:val="multilevel"/>
    <w:tmpl w:val="05BE75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99183B"/>
    <w:multiLevelType w:val="multilevel"/>
    <w:tmpl w:val="0F99183B"/>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3">
    <w:nsid w:val="129F2088"/>
    <w:multiLevelType w:val="multilevel"/>
    <w:tmpl w:val="129F208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B1F279F"/>
    <w:multiLevelType w:val="multilevel"/>
    <w:tmpl w:val="1B1F279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BD645D"/>
    <w:multiLevelType w:val="multilevel"/>
    <w:tmpl w:val="1BBD645D"/>
    <w:lvl w:ilvl="0" w:tentative="0">
      <w:start w:val="1"/>
      <w:numFmt w:val="decimal"/>
      <w:lvlText w:val="（%1）"/>
      <w:lvlJc w:val="left"/>
      <w:pPr>
        <w:ind w:left="630" w:hanging="420"/>
      </w:pPr>
      <w:rPr>
        <w:rFonts w:hint="eastAsia"/>
        <w:sz w:val="21"/>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1F744CE9"/>
    <w:multiLevelType w:val="multilevel"/>
    <w:tmpl w:val="1F744C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46794F"/>
    <w:multiLevelType w:val="multilevel"/>
    <w:tmpl w:val="23467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B07E38"/>
    <w:multiLevelType w:val="multilevel"/>
    <w:tmpl w:val="25B07E38"/>
    <w:lvl w:ilvl="0" w:tentative="0">
      <w:start w:val="4"/>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716A7A"/>
    <w:multiLevelType w:val="multilevel"/>
    <w:tmpl w:val="26716A7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BFD34A5"/>
    <w:multiLevelType w:val="multilevel"/>
    <w:tmpl w:val="2BFD34A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C011F73"/>
    <w:multiLevelType w:val="multilevel"/>
    <w:tmpl w:val="3C011F73"/>
    <w:lvl w:ilvl="0" w:tentative="0">
      <w:start w:val="1"/>
      <w:numFmt w:val="decimal"/>
      <w:lvlText w:val="%1"/>
      <w:lvlJc w:val="left"/>
      <w:pPr>
        <w:ind w:left="360" w:hanging="360"/>
      </w:pPr>
      <w:rPr>
        <w:rFonts w:hint="default"/>
      </w:rPr>
    </w:lvl>
    <w:lvl w:ilvl="1" w:tentative="0">
      <w:start w:val="1"/>
      <w:numFmt w:val="chineseCountingThousand"/>
      <w:pStyle w:val="221"/>
      <w:lvlText w:val="%2、"/>
      <w:lvlJc w:val="left"/>
      <w:pPr>
        <w:ind w:left="0" w:firstLine="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4680" w:hanging="1800"/>
      </w:pPr>
      <w:rPr>
        <w:rFonts w:hint="default"/>
      </w:rPr>
    </w:lvl>
  </w:abstractNum>
  <w:abstractNum w:abstractNumId="12">
    <w:nsid w:val="3DAE7315"/>
    <w:multiLevelType w:val="multilevel"/>
    <w:tmpl w:val="3DAE7315"/>
    <w:lvl w:ilvl="0" w:tentative="0">
      <w:start w:val="1"/>
      <w:numFmt w:val="decimal"/>
      <w:pStyle w:val="143"/>
      <w:lvlText w:val="%1."/>
      <w:lvlJc w:val="left"/>
      <w:pPr>
        <w:tabs>
          <w:tab w:val="left" w:pos="965"/>
        </w:tabs>
        <w:ind w:left="965" w:hanging="425"/>
      </w:pPr>
      <w:rPr>
        <w:rFonts w:hint="eastAsia" w:cs="Times New Roman"/>
      </w:rPr>
    </w:lvl>
    <w:lvl w:ilvl="1" w:tentative="0">
      <w:start w:val="1"/>
      <w:numFmt w:val="decimal"/>
      <w:lvlText w:val="%1.%2."/>
      <w:lvlJc w:val="left"/>
      <w:pPr>
        <w:tabs>
          <w:tab w:val="left" w:pos="1107"/>
        </w:tabs>
        <w:ind w:left="1107" w:hanging="567"/>
      </w:pPr>
      <w:rPr>
        <w:rFonts w:hint="eastAsia" w:cs="Times New Roman"/>
      </w:rPr>
    </w:lvl>
    <w:lvl w:ilvl="2" w:tentative="0">
      <w:start w:val="1"/>
      <w:numFmt w:val="decimal"/>
      <w:lvlText w:val="%1.%2.%3."/>
      <w:lvlJc w:val="left"/>
      <w:pPr>
        <w:tabs>
          <w:tab w:val="left" w:pos="1249"/>
        </w:tabs>
        <w:ind w:left="1249" w:hanging="709"/>
      </w:pPr>
      <w:rPr>
        <w:rFonts w:hint="eastAsia" w:cs="Times New Roman"/>
      </w:rPr>
    </w:lvl>
    <w:lvl w:ilvl="3" w:tentative="0">
      <w:start w:val="1"/>
      <w:numFmt w:val="decimal"/>
      <w:lvlText w:val="%1.%2.%3.%4."/>
      <w:lvlJc w:val="left"/>
      <w:pPr>
        <w:tabs>
          <w:tab w:val="left" w:pos="1391"/>
        </w:tabs>
        <w:ind w:left="1391" w:hanging="851"/>
      </w:pPr>
      <w:rPr>
        <w:rFonts w:hint="eastAsia" w:cs="Times New Roman"/>
      </w:rPr>
    </w:lvl>
    <w:lvl w:ilvl="4" w:tentative="0">
      <w:start w:val="1"/>
      <w:numFmt w:val="decimal"/>
      <w:lvlText w:val="%1.%2.%3.%4.%5."/>
      <w:lvlJc w:val="left"/>
      <w:pPr>
        <w:tabs>
          <w:tab w:val="left" w:pos="1532"/>
        </w:tabs>
        <w:ind w:left="1532" w:hanging="992"/>
      </w:pPr>
      <w:rPr>
        <w:rFonts w:hint="eastAsia" w:cs="Times New Roman"/>
      </w:rPr>
    </w:lvl>
    <w:lvl w:ilvl="5" w:tentative="0">
      <w:start w:val="1"/>
      <w:numFmt w:val="decimal"/>
      <w:lvlText w:val="%1.%2.%3.%4.%5.%6."/>
      <w:lvlJc w:val="left"/>
      <w:pPr>
        <w:tabs>
          <w:tab w:val="left" w:pos="1674"/>
        </w:tabs>
        <w:ind w:left="1674" w:hanging="1134"/>
      </w:pPr>
      <w:rPr>
        <w:rFonts w:hint="eastAsia" w:cs="Times New Roman"/>
      </w:rPr>
    </w:lvl>
    <w:lvl w:ilvl="6" w:tentative="0">
      <w:start w:val="1"/>
      <w:numFmt w:val="decimal"/>
      <w:lvlText w:val="%1.%2.%3.%4.%5.%6.%7."/>
      <w:lvlJc w:val="left"/>
      <w:pPr>
        <w:tabs>
          <w:tab w:val="left" w:pos="1816"/>
        </w:tabs>
        <w:ind w:left="1816" w:hanging="1276"/>
      </w:pPr>
      <w:rPr>
        <w:rFonts w:hint="eastAsia" w:cs="Times New Roman"/>
      </w:rPr>
    </w:lvl>
    <w:lvl w:ilvl="7" w:tentative="0">
      <w:start w:val="1"/>
      <w:numFmt w:val="decimal"/>
      <w:lvlText w:val="%1.%2.%3.%4.%5.%6.%7.%8."/>
      <w:lvlJc w:val="left"/>
      <w:pPr>
        <w:tabs>
          <w:tab w:val="left" w:pos="1958"/>
        </w:tabs>
        <w:ind w:left="1958" w:hanging="1418"/>
      </w:pPr>
      <w:rPr>
        <w:rFonts w:hint="eastAsia" w:cs="Times New Roman"/>
      </w:rPr>
    </w:lvl>
    <w:lvl w:ilvl="8" w:tentative="0">
      <w:start w:val="1"/>
      <w:numFmt w:val="decimal"/>
      <w:lvlText w:val="%1.%2.%3.%4.%5.%6.%7.%8.%9."/>
      <w:lvlJc w:val="left"/>
      <w:pPr>
        <w:tabs>
          <w:tab w:val="left" w:pos="2099"/>
        </w:tabs>
        <w:ind w:left="2099" w:hanging="1559"/>
      </w:pPr>
      <w:rPr>
        <w:rFonts w:hint="eastAsia" w:cs="Times New Roman"/>
      </w:rPr>
    </w:lvl>
  </w:abstractNum>
  <w:abstractNum w:abstractNumId="13">
    <w:nsid w:val="3F2E0CDF"/>
    <w:multiLevelType w:val="multilevel"/>
    <w:tmpl w:val="3F2E0CDF"/>
    <w:lvl w:ilvl="0" w:tentative="0">
      <w:start w:val="1"/>
      <w:numFmt w:val="decimal"/>
      <w:lvlText w:val="(%1)"/>
      <w:lvlJc w:val="left"/>
      <w:pPr>
        <w:ind w:left="840" w:hanging="420"/>
      </w:pPr>
      <w:rPr>
        <w:rFonts w:hint="default"/>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405E242C"/>
    <w:multiLevelType w:val="multilevel"/>
    <w:tmpl w:val="405E242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3D34A7"/>
    <w:multiLevelType w:val="multilevel"/>
    <w:tmpl w:val="433D34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5A0503B"/>
    <w:multiLevelType w:val="multilevel"/>
    <w:tmpl w:val="45A0503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48360826"/>
    <w:multiLevelType w:val="multilevel"/>
    <w:tmpl w:val="48360826"/>
    <w:lvl w:ilvl="0" w:tentative="0">
      <w:start w:val="1"/>
      <w:numFmt w:val="decimal"/>
      <w:lvlText w:val="(%1)"/>
      <w:lvlJc w:val="left"/>
      <w:pPr>
        <w:ind w:left="840" w:hanging="420"/>
      </w:pPr>
      <w:rPr>
        <w:rFonts w:hint="default"/>
      </w:rPr>
    </w:lvl>
    <w:lvl w:ilvl="1" w:tentative="0">
      <w:start w:val="2"/>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0092F59"/>
    <w:multiLevelType w:val="singleLevel"/>
    <w:tmpl w:val="50092F59"/>
    <w:lvl w:ilvl="0" w:tentative="0">
      <w:start w:val="1"/>
      <w:numFmt w:val="decimal"/>
      <w:lvlText w:val="%1)"/>
      <w:lvlJc w:val="left"/>
      <w:pPr>
        <w:ind w:left="425" w:hanging="425"/>
      </w:pPr>
      <w:rPr>
        <w:rFonts w:hint="default"/>
      </w:rPr>
    </w:lvl>
  </w:abstractNum>
  <w:abstractNum w:abstractNumId="19">
    <w:nsid w:val="510B58B1"/>
    <w:multiLevelType w:val="multilevel"/>
    <w:tmpl w:val="510B58B1"/>
    <w:lvl w:ilvl="0" w:tentative="0">
      <w:start w:val="1"/>
      <w:numFmt w:val="decimal"/>
      <w:lvlText w:val="(%1)"/>
      <w:lvlJc w:val="left"/>
      <w:pPr>
        <w:ind w:left="840" w:hanging="420"/>
      </w:pPr>
      <w:rPr>
        <w:rFonts w:hint="default"/>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5C445770"/>
    <w:multiLevelType w:val="multilevel"/>
    <w:tmpl w:val="5C4457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F1A43EC"/>
    <w:multiLevelType w:val="multilevel"/>
    <w:tmpl w:val="5F1A43E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67AF6AEA"/>
    <w:multiLevelType w:val="multilevel"/>
    <w:tmpl w:val="67AF6AEA"/>
    <w:lvl w:ilvl="0" w:tentative="0">
      <w:start w:val="1"/>
      <w:numFmt w:val="decimal"/>
      <w:lvlText w:val="(%1)"/>
      <w:lvlJc w:val="left"/>
      <w:pPr>
        <w:ind w:left="840" w:hanging="420"/>
      </w:pPr>
      <w:rPr>
        <w:rFonts w:hint="default"/>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6F3811EA"/>
    <w:multiLevelType w:val="multilevel"/>
    <w:tmpl w:val="6F3811EA"/>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4">
    <w:nsid w:val="71CE383F"/>
    <w:multiLevelType w:val="multilevel"/>
    <w:tmpl w:val="71CE383F"/>
    <w:lvl w:ilvl="0" w:tentative="0">
      <w:start w:val="1"/>
      <w:numFmt w:val="decimal"/>
      <w:lvlText w:val="(%1)"/>
      <w:lvlJc w:val="left"/>
      <w:pPr>
        <w:ind w:left="1140" w:hanging="4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5">
    <w:nsid w:val="728A59AA"/>
    <w:multiLevelType w:val="multilevel"/>
    <w:tmpl w:val="728A59AA"/>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6">
    <w:nsid w:val="72B4419D"/>
    <w:multiLevelType w:val="multilevel"/>
    <w:tmpl w:val="72B4419D"/>
    <w:lvl w:ilvl="0" w:tentative="0">
      <w:start w:val="1"/>
      <w:numFmt w:val="decimal"/>
      <w:lvlText w:val="(%1)"/>
      <w:lvlJc w:val="left"/>
      <w:pPr>
        <w:ind w:left="840" w:hanging="420"/>
      </w:pPr>
      <w:rPr>
        <w:rFonts w:hint="default"/>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2"/>
  </w:num>
  <w:num w:numId="2">
    <w:abstractNumId w:val="11"/>
  </w:num>
  <w:num w:numId="3">
    <w:abstractNumId w:val="3"/>
  </w:num>
  <w:num w:numId="4">
    <w:abstractNumId w:val="9"/>
  </w:num>
  <w:num w:numId="5">
    <w:abstractNumId w:val="0"/>
  </w:num>
  <w:num w:numId="6">
    <w:abstractNumId w:val="17"/>
  </w:num>
  <w:num w:numId="7">
    <w:abstractNumId w:val="4"/>
  </w:num>
  <w:num w:numId="8">
    <w:abstractNumId w:val="24"/>
  </w:num>
  <w:num w:numId="9">
    <w:abstractNumId w:val="19"/>
  </w:num>
  <w:num w:numId="10">
    <w:abstractNumId w:val="22"/>
  </w:num>
  <w:num w:numId="11">
    <w:abstractNumId w:val="13"/>
  </w:num>
  <w:num w:numId="12">
    <w:abstractNumId w:val="26"/>
  </w:num>
  <w:num w:numId="13">
    <w:abstractNumId w:val="25"/>
  </w:num>
  <w:num w:numId="14">
    <w:abstractNumId w:val="7"/>
  </w:num>
  <w:num w:numId="15">
    <w:abstractNumId w:val="5"/>
  </w:num>
  <w:num w:numId="16">
    <w:abstractNumId w:val="18"/>
  </w:num>
  <w:num w:numId="17">
    <w:abstractNumId w:val="10"/>
  </w:num>
  <w:num w:numId="18">
    <w:abstractNumId w:val="1"/>
  </w:num>
  <w:num w:numId="19">
    <w:abstractNumId w:val="14"/>
  </w:num>
  <w:num w:numId="20">
    <w:abstractNumId w:val="20"/>
  </w:num>
  <w:num w:numId="21">
    <w:abstractNumId w:val="6"/>
  </w:num>
  <w:num w:numId="22">
    <w:abstractNumId w:val="15"/>
  </w:num>
  <w:num w:numId="23">
    <w:abstractNumId w:val="2"/>
  </w:num>
  <w:num w:numId="24">
    <w:abstractNumId w:val="23"/>
  </w:num>
  <w:num w:numId="25">
    <w:abstractNumId w:val="16"/>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4OGZiZTQ0YTE3OTJkYWVhZjcyNDNjZTQ0NTkzN2IifQ=="/>
  </w:docVars>
  <w:rsids>
    <w:rsidRoot w:val="006E4950"/>
    <w:rsid w:val="00000A6E"/>
    <w:rsid w:val="0001058A"/>
    <w:rsid w:val="000307D9"/>
    <w:rsid w:val="000352AA"/>
    <w:rsid w:val="00041A3D"/>
    <w:rsid w:val="0004373F"/>
    <w:rsid w:val="000534E5"/>
    <w:rsid w:val="00061696"/>
    <w:rsid w:val="00064AC4"/>
    <w:rsid w:val="00066DC3"/>
    <w:rsid w:val="0008206D"/>
    <w:rsid w:val="00085197"/>
    <w:rsid w:val="0009093E"/>
    <w:rsid w:val="000A150C"/>
    <w:rsid w:val="000A7249"/>
    <w:rsid w:val="000B0A9F"/>
    <w:rsid w:val="000C77AD"/>
    <w:rsid w:val="000C7877"/>
    <w:rsid w:val="000D251E"/>
    <w:rsid w:val="000D4FD3"/>
    <w:rsid w:val="000D7240"/>
    <w:rsid w:val="000F3079"/>
    <w:rsid w:val="0010099D"/>
    <w:rsid w:val="00106FCB"/>
    <w:rsid w:val="00111D62"/>
    <w:rsid w:val="00114601"/>
    <w:rsid w:val="00121715"/>
    <w:rsid w:val="001325CA"/>
    <w:rsid w:val="00135636"/>
    <w:rsid w:val="00152461"/>
    <w:rsid w:val="001528FA"/>
    <w:rsid w:val="00154D52"/>
    <w:rsid w:val="00160B4B"/>
    <w:rsid w:val="001637C3"/>
    <w:rsid w:val="001662D5"/>
    <w:rsid w:val="00167801"/>
    <w:rsid w:val="0017173A"/>
    <w:rsid w:val="001809DB"/>
    <w:rsid w:val="00197826"/>
    <w:rsid w:val="001B3DD9"/>
    <w:rsid w:val="001C201E"/>
    <w:rsid w:val="001D09A2"/>
    <w:rsid w:val="001D615E"/>
    <w:rsid w:val="001E6A58"/>
    <w:rsid w:val="00202380"/>
    <w:rsid w:val="00237D24"/>
    <w:rsid w:val="00242205"/>
    <w:rsid w:val="00243CF7"/>
    <w:rsid w:val="00247E38"/>
    <w:rsid w:val="00250EDE"/>
    <w:rsid w:val="002562D8"/>
    <w:rsid w:val="002602DD"/>
    <w:rsid w:val="00262473"/>
    <w:rsid w:val="00285A3B"/>
    <w:rsid w:val="002A6542"/>
    <w:rsid w:val="002B17C3"/>
    <w:rsid w:val="002B3A89"/>
    <w:rsid w:val="002C0F28"/>
    <w:rsid w:val="002C605D"/>
    <w:rsid w:val="002D48E0"/>
    <w:rsid w:val="002D7C26"/>
    <w:rsid w:val="002E0274"/>
    <w:rsid w:val="0030397C"/>
    <w:rsid w:val="00307732"/>
    <w:rsid w:val="0032645A"/>
    <w:rsid w:val="0033448C"/>
    <w:rsid w:val="003374E5"/>
    <w:rsid w:val="00341BFF"/>
    <w:rsid w:val="00342C09"/>
    <w:rsid w:val="0036778D"/>
    <w:rsid w:val="00383686"/>
    <w:rsid w:val="00383D2A"/>
    <w:rsid w:val="003A085B"/>
    <w:rsid w:val="003A12C6"/>
    <w:rsid w:val="003B1117"/>
    <w:rsid w:val="003B1B51"/>
    <w:rsid w:val="003B319E"/>
    <w:rsid w:val="003C2DF5"/>
    <w:rsid w:val="003C43FA"/>
    <w:rsid w:val="003C5CF4"/>
    <w:rsid w:val="003D1D25"/>
    <w:rsid w:val="003D591A"/>
    <w:rsid w:val="003E507E"/>
    <w:rsid w:val="003F0B1D"/>
    <w:rsid w:val="003F25D6"/>
    <w:rsid w:val="003F46A2"/>
    <w:rsid w:val="00400BE0"/>
    <w:rsid w:val="00407DE2"/>
    <w:rsid w:val="0041760A"/>
    <w:rsid w:val="00417833"/>
    <w:rsid w:val="00425B81"/>
    <w:rsid w:val="004311F1"/>
    <w:rsid w:val="004403C4"/>
    <w:rsid w:val="00455E17"/>
    <w:rsid w:val="004560D4"/>
    <w:rsid w:val="00456DDD"/>
    <w:rsid w:val="00465E65"/>
    <w:rsid w:val="00474FEA"/>
    <w:rsid w:val="004907B8"/>
    <w:rsid w:val="004C02FF"/>
    <w:rsid w:val="004C0AA8"/>
    <w:rsid w:val="004C12B4"/>
    <w:rsid w:val="004D265B"/>
    <w:rsid w:val="004E44A0"/>
    <w:rsid w:val="004E4F5E"/>
    <w:rsid w:val="004E6549"/>
    <w:rsid w:val="004F34C2"/>
    <w:rsid w:val="004F7FEA"/>
    <w:rsid w:val="005006F7"/>
    <w:rsid w:val="00507262"/>
    <w:rsid w:val="0050785C"/>
    <w:rsid w:val="00516093"/>
    <w:rsid w:val="0053280D"/>
    <w:rsid w:val="005408BC"/>
    <w:rsid w:val="00544B54"/>
    <w:rsid w:val="0054548E"/>
    <w:rsid w:val="0054772B"/>
    <w:rsid w:val="0055558D"/>
    <w:rsid w:val="005609AE"/>
    <w:rsid w:val="00561DB6"/>
    <w:rsid w:val="0056338F"/>
    <w:rsid w:val="00567A4A"/>
    <w:rsid w:val="00576BB1"/>
    <w:rsid w:val="005930AC"/>
    <w:rsid w:val="005A25B5"/>
    <w:rsid w:val="005C091D"/>
    <w:rsid w:val="005C1C91"/>
    <w:rsid w:val="005C5E40"/>
    <w:rsid w:val="005D1F47"/>
    <w:rsid w:val="005E1F18"/>
    <w:rsid w:val="005F0315"/>
    <w:rsid w:val="006152A7"/>
    <w:rsid w:val="00622F21"/>
    <w:rsid w:val="0062425C"/>
    <w:rsid w:val="006313FF"/>
    <w:rsid w:val="0063170E"/>
    <w:rsid w:val="00647BF4"/>
    <w:rsid w:val="00647FC7"/>
    <w:rsid w:val="006577C5"/>
    <w:rsid w:val="00657EDE"/>
    <w:rsid w:val="00662D71"/>
    <w:rsid w:val="00675D67"/>
    <w:rsid w:val="006853D8"/>
    <w:rsid w:val="006959C6"/>
    <w:rsid w:val="006B3AA9"/>
    <w:rsid w:val="006C2EB7"/>
    <w:rsid w:val="006D6878"/>
    <w:rsid w:val="006D7E74"/>
    <w:rsid w:val="006E201D"/>
    <w:rsid w:val="006E221A"/>
    <w:rsid w:val="006E4950"/>
    <w:rsid w:val="006F655C"/>
    <w:rsid w:val="007017E4"/>
    <w:rsid w:val="00702BCF"/>
    <w:rsid w:val="00725B08"/>
    <w:rsid w:val="00727356"/>
    <w:rsid w:val="00731CD8"/>
    <w:rsid w:val="00735EEB"/>
    <w:rsid w:val="00741527"/>
    <w:rsid w:val="0074297C"/>
    <w:rsid w:val="007532DE"/>
    <w:rsid w:val="00753FB8"/>
    <w:rsid w:val="007575F9"/>
    <w:rsid w:val="00760BEB"/>
    <w:rsid w:val="007678E0"/>
    <w:rsid w:val="00771128"/>
    <w:rsid w:val="00771539"/>
    <w:rsid w:val="007764A2"/>
    <w:rsid w:val="007764F2"/>
    <w:rsid w:val="00777529"/>
    <w:rsid w:val="00783F43"/>
    <w:rsid w:val="00785E43"/>
    <w:rsid w:val="00787C63"/>
    <w:rsid w:val="007941F4"/>
    <w:rsid w:val="007D045C"/>
    <w:rsid w:val="007D7E08"/>
    <w:rsid w:val="007E1445"/>
    <w:rsid w:val="007F77A3"/>
    <w:rsid w:val="00812D5B"/>
    <w:rsid w:val="00812EF8"/>
    <w:rsid w:val="008166A0"/>
    <w:rsid w:val="008337EB"/>
    <w:rsid w:val="00835333"/>
    <w:rsid w:val="008406DB"/>
    <w:rsid w:val="008513E1"/>
    <w:rsid w:val="0085151A"/>
    <w:rsid w:val="00851F16"/>
    <w:rsid w:val="0085566B"/>
    <w:rsid w:val="00860ECD"/>
    <w:rsid w:val="00862255"/>
    <w:rsid w:val="00864525"/>
    <w:rsid w:val="008804CA"/>
    <w:rsid w:val="00880949"/>
    <w:rsid w:val="008810DE"/>
    <w:rsid w:val="00886061"/>
    <w:rsid w:val="00886472"/>
    <w:rsid w:val="008A5E35"/>
    <w:rsid w:val="008B28E9"/>
    <w:rsid w:val="008C329B"/>
    <w:rsid w:val="008F057D"/>
    <w:rsid w:val="008F360B"/>
    <w:rsid w:val="008F6865"/>
    <w:rsid w:val="0092625E"/>
    <w:rsid w:val="00930096"/>
    <w:rsid w:val="009413DB"/>
    <w:rsid w:val="009561A6"/>
    <w:rsid w:val="0096259B"/>
    <w:rsid w:val="00972C3A"/>
    <w:rsid w:val="00974F83"/>
    <w:rsid w:val="0098529D"/>
    <w:rsid w:val="00995BE0"/>
    <w:rsid w:val="009A5508"/>
    <w:rsid w:val="009B1B1D"/>
    <w:rsid w:val="009B3D32"/>
    <w:rsid w:val="009B7680"/>
    <w:rsid w:val="009C24F7"/>
    <w:rsid w:val="009C675A"/>
    <w:rsid w:val="009C7567"/>
    <w:rsid w:val="009D399C"/>
    <w:rsid w:val="009D6447"/>
    <w:rsid w:val="009D6605"/>
    <w:rsid w:val="009E3B3D"/>
    <w:rsid w:val="00A036E0"/>
    <w:rsid w:val="00A109E0"/>
    <w:rsid w:val="00A1692D"/>
    <w:rsid w:val="00A3147D"/>
    <w:rsid w:val="00A524D4"/>
    <w:rsid w:val="00A606D4"/>
    <w:rsid w:val="00A65C46"/>
    <w:rsid w:val="00A70CE2"/>
    <w:rsid w:val="00A72000"/>
    <w:rsid w:val="00A743A6"/>
    <w:rsid w:val="00A7730D"/>
    <w:rsid w:val="00A822C9"/>
    <w:rsid w:val="00A82AC9"/>
    <w:rsid w:val="00A848F3"/>
    <w:rsid w:val="00A90C58"/>
    <w:rsid w:val="00AA33A1"/>
    <w:rsid w:val="00AA66C3"/>
    <w:rsid w:val="00AB1A19"/>
    <w:rsid w:val="00AC1BE2"/>
    <w:rsid w:val="00AC600E"/>
    <w:rsid w:val="00AC6C09"/>
    <w:rsid w:val="00AF33E7"/>
    <w:rsid w:val="00AF47D3"/>
    <w:rsid w:val="00B00B4C"/>
    <w:rsid w:val="00B0515E"/>
    <w:rsid w:val="00B16BDD"/>
    <w:rsid w:val="00B52561"/>
    <w:rsid w:val="00B65BEB"/>
    <w:rsid w:val="00B67CCC"/>
    <w:rsid w:val="00B7259C"/>
    <w:rsid w:val="00B82147"/>
    <w:rsid w:val="00B84DD0"/>
    <w:rsid w:val="00B90965"/>
    <w:rsid w:val="00B93E0C"/>
    <w:rsid w:val="00BA4F4C"/>
    <w:rsid w:val="00BA7D6B"/>
    <w:rsid w:val="00BB2DA3"/>
    <w:rsid w:val="00BB65E2"/>
    <w:rsid w:val="00BB6C1F"/>
    <w:rsid w:val="00BC0215"/>
    <w:rsid w:val="00BC0C0B"/>
    <w:rsid w:val="00BC17CD"/>
    <w:rsid w:val="00BC17DB"/>
    <w:rsid w:val="00BE2663"/>
    <w:rsid w:val="00BE3493"/>
    <w:rsid w:val="00BE5A2D"/>
    <w:rsid w:val="00BF442D"/>
    <w:rsid w:val="00BF5343"/>
    <w:rsid w:val="00C0229B"/>
    <w:rsid w:val="00C02E11"/>
    <w:rsid w:val="00C05FE0"/>
    <w:rsid w:val="00C23437"/>
    <w:rsid w:val="00C2687F"/>
    <w:rsid w:val="00C42948"/>
    <w:rsid w:val="00C60879"/>
    <w:rsid w:val="00C659B0"/>
    <w:rsid w:val="00C6612C"/>
    <w:rsid w:val="00C66DDD"/>
    <w:rsid w:val="00C67DDF"/>
    <w:rsid w:val="00C72910"/>
    <w:rsid w:val="00C80C03"/>
    <w:rsid w:val="00C97A29"/>
    <w:rsid w:val="00CA0714"/>
    <w:rsid w:val="00CA6945"/>
    <w:rsid w:val="00CB562D"/>
    <w:rsid w:val="00CC2435"/>
    <w:rsid w:val="00CC4AB4"/>
    <w:rsid w:val="00CC7ABD"/>
    <w:rsid w:val="00D109C0"/>
    <w:rsid w:val="00D15946"/>
    <w:rsid w:val="00D2396A"/>
    <w:rsid w:val="00D2561B"/>
    <w:rsid w:val="00D36322"/>
    <w:rsid w:val="00D4375E"/>
    <w:rsid w:val="00D45D6B"/>
    <w:rsid w:val="00D46113"/>
    <w:rsid w:val="00D50AE0"/>
    <w:rsid w:val="00D6384D"/>
    <w:rsid w:val="00D728FD"/>
    <w:rsid w:val="00D76A70"/>
    <w:rsid w:val="00D84DA3"/>
    <w:rsid w:val="00D9019C"/>
    <w:rsid w:val="00D9475B"/>
    <w:rsid w:val="00D9752A"/>
    <w:rsid w:val="00DB403D"/>
    <w:rsid w:val="00DB45E2"/>
    <w:rsid w:val="00DC5964"/>
    <w:rsid w:val="00DC5BF9"/>
    <w:rsid w:val="00DE6BA8"/>
    <w:rsid w:val="00DE6DDF"/>
    <w:rsid w:val="00DE794A"/>
    <w:rsid w:val="00DF2109"/>
    <w:rsid w:val="00DF3C5D"/>
    <w:rsid w:val="00E02736"/>
    <w:rsid w:val="00E075E0"/>
    <w:rsid w:val="00E079D6"/>
    <w:rsid w:val="00E1722B"/>
    <w:rsid w:val="00E245F6"/>
    <w:rsid w:val="00E2629F"/>
    <w:rsid w:val="00E3305E"/>
    <w:rsid w:val="00E35465"/>
    <w:rsid w:val="00E459E1"/>
    <w:rsid w:val="00E47CC9"/>
    <w:rsid w:val="00E56100"/>
    <w:rsid w:val="00E563FB"/>
    <w:rsid w:val="00E6711C"/>
    <w:rsid w:val="00E67572"/>
    <w:rsid w:val="00E75836"/>
    <w:rsid w:val="00E75BE4"/>
    <w:rsid w:val="00E7660E"/>
    <w:rsid w:val="00E778FA"/>
    <w:rsid w:val="00E82377"/>
    <w:rsid w:val="00E8252A"/>
    <w:rsid w:val="00E84249"/>
    <w:rsid w:val="00E86DD5"/>
    <w:rsid w:val="00E979C4"/>
    <w:rsid w:val="00EA6C03"/>
    <w:rsid w:val="00EB6C93"/>
    <w:rsid w:val="00ED5514"/>
    <w:rsid w:val="00EE2C7F"/>
    <w:rsid w:val="00EF023C"/>
    <w:rsid w:val="00F061F4"/>
    <w:rsid w:val="00F230B0"/>
    <w:rsid w:val="00F23F25"/>
    <w:rsid w:val="00F332AD"/>
    <w:rsid w:val="00F373AF"/>
    <w:rsid w:val="00F408C8"/>
    <w:rsid w:val="00F41218"/>
    <w:rsid w:val="00F42119"/>
    <w:rsid w:val="00F45DC5"/>
    <w:rsid w:val="00F558FC"/>
    <w:rsid w:val="00F653CE"/>
    <w:rsid w:val="00F65686"/>
    <w:rsid w:val="00F70079"/>
    <w:rsid w:val="00F74652"/>
    <w:rsid w:val="00F752CC"/>
    <w:rsid w:val="00F80225"/>
    <w:rsid w:val="00F81C34"/>
    <w:rsid w:val="00F81FE6"/>
    <w:rsid w:val="00F864D9"/>
    <w:rsid w:val="00F92700"/>
    <w:rsid w:val="00F92C64"/>
    <w:rsid w:val="00FA0AFF"/>
    <w:rsid w:val="00FA2A4E"/>
    <w:rsid w:val="00FA55C3"/>
    <w:rsid w:val="00FA7B9D"/>
    <w:rsid w:val="00FB298E"/>
    <w:rsid w:val="00FB6F1D"/>
    <w:rsid w:val="00FC51DA"/>
    <w:rsid w:val="00FE008E"/>
    <w:rsid w:val="00FE42A3"/>
    <w:rsid w:val="00FE496D"/>
    <w:rsid w:val="00FE6C7C"/>
    <w:rsid w:val="00FE77EC"/>
    <w:rsid w:val="00FF7175"/>
    <w:rsid w:val="018E79D1"/>
    <w:rsid w:val="040D156C"/>
    <w:rsid w:val="04DE38AA"/>
    <w:rsid w:val="087F0EDA"/>
    <w:rsid w:val="09F84B68"/>
    <w:rsid w:val="0BA8751B"/>
    <w:rsid w:val="0C331B38"/>
    <w:rsid w:val="0C653F5B"/>
    <w:rsid w:val="0EB110CC"/>
    <w:rsid w:val="0F264E85"/>
    <w:rsid w:val="0F2731F8"/>
    <w:rsid w:val="12AD766B"/>
    <w:rsid w:val="174425FE"/>
    <w:rsid w:val="195A572B"/>
    <w:rsid w:val="1981362B"/>
    <w:rsid w:val="1AE24212"/>
    <w:rsid w:val="1ED95809"/>
    <w:rsid w:val="210D13C9"/>
    <w:rsid w:val="21AD0A07"/>
    <w:rsid w:val="264E01F4"/>
    <w:rsid w:val="27CE2BDC"/>
    <w:rsid w:val="28BC3D0D"/>
    <w:rsid w:val="290F204E"/>
    <w:rsid w:val="29767018"/>
    <w:rsid w:val="2A2F533C"/>
    <w:rsid w:val="2A5B48AB"/>
    <w:rsid w:val="2B581857"/>
    <w:rsid w:val="2CD80972"/>
    <w:rsid w:val="2E415B63"/>
    <w:rsid w:val="2FCD1F6D"/>
    <w:rsid w:val="2FF62D2B"/>
    <w:rsid w:val="32D40970"/>
    <w:rsid w:val="35814314"/>
    <w:rsid w:val="358D5119"/>
    <w:rsid w:val="36CF5E7F"/>
    <w:rsid w:val="37294C63"/>
    <w:rsid w:val="383C4522"/>
    <w:rsid w:val="38600A43"/>
    <w:rsid w:val="392674E2"/>
    <w:rsid w:val="3A72477E"/>
    <w:rsid w:val="3AD9278E"/>
    <w:rsid w:val="3C432323"/>
    <w:rsid w:val="3DE47A81"/>
    <w:rsid w:val="3F585F31"/>
    <w:rsid w:val="40833636"/>
    <w:rsid w:val="42886D79"/>
    <w:rsid w:val="4320784B"/>
    <w:rsid w:val="43670FED"/>
    <w:rsid w:val="46FE20F9"/>
    <w:rsid w:val="48EB1134"/>
    <w:rsid w:val="4A5366A6"/>
    <w:rsid w:val="4DB265E2"/>
    <w:rsid w:val="4DEA0BB2"/>
    <w:rsid w:val="4F22042B"/>
    <w:rsid w:val="51FC1DAC"/>
    <w:rsid w:val="546B750E"/>
    <w:rsid w:val="55FA7A9F"/>
    <w:rsid w:val="58A6143D"/>
    <w:rsid w:val="5BD46EBF"/>
    <w:rsid w:val="5C1F025F"/>
    <w:rsid w:val="5C26535B"/>
    <w:rsid w:val="5C6C6ABA"/>
    <w:rsid w:val="5DBD68EF"/>
    <w:rsid w:val="5DDA1201"/>
    <w:rsid w:val="5E5D1E93"/>
    <w:rsid w:val="5F1F0FB6"/>
    <w:rsid w:val="62BF61C6"/>
    <w:rsid w:val="638210D3"/>
    <w:rsid w:val="653528A1"/>
    <w:rsid w:val="654518E8"/>
    <w:rsid w:val="66490E8D"/>
    <w:rsid w:val="67406A5C"/>
    <w:rsid w:val="67616BD8"/>
    <w:rsid w:val="686977AA"/>
    <w:rsid w:val="686D5EAE"/>
    <w:rsid w:val="69431F17"/>
    <w:rsid w:val="69F57939"/>
    <w:rsid w:val="6C890C1C"/>
    <w:rsid w:val="6EA32A56"/>
    <w:rsid w:val="6EE47774"/>
    <w:rsid w:val="708E0F61"/>
    <w:rsid w:val="73B726D3"/>
    <w:rsid w:val="753205F7"/>
    <w:rsid w:val="76C20083"/>
    <w:rsid w:val="77DE46D3"/>
    <w:rsid w:val="77F83DC7"/>
    <w:rsid w:val="789143F5"/>
    <w:rsid w:val="7E5E17CC"/>
    <w:rsid w:val="7E9E69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1"/>
      <w:lang w:val="en-US" w:eastAsia="zh-CN" w:bidi="ar-SA"/>
    </w:rPr>
  </w:style>
  <w:style w:type="paragraph" w:styleId="2">
    <w:name w:val="heading 1"/>
    <w:basedOn w:val="1"/>
    <w:next w:val="1"/>
    <w:link w:val="66"/>
    <w:qFormat/>
    <w:uiPriority w:val="0"/>
    <w:pPr>
      <w:keepNext/>
      <w:keepLines/>
      <w:widowControl/>
      <w:spacing w:before="340" w:after="330" w:line="576" w:lineRule="auto"/>
      <w:jc w:val="left"/>
      <w:outlineLvl w:val="0"/>
    </w:pPr>
    <w:rPr>
      <w:rFonts w:ascii="Times New Roman" w:hAnsi="Times New Roman" w:cs="Times New Roman"/>
      <w:b/>
      <w:bCs/>
      <w:kern w:val="44"/>
      <w:sz w:val="44"/>
      <w:szCs w:val="44"/>
    </w:rPr>
  </w:style>
  <w:style w:type="paragraph" w:styleId="3">
    <w:name w:val="heading 2"/>
    <w:basedOn w:val="1"/>
    <w:next w:val="4"/>
    <w:link w:val="68"/>
    <w:qFormat/>
    <w:uiPriority w:val="9"/>
    <w:pPr>
      <w:keepNext/>
      <w:keepLines/>
      <w:widowControl/>
      <w:adjustRightInd w:val="0"/>
      <w:snapToGrid w:val="0"/>
      <w:spacing w:line="360" w:lineRule="auto"/>
      <w:jc w:val="left"/>
      <w:outlineLvl w:val="1"/>
    </w:pPr>
    <w:rPr>
      <w:b/>
      <w:bCs/>
      <w:kern w:val="0"/>
      <w:sz w:val="32"/>
      <w:szCs w:val="32"/>
    </w:rPr>
  </w:style>
  <w:style w:type="paragraph" w:styleId="5">
    <w:name w:val="heading 3"/>
    <w:basedOn w:val="1"/>
    <w:next w:val="4"/>
    <w:link w:val="109"/>
    <w:qFormat/>
    <w:uiPriority w:val="0"/>
    <w:pPr>
      <w:tabs>
        <w:tab w:val="left" w:pos="851"/>
      </w:tabs>
      <w:autoSpaceDE w:val="0"/>
      <w:autoSpaceDN w:val="0"/>
      <w:adjustRightInd w:val="0"/>
      <w:snapToGrid w:val="0"/>
      <w:spacing w:line="360" w:lineRule="auto"/>
      <w:outlineLvl w:val="2"/>
    </w:pPr>
    <w:rPr>
      <w:b/>
      <w:kern w:val="0"/>
      <w:sz w:val="28"/>
      <w:szCs w:val="28"/>
    </w:rPr>
  </w:style>
  <w:style w:type="paragraph" w:styleId="6">
    <w:name w:val="heading 4"/>
    <w:basedOn w:val="1"/>
    <w:next w:val="4"/>
    <w:link w:val="82"/>
    <w:qFormat/>
    <w:uiPriority w:val="0"/>
    <w:pPr>
      <w:autoSpaceDE w:val="0"/>
      <w:autoSpaceDN w:val="0"/>
      <w:adjustRightInd w:val="0"/>
      <w:snapToGrid w:val="0"/>
      <w:spacing w:line="360" w:lineRule="auto"/>
      <w:outlineLvl w:val="3"/>
    </w:pPr>
    <w:rPr>
      <w:rFonts w:hAnsi="Arial" w:cs="Times New Roman"/>
      <w:b/>
      <w:bCs/>
      <w:color w:val="000000"/>
      <w:kern w:val="0"/>
      <w:sz w:val="24"/>
      <w:szCs w:val="28"/>
    </w:rPr>
  </w:style>
  <w:style w:type="paragraph" w:styleId="7">
    <w:name w:val="heading 5"/>
    <w:basedOn w:val="1"/>
    <w:next w:val="4"/>
    <w:link w:val="87"/>
    <w:qFormat/>
    <w:uiPriority w:val="0"/>
    <w:pPr>
      <w:keepNext/>
      <w:autoSpaceDE w:val="0"/>
      <w:autoSpaceDN w:val="0"/>
      <w:adjustRightInd w:val="0"/>
      <w:snapToGrid w:val="0"/>
      <w:spacing w:line="360" w:lineRule="auto"/>
      <w:outlineLvl w:val="4"/>
    </w:pPr>
    <w:rPr>
      <w:b/>
      <w:bCs/>
      <w:kern w:val="0"/>
    </w:rPr>
  </w:style>
  <w:style w:type="paragraph" w:styleId="8">
    <w:name w:val="heading 6"/>
    <w:basedOn w:val="1"/>
    <w:next w:val="4"/>
    <w:link w:val="88"/>
    <w:qFormat/>
    <w:uiPriority w:val="0"/>
    <w:pPr>
      <w:keepNext/>
      <w:autoSpaceDE w:val="0"/>
      <w:autoSpaceDN w:val="0"/>
      <w:adjustRightInd w:val="0"/>
      <w:snapToGrid w:val="0"/>
      <w:spacing w:before="240" w:after="64" w:line="319" w:lineRule="auto"/>
      <w:outlineLvl w:val="5"/>
    </w:pPr>
    <w:rPr>
      <w:rFonts w:ascii="Cambria" w:hAnsi="Cambria" w:cs="Times New Roman"/>
      <w:b/>
      <w:bCs/>
      <w:kern w:val="0"/>
      <w:sz w:val="24"/>
    </w:rPr>
  </w:style>
  <w:style w:type="paragraph" w:styleId="9">
    <w:name w:val="heading 7"/>
    <w:basedOn w:val="1"/>
    <w:next w:val="4"/>
    <w:link w:val="71"/>
    <w:qFormat/>
    <w:uiPriority w:val="0"/>
    <w:pPr>
      <w:keepNext/>
      <w:autoSpaceDE w:val="0"/>
      <w:autoSpaceDN w:val="0"/>
      <w:adjustRightInd w:val="0"/>
      <w:snapToGrid w:val="0"/>
      <w:spacing w:before="240" w:after="64" w:line="319" w:lineRule="auto"/>
      <w:outlineLvl w:val="6"/>
    </w:pPr>
    <w:rPr>
      <w:rFonts w:ascii="Times New Roman" w:hAnsi="Times New Roman" w:cs="Times New Roman"/>
      <w:b/>
      <w:bCs/>
      <w:kern w:val="0"/>
      <w:sz w:val="24"/>
    </w:rPr>
  </w:style>
  <w:style w:type="paragraph" w:styleId="10">
    <w:name w:val="heading 8"/>
    <w:basedOn w:val="1"/>
    <w:next w:val="4"/>
    <w:link w:val="99"/>
    <w:qFormat/>
    <w:uiPriority w:val="0"/>
    <w:pPr>
      <w:keepNext/>
      <w:autoSpaceDE w:val="0"/>
      <w:autoSpaceDN w:val="0"/>
      <w:adjustRightInd w:val="0"/>
      <w:snapToGrid w:val="0"/>
      <w:spacing w:before="240" w:after="64" w:line="319" w:lineRule="auto"/>
      <w:outlineLvl w:val="7"/>
    </w:pPr>
    <w:rPr>
      <w:rFonts w:ascii="Cambria" w:hAnsi="Cambria" w:cs="Times New Roman"/>
      <w:kern w:val="0"/>
      <w:sz w:val="24"/>
    </w:rPr>
  </w:style>
  <w:style w:type="paragraph" w:styleId="11">
    <w:name w:val="heading 9"/>
    <w:basedOn w:val="1"/>
    <w:next w:val="4"/>
    <w:link w:val="74"/>
    <w:qFormat/>
    <w:uiPriority w:val="0"/>
    <w:pPr>
      <w:keepNext/>
      <w:autoSpaceDE w:val="0"/>
      <w:autoSpaceDN w:val="0"/>
      <w:adjustRightInd w:val="0"/>
      <w:snapToGrid w:val="0"/>
      <w:spacing w:before="240" w:after="64" w:line="319" w:lineRule="auto"/>
      <w:outlineLvl w:val="8"/>
    </w:pPr>
    <w:rPr>
      <w:rFonts w:ascii="Cambria" w:hAnsi="Cambria" w:cs="Times New Roman"/>
      <w:kern w:val="0"/>
      <w:sz w:val="20"/>
    </w:rPr>
  </w:style>
  <w:style w:type="character" w:default="1" w:styleId="38">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widowControl/>
      <w:ind w:firstLine="420"/>
      <w:jc w:val="left"/>
    </w:pPr>
    <w:rPr>
      <w:rFonts w:ascii="Times New Roman" w:hAnsi="Times New Roman" w:cs="Times New Roman"/>
      <w:kern w:val="0"/>
      <w:sz w:val="20"/>
      <w:szCs w:val="20"/>
    </w:rPr>
  </w:style>
  <w:style w:type="paragraph" w:styleId="12">
    <w:name w:val="caption"/>
    <w:basedOn w:val="1"/>
    <w:next w:val="1"/>
    <w:qFormat/>
    <w:uiPriority w:val="0"/>
    <w:pPr>
      <w:widowControl/>
      <w:jc w:val="left"/>
    </w:pPr>
    <w:rPr>
      <w:rFonts w:ascii="Cambria" w:hAnsi="Cambria" w:eastAsia="黑体" w:cs="Times New Roman"/>
      <w:kern w:val="0"/>
      <w:sz w:val="20"/>
      <w:szCs w:val="20"/>
    </w:rPr>
  </w:style>
  <w:style w:type="paragraph" w:styleId="13">
    <w:name w:val="Document Map"/>
    <w:basedOn w:val="1"/>
    <w:link w:val="69"/>
    <w:qFormat/>
    <w:uiPriority w:val="0"/>
    <w:pPr>
      <w:shd w:val="clear" w:color="auto" w:fill="000080"/>
    </w:pPr>
    <w:rPr>
      <w:rFonts w:ascii="Times New Roman" w:hAnsi="Times New Roman" w:cs="Times New Roman"/>
      <w:kern w:val="0"/>
      <w:sz w:val="20"/>
      <w:szCs w:val="20"/>
    </w:rPr>
  </w:style>
  <w:style w:type="paragraph" w:styleId="14">
    <w:name w:val="annotation text"/>
    <w:basedOn w:val="1"/>
    <w:link w:val="118"/>
    <w:unhideWhenUsed/>
    <w:qFormat/>
    <w:uiPriority w:val="0"/>
    <w:pPr>
      <w:widowControl/>
      <w:jc w:val="left"/>
    </w:pPr>
    <w:rPr>
      <w:rFonts w:ascii="Times New Roman" w:hAnsi="Times New Roman" w:cs="Times New Roman"/>
      <w:kern w:val="0"/>
      <w:szCs w:val="20"/>
    </w:rPr>
  </w:style>
  <w:style w:type="paragraph" w:styleId="15">
    <w:name w:val="Salutation"/>
    <w:basedOn w:val="1"/>
    <w:next w:val="1"/>
    <w:link w:val="226"/>
    <w:qFormat/>
    <w:uiPriority w:val="0"/>
    <w:pPr>
      <w:adjustRightInd w:val="0"/>
      <w:spacing w:line="312" w:lineRule="atLeast"/>
      <w:textAlignment w:val="baseline"/>
    </w:pPr>
    <w:rPr>
      <w:rFonts w:ascii="Times New Roman" w:hAnsi="Times New Roman" w:cs="Times New Roman"/>
      <w:kern w:val="0"/>
      <w:sz w:val="24"/>
      <w:szCs w:val="20"/>
    </w:rPr>
  </w:style>
  <w:style w:type="paragraph" w:styleId="16">
    <w:name w:val="Body Text 3"/>
    <w:basedOn w:val="1"/>
    <w:link w:val="108"/>
    <w:qFormat/>
    <w:uiPriority w:val="0"/>
    <w:pPr>
      <w:widowControl/>
      <w:spacing w:after="120"/>
      <w:jc w:val="left"/>
    </w:pPr>
    <w:rPr>
      <w:rFonts w:ascii="Times New Roman" w:hAnsi="Times New Roman" w:cs="Times New Roman"/>
      <w:kern w:val="0"/>
      <w:sz w:val="16"/>
      <w:szCs w:val="16"/>
    </w:rPr>
  </w:style>
  <w:style w:type="paragraph" w:styleId="17">
    <w:name w:val="Body Text"/>
    <w:basedOn w:val="1"/>
    <w:link w:val="83"/>
    <w:qFormat/>
    <w:uiPriority w:val="0"/>
    <w:pPr>
      <w:widowControl/>
      <w:spacing w:after="120"/>
      <w:jc w:val="left"/>
    </w:pPr>
    <w:rPr>
      <w:rFonts w:ascii="Times New Roman" w:hAnsi="Times New Roman" w:cs="Times New Roman"/>
      <w:kern w:val="0"/>
      <w:sz w:val="20"/>
      <w:szCs w:val="20"/>
    </w:rPr>
  </w:style>
  <w:style w:type="paragraph" w:styleId="18">
    <w:name w:val="Body Text Indent"/>
    <w:basedOn w:val="1"/>
    <w:link w:val="73"/>
    <w:qFormat/>
    <w:uiPriority w:val="0"/>
    <w:pPr>
      <w:widowControl/>
      <w:spacing w:after="120"/>
      <w:ind w:left="420" w:leftChars="200"/>
      <w:jc w:val="left"/>
    </w:pPr>
    <w:rPr>
      <w:rFonts w:ascii="Times New Roman" w:hAnsi="Times New Roman" w:cs="Times New Roman"/>
      <w:kern w:val="0"/>
      <w:sz w:val="20"/>
      <w:szCs w:val="20"/>
    </w:rPr>
  </w:style>
  <w:style w:type="paragraph" w:styleId="19">
    <w:name w:val="Plain Text"/>
    <w:basedOn w:val="1"/>
    <w:link w:val="86"/>
    <w:qFormat/>
    <w:uiPriority w:val="99"/>
    <w:pPr>
      <w:widowControl/>
      <w:jc w:val="left"/>
    </w:pPr>
    <w:rPr>
      <w:rFonts w:hAnsi="Courier New" w:cs="Times New Roman"/>
      <w:kern w:val="0"/>
      <w:sz w:val="20"/>
    </w:rPr>
  </w:style>
  <w:style w:type="paragraph" w:styleId="20">
    <w:name w:val="Date"/>
    <w:basedOn w:val="1"/>
    <w:next w:val="1"/>
    <w:link w:val="79"/>
    <w:qFormat/>
    <w:uiPriority w:val="0"/>
    <w:rPr>
      <w:rFonts w:ascii="楷体_GB2312" w:hAnsi="Times New Roman" w:eastAsia="楷体_GB2312" w:cs="Times New Roman"/>
      <w:kern w:val="0"/>
      <w:sz w:val="28"/>
      <w:szCs w:val="20"/>
    </w:rPr>
  </w:style>
  <w:style w:type="paragraph" w:styleId="21">
    <w:name w:val="Body Text Indent 2"/>
    <w:basedOn w:val="1"/>
    <w:link w:val="101"/>
    <w:qFormat/>
    <w:uiPriority w:val="0"/>
    <w:pPr>
      <w:widowControl/>
      <w:spacing w:after="120" w:line="480" w:lineRule="auto"/>
      <w:ind w:left="420" w:leftChars="200"/>
      <w:jc w:val="left"/>
    </w:pPr>
    <w:rPr>
      <w:rFonts w:ascii="Times New Roman" w:hAnsi="Times New Roman" w:cs="Times New Roman"/>
      <w:kern w:val="0"/>
      <w:sz w:val="20"/>
      <w:szCs w:val="20"/>
    </w:rPr>
  </w:style>
  <w:style w:type="paragraph" w:styleId="22">
    <w:name w:val="Balloon Text"/>
    <w:basedOn w:val="1"/>
    <w:link w:val="89"/>
    <w:qFormat/>
    <w:uiPriority w:val="99"/>
    <w:pPr>
      <w:widowControl/>
      <w:jc w:val="left"/>
    </w:pPr>
    <w:rPr>
      <w:rFonts w:ascii="Times New Roman" w:hAnsi="Times New Roman" w:cs="Times New Roman"/>
      <w:kern w:val="0"/>
      <w:sz w:val="18"/>
      <w:szCs w:val="20"/>
    </w:rPr>
  </w:style>
  <w:style w:type="paragraph" w:styleId="23">
    <w:name w:val="footer"/>
    <w:basedOn w:val="1"/>
    <w:link w:val="47"/>
    <w:unhideWhenUsed/>
    <w:qFormat/>
    <w:uiPriority w:val="99"/>
    <w:pPr>
      <w:tabs>
        <w:tab w:val="center" w:pos="4153"/>
        <w:tab w:val="right" w:pos="8306"/>
      </w:tabs>
      <w:snapToGrid w:val="0"/>
      <w:jc w:val="left"/>
    </w:pPr>
    <w:rPr>
      <w:sz w:val="18"/>
      <w:szCs w:val="18"/>
    </w:rPr>
  </w:style>
  <w:style w:type="paragraph" w:styleId="24">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index heading"/>
    <w:basedOn w:val="1"/>
    <w:next w:val="26"/>
    <w:unhideWhenUsed/>
    <w:qFormat/>
    <w:uiPriority w:val="0"/>
    <w:rPr>
      <w:rFonts w:ascii="Times New Roman" w:hAnsi="Times New Roman" w:cs="Times New Roman"/>
      <w:szCs w:val="20"/>
    </w:rPr>
  </w:style>
  <w:style w:type="paragraph" w:styleId="26">
    <w:name w:val="index 1"/>
    <w:basedOn w:val="1"/>
    <w:next w:val="1"/>
    <w:qFormat/>
    <w:uiPriority w:val="0"/>
    <w:pPr>
      <w:widowControl/>
      <w:jc w:val="left"/>
    </w:pPr>
    <w:rPr>
      <w:rFonts w:ascii="Times New Roman" w:hAnsi="Times New Roman" w:cs="Times New Roman"/>
      <w:kern w:val="0"/>
      <w:szCs w:val="20"/>
    </w:rPr>
  </w:style>
  <w:style w:type="paragraph" w:styleId="27">
    <w:name w:val="List"/>
    <w:basedOn w:val="1"/>
    <w:unhideWhenUsed/>
    <w:qFormat/>
    <w:uiPriority w:val="99"/>
    <w:pPr>
      <w:widowControl/>
      <w:overflowPunct w:val="0"/>
      <w:autoSpaceDE w:val="0"/>
      <w:autoSpaceDN w:val="0"/>
      <w:adjustRightInd w:val="0"/>
      <w:ind w:left="360" w:hanging="360"/>
      <w:jc w:val="left"/>
    </w:pPr>
    <w:rPr>
      <w:rFonts w:ascii="Times New Roman" w:hAnsi="Times New Roman" w:cs="Times New Roman"/>
      <w:kern w:val="0"/>
      <w:sz w:val="20"/>
      <w:szCs w:val="20"/>
      <w:lang w:val="en-GB"/>
    </w:rPr>
  </w:style>
  <w:style w:type="paragraph" w:styleId="28">
    <w:name w:val="Body Text Indent 3"/>
    <w:basedOn w:val="1"/>
    <w:link w:val="75"/>
    <w:qFormat/>
    <w:uiPriority w:val="0"/>
    <w:pPr>
      <w:widowControl/>
      <w:spacing w:after="120"/>
      <w:ind w:left="420" w:leftChars="200"/>
      <w:jc w:val="left"/>
    </w:pPr>
    <w:rPr>
      <w:rFonts w:ascii="Times New Roman" w:hAnsi="Times New Roman" w:cs="Times New Roman"/>
      <w:kern w:val="0"/>
      <w:sz w:val="16"/>
      <w:szCs w:val="16"/>
    </w:rPr>
  </w:style>
  <w:style w:type="paragraph" w:styleId="29">
    <w:name w:val="Body Text 2"/>
    <w:basedOn w:val="1"/>
    <w:link w:val="84"/>
    <w:qFormat/>
    <w:uiPriority w:val="0"/>
    <w:pPr>
      <w:widowControl/>
      <w:spacing w:after="120" w:line="480" w:lineRule="auto"/>
      <w:jc w:val="left"/>
    </w:pPr>
    <w:rPr>
      <w:rFonts w:ascii="Times New Roman" w:hAnsi="Times New Roman" w:cs="Times New Roman"/>
      <w:kern w:val="0"/>
      <w:sz w:val="20"/>
      <w:szCs w:val="20"/>
    </w:rPr>
  </w:style>
  <w:style w:type="paragraph" w:styleId="30">
    <w:name w:val="HTML Preformatted"/>
    <w:basedOn w:val="1"/>
    <w:link w:val="65"/>
    <w:qFormat/>
    <w:uiPriority w:val="0"/>
    <w:pPr>
      <w:widowControl/>
      <w:jc w:val="left"/>
    </w:pPr>
    <w:rPr>
      <w:rFonts w:ascii="黑体" w:hAnsi="Courier New" w:eastAsia="黑体" w:cs="Times New Roman"/>
      <w:kern w:val="0"/>
      <w:sz w:val="20"/>
      <w:szCs w:val="20"/>
    </w:rPr>
  </w:style>
  <w:style w:type="paragraph" w:styleId="31">
    <w:name w:val="Normal (Web)"/>
    <w:basedOn w:val="1"/>
    <w:unhideWhenUsed/>
    <w:qFormat/>
    <w:uiPriority w:val="0"/>
    <w:pPr>
      <w:widowControl/>
      <w:spacing w:before="100" w:beforeAutospacing="1" w:after="100" w:afterAutospacing="1"/>
      <w:jc w:val="left"/>
    </w:pPr>
    <w:rPr>
      <w:kern w:val="0"/>
      <w:sz w:val="24"/>
    </w:rPr>
  </w:style>
  <w:style w:type="paragraph" w:styleId="32">
    <w:name w:val="annotation subject"/>
    <w:basedOn w:val="14"/>
    <w:next w:val="14"/>
    <w:link w:val="95"/>
    <w:qFormat/>
    <w:uiPriority w:val="0"/>
    <w:rPr>
      <w:b/>
      <w:sz w:val="20"/>
    </w:rPr>
  </w:style>
  <w:style w:type="paragraph" w:styleId="33">
    <w:name w:val="Body Text First Indent"/>
    <w:basedOn w:val="17"/>
    <w:link w:val="104"/>
    <w:unhideWhenUsed/>
    <w:qFormat/>
    <w:uiPriority w:val="0"/>
    <w:pPr>
      <w:ind w:firstLine="420" w:firstLineChars="100"/>
    </w:pPr>
    <w:rPr>
      <w:sz w:val="24"/>
      <w:lang w:val="en-GB"/>
    </w:rPr>
  </w:style>
  <w:style w:type="table" w:styleId="35">
    <w:name w:val="Table Grid"/>
    <w:basedOn w:val="34"/>
    <w:qFormat/>
    <w:uiPriority w:val="0"/>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Light List"/>
    <w:basedOn w:val="34"/>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37">
    <w:name w:val="Medium Grid 1"/>
    <w:basedOn w:val="34"/>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39">
    <w:name w:val="Strong"/>
    <w:qFormat/>
    <w:uiPriority w:val="0"/>
    <w:rPr>
      <w:b/>
    </w:rPr>
  </w:style>
  <w:style w:type="character" w:styleId="40">
    <w:name w:val="page number"/>
    <w:qFormat/>
    <w:uiPriority w:val="0"/>
    <w:rPr>
      <w:rFonts w:cs="Times New Roman"/>
    </w:rPr>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Emphasis"/>
    <w:qFormat/>
    <w:uiPriority w:val="20"/>
    <w:rPr>
      <w:i/>
      <w:iCs/>
    </w:rPr>
  </w:style>
  <w:style w:type="character" w:styleId="43">
    <w:name w:val="Hyperlink"/>
    <w:qFormat/>
    <w:uiPriority w:val="99"/>
    <w:rPr>
      <w:color w:val="0000FF"/>
      <w:u w:val="single"/>
    </w:rPr>
  </w:style>
  <w:style w:type="character" w:styleId="44">
    <w:name w:val="annotation reference"/>
    <w:uiPriority w:val="0"/>
    <w:rPr>
      <w:sz w:val="21"/>
    </w:rPr>
  </w:style>
  <w:style w:type="paragraph" w:styleId="45">
    <w:name w:val="List Paragraph"/>
    <w:basedOn w:val="1"/>
    <w:link w:val="248"/>
    <w:qFormat/>
    <w:uiPriority w:val="0"/>
    <w:pPr>
      <w:ind w:firstLine="420" w:firstLineChars="200"/>
    </w:pPr>
  </w:style>
  <w:style w:type="character" w:customStyle="1" w:styleId="46">
    <w:name w:val="页眉 字符"/>
    <w:basedOn w:val="38"/>
    <w:link w:val="24"/>
    <w:qFormat/>
    <w:uiPriority w:val="99"/>
    <w:rPr>
      <w:rFonts w:asciiTheme="minorHAnsi" w:hAnsiTheme="minorHAnsi" w:eastAsiaTheme="minorEastAsia" w:cstheme="minorBidi"/>
      <w:kern w:val="2"/>
      <w:sz w:val="18"/>
      <w:szCs w:val="18"/>
    </w:rPr>
  </w:style>
  <w:style w:type="character" w:customStyle="1" w:styleId="47">
    <w:name w:val="页脚 字符"/>
    <w:basedOn w:val="38"/>
    <w:link w:val="23"/>
    <w:qFormat/>
    <w:uiPriority w:val="99"/>
    <w:rPr>
      <w:rFonts w:asciiTheme="minorHAnsi" w:hAnsiTheme="minorHAnsi" w:eastAsiaTheme="minorEastAsia" w:cstheme="minorBidi"/>
      <w:kern w:val="2"/>
      <w:sz w:val="18"/>
      <w:szCs w:val="18"/>
    </w:rPr>
  </w:style>
  <w:style w:type="character" w:customStyle="1" w:styleId="48">
    <w:name w:val="标题 1 字符"/>
    <w:basedOn w:val="38"/>
    <w:qFormat/>
    <w:uiPriority w:val="9"/>
    <w:rPr>
      <w:rFonts w:asciiTheme="minorHAnsi" w:hAnsiTheme="minorHAnsi" w:eastAsiaTheme="minorEastAsia" w:cstheme="minorBidi"/>
      <w:b/>
      <w:bCs/>
      <w:kern w:val="44"/>
      <w:sz w:val="44"/>
      <w:szCs w:val="44"/>
    </w:rPr>
  </w:style>
  <w:style w:type="character" w:customStyle="1" w:styleId="49">
    <w:name w:val="标题 2 字符"/>
    <w:basedOn w:val="38"/>
    <w:semiHidden/>
    <w:qFormat/>
    <w:uiPriority w:val="9"/>
    <w:rPr>
      <w:rFonts w:asciiTheme="majorHAnsi" w:hAnsiTheme="majorHAnsi" w:eastAsiaTheme="majorEastAsia" w:cstheme="majorBidi"/>
      <w:b/>
      <w:bCs/>
      <w:kern w:val="2"/>
      <w:sz w:val="32"/>
      <w:szCs w:val="32"/>
    </w:rPr>
  </w:style>
  <w:style w:type="character" w:customStyle="1" w:styleId="50">
    <w:name w:val="标题 3 字符"/>
    <w:basedOn w:val="38"/>
    <w:qFormat/>
    <w:uiPriority w:val="0"/>
    <w:rPr>
      <w:rFonts w:asciiTheme="minorHAnsi" w:hAnsiTheme="minorHAnsi" w:eastAsiaTheme="minorEastAsia" w:cstheme="minorBidi"/>
      <w:b/>
      <w:bCs/>
      <w:kern w:val="2"/>
      <w:sz w:val="32"/>
      <w:szCs w:val="32"/>
    </w:rPr>
  </w:style>
  <w:style w:type="character" w:customStyle="1" w:styleId="51">
    <w:name w:val="标题 4 字符"/>
    <w:basedOn w:val="38"/>
    <w:semiHidden/>
    <w:qFormat/>
    <w:uiPriority w:val="9"/>
    <w:rPr>
      <w:rFonts w:asciiTheme="majorHAnsi" w:hAnsiTheme="majorHAnsi" w:eastAsiaTheme="majorEastAsia" w:cstheme="majorBidi"/>
      <w:b/>
      <w:bCs/>
      <w:kern w:val="2"/>
      <w:sz w:val="28"/>
      <w:szCs w:val="28"/>
    </w:rPr>
  </w:style>
  <w:style w:type="character" w:customStyle="1" w:styleId="52">
    <w:name w:val="标题 5 字符"/>
    <w:basedOn w:val="38"/>
    <w:semiHidden/>
    <w:qFormat/>
    <w:uiPriority w:val="9"/>
    <w:rPr>
      <w:rFonts w:asciiTheme="minorHAnsi" w:hAnsiTheme="minorHAnsi" w:eastAsiaTheme="minorEastAsia" w:cstheme="minorBidi"/>
      <w:b/>
      <w:bCs/>
      <w:kern w:val="2"/>
      <w:sz w:val="28"/>
      <w:szCs w:val="28"/>
    </w:rPr>
  </w:style>
  <w:style w:type="character" w:customStyle="1" w:styleId="53">
    <w:name w:val="标题 6 字符"/>
    <w:basedOn w:val="38"/>
    <w:semiHidden/>
    <w:qFormat/>
    <w:uiPriority w:val="9"/>
    <w:rPr>
      <w:rFonts w:asciiTheme="majorHAnsi" w:hAnsiTheme="majorHAnsi" w:eastAsiaTheme="majorEastAsia" w:cstheme="majorBidi"/>
      <w:b/>
      <w:bCs/>
      <w:kern w:val="2"/>
      <w:sz w:val="24"/>
      <w:szCs w:val="24"/>
    </w:rPr>
  </w:style>
  <w:style w:type="character" w:customStyle="1" w:styleId="54">
    <w:name w:val="标题 7 字符"/>
    <w:basedOn w:val="38"/>
    <w:semiHidden/>
    <w:qFormat/>
    <w:uiPriority w:val="9"/>
    <w:rPr>
      <w:rFonts w:asciiTheme="minorHAnsi" w:hAnsiTheme="minorHAnsi" w:eastAsiaTheme="minorEastAsia" w:cstheme="minorBidi"/>
      <w:b/>
      <w:bCs/>
      <w:kern w:val="2"/>
      <w:sz w:val="24"/>
      <w:szCs w:val="24"/>
    </w:rPr>
  </w:style>
  <w:style w:type="character" w:customStyle="1" w:styleId="55">
    <w:name w:val="标题 8 字符"/>
    <w:basedOn w:val="38"/>
    <w:semiHidden/>
    <w:qFormat/>
    <w:uiPriority w:val="9"/>
    <w:rPr>
      <w:rFonts w:asciiTheme="majorHAnsi" w:hAnsiTheme="majorHAnsi" w:eastAsiaTheme="majorEastAsia" w:cstheme="majorBidi"/>
      <w:kern w:val="2"/>
      <w:sz w:val="24"/>
      <w:szCs w:val="24"/>
    </w:rPr>
  </w:style>
  <w:style w:type="character" w:customStyle="1" w:styleId="56">
    <w:name w:val="标题 9 字符"/>
    <w:basedOn w:val="38"/>
    <w:semiHidden/>
    <w:qFormat/>
    <w:uiPriority w:val="9"/>
    <w:rPr>
      <w:rFonts w:asciiTheme="majorHAnsi" w:hAnsiTheme="majorHAnsi" w:eastAsiaTheme="majorEastAsia" w:cstheme="majorBidi"/>
      <w:kern w:val="2"/>
      <w:sz w:val="21"/>
      <w:szCs w:val="21"/>
    </w:rPr>
  </w:style>
  <w:style w:type="character" w:customStyle="1" w:styleId="57">
    <w:name w:val="页脚 Char"/>
    <w:qFormat/>
    <w:uiPriority w:val="99"/>
    <w:rPr>
      <w:rFonts w:ascii="Times New Roman" w:hAnsi="Times New Roman" w:eastAsia="宋体" w:cs="Times New Roman"/>
      <w:kern w:val="0"/>
      <w:sz w:val="18"/>
      <w:szCs w:val="20"/>
    </w:rPr>
  </w:style>
  <w:style w:type="character" w:customStyle="1" w:styleId="58">
    <w:name w:val="页眉 字符1"/>
    <w:semiHidden/>
    <w:qFormat/>
    <w:locked/>
    <w:uiPriority w:val="99"/>
    <w:rPr>
      <w:rFonts w:ascii="Times New Roman" w:hAnsi="Times New Roman"/>
      <w:lang w:val="en-GB"/>
    </w:rPr>
  </w:style>
  <w:style w:type="character" w:customStyle="1" w:styleId="59">
    <w:name w:val="正文文本缩进 2 字符"/>
    <w:semiHidden/>
    <w:qFormat/>
    <w:uiPriority w:val="99"/>
    <w:rPr>
      <w:rFonts w:ascii="Times New Roman" w:hAnsi="Times New Roman" w:eastAsia="宋体" w:cs="Times New Roman"/>
      <w:kern w:val="0"/>
      <w:sz w:val="20"/>
      <w:szCs w:val="20"/>
    </w:rPr>
  </w:style>
  <w:style w:type="character" w:customStyle="1" w:styleId="60">
    <w:name w:val="ll1"/>
    <w:qFormat/>
    <w:uiPriority w:val="0"/>
    <w:rPr>
      <w:spacing w:val="31680"/>
    </w:rPr>
  </w:style>
  <w:style w:type="character" w:customStyle="1" w:styleId="61">
    <w:name w:val="页脚 字符1"/>
    <w:qFormat/>
    <w:locked/>
    <w:uiPriority w:val="99"/>
    <w:rPr>
      <w:rFonts w:ascii="Times New Roman" w:hAnsi="Times New Roman"/>
      <w:lang w:eastAsia="en-US"/>
    </w:rPr>
  </w:style>
  <w:style w:type="character" w:customStyle="1" w:styleId="62">
    <w:name w:val="正文文本 字符"/>
    <w:semiHidden/>
    <w:qFormat/>
    <w:uiPriority w:val="99"/>
    <w:rPr>
      <w:rFonts w:ascii="Times New Roman" w:hAnsi="Times New Roman" w:eastAsia="宋体" w:cs="Times New Roman"/>
      <w:kern w:val="0"/>
      <w:sz w:val="20"/>
      <w:szCs w:val="20"/>
    </w:rPr>
  </w:style>
  <w:style w:type="character" w:customStyle="1" w:styleId="63">
    <w:name w:val="正文缩进 字符"/>
    <w:link w:val="4"/>
    <w:qFormat/>
    <w:locked/>
    <w:uiPriority w:val="0"/>
  </w:style>
  <w:style w:type="character" w:customStyle="1" w:styleId="64">
    <w:name w:val="正文文本缩进 3 字符1"/>
    <w:semiHidden/>
    <w:qFormat/>
    <w:locked/>
    <w:uiPriority w:val="99"/>
    <w:rPr>
      <w:rFonts w:ascii="Times New Roman" w:hAnsi="Times New Roman"/>
      <w:sz w:val="16"/>
      <w:szCs w:val="16"/>
    </w:rPr>
  </w:style>
  <w:style w:type="character" w:customStyle="1" w:styleId="65">
    <w:name w:val="HTML 预设格式 字符1"/>
    <w:link w:val="30"/>
    <w:qFormat/>
    <w:uiPriority w:val="0"/>
    <w:rPr>
      <w:rFonts w:ascii="黑体" w:hAnsi="Courier New" w:eastAsia="黑体"/>
    </w:rPr>
  </w:style>
  <w:style w:type="character" w:customStyle="1" w:styleId="66">
    <w:name w:val="标题 1 字符2"/>
    <w:link w:val="2"/>
    <w:qFormat/>
    <w:uiPriority w:val="0"/>
    <w:rPr>
      <w:b/>
      <w:bCs/>
      <w:kern w:val="44"/>
      <w:sz w:val="44"/>
      <w:szCs w:val="44"/>
    </w:rPr>
  </w:style>
  <w:style w:type="character" w:customStyle="1" w:styleId="67">
    <w:name w:val="批注框文本 字符1"/>
    <w:semiHidden/>
    <w:qFormat/>
    <w:locked/>
    <w:uiPriority w:val="99"/>
    <w:rPr>
      <w:rFonts w:ascii="宋体" w:hAnsi="Times New Roman"/>
      <w:sz w:val="18"/>
      <w:szCs w:val="18"/>
    </w:rPr>
  </w:style>
  <w:style w:type="character" w:customStyle="1" w:styleId="68">
    <w:name w:val="标题 2 字符1"/>
    <w:link w:val="3"/>
    <w:qFormat/>
    <w:uiPriority w:val="9"/>
    <w:rPr>
      <w:rFonts w:ascii="宋体" w:hAnsi="宋体" w:cs="宋体"/>
      <w:b/>
      <w:bCs/>
      <w:sz w:val="32"/>
      <w:szCs w:val="32"/>
    </w:rPr>
  </w:style>
  <w:style w:type="character" w:customStyle="1" w:styleId="69">
    <w:name w:val="文档结构图 字符1"/>
    <w:link w:val="13"/>
    <w:qFormat/>
    <w:uiPriority w:val="0"/>
    <w:rPr>
      <w:shd w:val="clear" w:color="auto" w:fill="000080"/>
    </w:rPr>
  </w:style>
  <w:style w:type="character" w:customStyle="1" w:styleId="70">
    <w:name w:val="wf1"/>
    <w:qFormat/>
    <w:uiPriority w:val="0"/>
    <w:rPr>
      <w:rFonts w:ascii="宋体" w:hAnsi="宋体" w:eastAsia="宋体"/>
      <w:sz w:val="24"/>
    </w:rPr>
  </w:style>
  <w:style w:type="character" w:customStyle="1" w:styleId="71">
    <w:name w:val="标题 7 字符1"/>
    <w:link w:val="9"/>
    <w:qFormat/>
    <w:uiPriority w:val="0"/>
    <w:rPr>
      <w:b/>
      <w:bCs/>
      <w:sz w:val="24"/>
      <w:szCs w:val="24"/>
    </w:rPr>
  </w:style>
  <w:style w:type="character" w:customStyle="1" w:styleId="72">
    <w:name w:val="正文文本 2 字符1"/>
    <w:semiHidden/>
    <w:qFormat/>
    <w:locked/>
    <w:uiPriority w:val="99"/>
    <w:rPr>
      <w:rFonts w:ascii="幼圆" w:hAnsi="Times New Roman" w:eastAsia="幼圆"/>
      <w:b/>
      <w:sz w:val="32"/>
    </w:rPr>
  </w:style>
  <w:style w:type="character" w:customStyle="1" w:styleId="73">
    <w:name w:val="正文文本缩进 字符3"/>
    <w:link w:val="18"/>
    <w:qFormat/>
    <w:uiPriority w:val="0"/>
  </w:style>
  <w:style w:type="character" w:customStyle="1" w:styleId="74">
    <w:name w:val="标题 9 字符1"/>
    <w:link w:val="11"/>
    <w:qFormat/>
    <w:uiPriority w:val="0"/>
    <w:rPr>
      <w:rFonts w:ascii="Cambria" w:hAnsi="Cambria"/>
      <w:szCs w:val="21"/>
    </w:rPr>
  </w:style>
  <w:style w:type="character" w:customStyle="1" w:styleId="75">
    <w:name w:val="正文文本缩进 3 字符3"/>
    <w:link w:val="28"/>
    <w:qFormat/>
    <w:uiPriority w:val="0"/>
    <w:rPr>
      <w:sz w:val="16"/>
      <w:szCs w:val="16"/>
    </w:rPr>
  </w:style>
  <w:style w:type="character" w:customStyle="1" w:styleId="76">
    <w:name w:val="style1"/>
    <w:qFormat/>
    <w:uiPriority w:val="0"/>
    <w:rPr>
      <w:rFonts w:cs="Times New Roman"/>
    </w:rPr>
  </w:style>
  <w:style w:type="character" w:customStyle="1" w:styleId="77">
    <w:name w:val="正文文本缩进 字符"/>
    <w:semiHidden/>
    <w:qFormat/>
    <w:uiPriority w:val="99"/>
    <w:rPr>
      <w:rFonts w:ascii="Times New Roman" w:hAnsi="Times New Roman" w:eastAsia="宋体" w:cs="Times New Roman"/>
      <w:kern w:val="0"/>
      <w:sz w:val="20"/>
      <w:szCs w:val="20"/>
    </w:rPr>
  </w:style>
  <w:style w:type="character" w:customStyle="1" w:styleId="78">
    <w:name w:val="正文文本 2 字符"/>
    <w:semiHidden/>
    <w:qFormat/>
    <w:uiPriority w:val="99"/>
    <w:rPr>
      <w:rFonts w:ascii="Times New Roman" w:hAnsi="Times New Roman" w:eastAsia="宋体" w:cs="Times New Roman"/>
      <w:kern w:val="0"/>
      <w:sz w:val="20"/>
      <w:szCs w:val="20"/>
    </w:rPr>
  </w:style>
  <w:style w:type="character" w:customStyle="1" w:styleId="79">
    <w:name w:val="日期 字符1"/>
    <w:link w:val="20"/>
    <w:qFormat/>
    <w:uiPriority w:val="0"/>
    <w:rPr>
      <w:rFonts w:ascii="楷体_GB2312" w:eastAsia="楷体_GB2312"/>
      <w:sz w:val="28"/>
    </w:rPr>
  </w:style>
  <w:style w:type="character" w:customStyle="1" w:styleId="80">
    <w:name w:val="正文文本 字符1"/>
    <w:semiHidden/>
    <w:qFormat/>
    <w:locked/>
    <w:uiPriority w:val="99"/>
    <w:rPr>
      <w:rFonts w:ascii="Times New Roman" w:hAnsi="Times New Roman"/>
      <w:lang w:val="en-GB"/>
    </w:rPr>
  </w:style>
  <w:style w:type="character" w:customStyle="1" w:styleId="81">
    <w:name w:val="正文文本缩进 字符1"/>
    <w:semiHidden/>
    <w:qFormat/>
    <w:locked/>
    <w:uiPriority w:val="99"/>
    <w:rPr>
      <w:rFonts w:ascii="Arial" w:hAnsi="Arial"/>
      <w:color w:val="FF0000"/>
    </w:rPr>
  </w:style>
  <w:style w:type="character" w:customStyle="1" w:styleId="82">
    <w:name w:val="标题 4 字符1"/>
    <w:link w:val="6"/>
    <w:qFormat/>
    <w:uiPriority w:val="0"/>
    <w:rPr>
      <w:rFonts w:ascii="宋体" w:hAnsi="Arial"/>
      <w:b/>
      <w:bCs/>
      <w:color w:val="000000"/>
      <w:sz w:val="24"/>
      <w:szCs w:val="28"/>
    </w:rPr>
  </w:style>
  <w:style w:type="character" w:customStyle="1" w:styleId="83">
    <w:name w:val="正文文本 字符3"/>
    <w:link w:val="17"/>
    <w:qFormat/>
    <w:uiPriority w:val="0"/>
  </w:style>
  <w:style w:type="character" w:customStyle="1" w:styleId="84">
    <w:name w:val="正文文本 2 字符3"/>
    <w:link w:val="29"/>
    <w:qFormat/>
    <w:uiPriority w:val="0"/>
  </w:style>
  <w:style w:type="character" w:customStyle="1" w:styleId="85">
    <w:name w:val="p141"/>
    <w:qFormat/>
    <w:uiPriority w:val="0"/>
    <w:rPr>
      <w:sz w:val="21"/>
    </w:rPr>
  </w:style>
  <w:style w:type="character" w:customStyle="1" w:styleId="86">
    <w:name w:val="纯文本 字符3"/>
    <w:link w:val="19"/>
    <w:qFormat/>
    <w:uiPriority w:val="0"/>
    <w:rPr>
      <w:rFonts w:ascii="宋体" w:hAnsi="Courier New"/>
      <w:szCs w:val="21"/>
    </w:rPr>
  </w:style>
  <w:style w:type="character" w:customStyle="1" w:styleId="87">
    <w:name w:val="标题 5 字符1"/>
    <w:link w:val="7"/>
    <w:qFormat/>
    <w:uiPriority w:val="0"/>
    <w:rPr>
      <w:rFonts w:ascii="宋体" w:hAnsi="宋体" w:cs="宋体"/>
      <w:b/>
      <w:bCs/>
      <w:sz w:val="21"/>
      <w:szCs w:val="21"/>
    </w:rPr>
  </w:style>
  <w:style w:type="character" w:customStyle="1" w:styleId="88">
    <w:name w:val="标题 6 字符1"/>
    <w:link w:val="8"/>
    <w:qFormat/>
    <w:uiPriority w:val="0"/>
    <w:rPr>
      <w:rFonts w:ascii="Cambria" w:hAnsi="Cambria"/>
      <w:b/>
      <w:bCs/>
      <w:sz w:val="24"/>
      <w:szCs w:val="24"/>
    </w:rPr>
  </w:style>
  <w:style w:type="character" w:customStyle="1" w:styleId="89">
    <w:name w:val="批注框文本 字符3"/>
    <w:link w:val="22"/>
    <w:qFormat/>
    <w:uiPriority w:val="0"/>
    <w:rPr>
      <w:sz w:val="18"/>
    </w:rPr>
  </w:style>
  <w:style w:type="character" w:customStyle="1" w:styleId="90">
    <w:name w:val="标题 1 字符1"/>
    <w:qFormat/>
    <w:locked/>
    <w:uiPriority w:val="0"/>
    <w:rPr>
      <w:rFonts w:ascii="Tahoma" w:hAnsi="Tahoma"/>
      <w:b/>
      <w:bCs/>
    </w:rPr>
  </w:style>
  <w:style w:type="character" w:customStyle="1" w:styleId="91">
    <w:name w:val="正文首行缩进 Char"/>
    <w:qFormat/>
    <w:uiPriority w:val="0"/>
    <w:rPr>
      <w:rFonts w:ascii="Times New Roman" w:hAnsi="Times New Roman" w:eastAsia="宋体" w:cs="Times New Roman"/>
      <w:kern w:val="0"/>
      <w:szCs w:val="20"/>
    </w:rPr>
  </w:style>
  <w:style w:type="character" w:styleId="92">
    <w:name w:val="Placeholder Text"/>
    <w:semiHidden/>
    <w:qFormat/>
    <w:uiPriority w:val="99"/>
    <w:rPr>
      <w:color w:val="808080"/>
    </w:rPr>
  </w:style>
  <w:style w:type="character" w:customStyle="1" w:styleId="93">
    <w:name w:val="纯文本 字符"/>
    <w:qFormat/>
    <w:uiPriority w:val="99"/>
    <w:rPr>
      <w:rFonts w:ascii="宋体" w:hAnsi="Courier New" w:cs="Courier New"/>
      <w:kern w:val="0"/>
      <w:sz w:val="20"/>
      <w:szCs w:val="20"/>
    </w:rPr>
  </w:style>
  <w:style w:type="character" w:customStyle="1" w:styleId="94">
    <w:name w:val="页眉 Char"/>
    <w:qFormat/>
    <w:uiPriority w:val="0"/>
    <w:rPr>
      <w:rFonts w:ascii="Times New Roman" w:hAnsi="Times New Roman" w:eastAsia="宋体" w:cs="Times New Roman"/>
      <w:kern w:val="0"/>
      <w:sz w:val="18"/>
      <w:szCs w:val="20"/>
    </w:rPr>
  </w:style>
  <w:style w:type="character" w:customStyle="1" w:styleId="95">
    <w:name w:val="批注主题 字符1"/>
    <w:link w:val="32"/>
    <w:qFormat/>
    <w:uiPriority w:val="0"/>
    <w:rPr>
      <w:b/>
    </w:rPr>
  </w:style>
  <w:style w:type="character" w:customStyle="1" w:styleId="96">
    <w:name w:val="纯文本 字符1"/>
    <w:semiHidden/>
    <w:qFormat/>
    <w:locked/>
    <w:uiPriority w:val="99"/>
    <w:rPr>
      <w:rFonts w:ascii="宋体" w:hAnsi="Courier New"/>
      <w:szCs w:val="21"/>
    </w:rPr>
  </w:style>
  <w:style w:type="character" w:customStyle="1" w:styleId="97">
    <w:name w:val="页眉 Char1"/>
    <w:qFormat/>
    <w:locked/>
    <w:uiPriority w:val="99"/>
    <w:rPr>
      <w:rFonts w:ascii="Times New Roman" w:hAnsi="Times New Roman" w:eastAsia="宋体" w:cs="Times New Roman"/>
      <w:kern w:val="0"/>
      <w:sz w:val="20"/>
      <w:szCs w:val="20"/>
      <w:lang w:val="en-GB"/>
    </w:rPr>
  </w:style>
  <w:style w:type="character" w:customStyle="1" w:styleId="98">
    <w:name w:val="apple-converted-space"/>
    <w:qFormat/>
    <w:uiPriority w:val="0"/>
  </w:style>
  <w:style w:type="character" w:customStyle="1" w:styleId="99">
    <w:name w:val="标题 8 字符1"/>
    <w:link w:val="10"/>
    <w:qFormat/>
    <w:uiPriority w:val="0"/>
    <w:rPr>
      <w:rFonts w:ascii="Cambria" w:hAnsi="Cambria"/>
      <w:sz w:val="24"/>
      <w:szCs w:val="24"/>
    </w:rPr>
  </w:style>
  <w:style w:type="character" w:customStyle="1" w:styleId="100">
    <w:name w:val="批注框文本 字符"/>
    <w:semiHidden/>
    <w:qFormat/>
    <w:uiPriority w:val="99"/>
    <w:rPr>
      <w:rFonts w:ascii="Times New Roman" w:hAnsi="Times New Roman" w:eastAsia="宋体" w:cs="Times New Roman"/>
      <w:kern w:val="0"/>
      <w:sz w:val="18"/>
      <w:szCs w:val="18"/>
    </w:rPr>
  </w:style>
  <w:style w:type="character" w:customStyle="1" w:styleId="101">
    <w:name w:val="正文文本缩进 2 字符3"/>
    <w:link w:val="21"/>
    <w:qFormat/>
    <w:uiPriority w:val="0"/>
  </w:style>
  <w:style w:type="character" w:customStyle="1" w:styleId="102">
    <w:name w:val="页脚 Char1"/>
    <w:qFormat/>
    <w:locked/>
    <w:uiPriority w:val="99"/>
    <w:rPr>
      <w:rFonts w:ascii="Times New Roman" w:hAnsi="Times New Roman" w:eastAsia="宋体" w:cs="Times New Roman"/>
      <w:kern w:val="0"/>
      <w:sz w:val="20"/>
      <w:szCs w:val="20"/>
      <w:lang w:eastAsia="en-US"/>
    </w:rPr>
  </w:style>
  <w:style w:type="character" w:customStyle="1" w:styleId="103">
    <w:name w:val="正文首行缩进 字符"/>
    <w:semiHidden/>
    <w:qFormat/>
    <w:uiPriority w:val="99"/>
  </w:style>
  <w:style w:type="character" w:customStyle="1" w:styleId="104">
    <w:name w:val="正文文本首行缩进 字符1"/>
    <w:link w:val="33"/>
    <w:qFormat/>
    <w:locked/>
    <w:uiPriority w:val="0"/>
    <w:rPr>
      <w:sz w:val="24"/>
      <w:lang w:val="en-GB"/>
    </w:rPr>
  </w:style>
  <w:style w:type="character" w:customStyle="1" w:styleId="105">
    <w:name w:val="正文文本缩进 3 字符"/>
    <w:semiHidden/>
    <w:qFormat/>
    <w:uiPriority w:val="99"/>
    <w:rPr>
      <w:rFonts w:ascii="Times New Roman" w:hAnsi="Times New Roman" w:eastAsia="宋体" w:cs="Times New Roman"/>
      <w:kern w:val="0"/>
      <w:sz w:val="16"/>
      <w:szCs w:val="16"/>
    </w:rPr>
  </w:style>
  <w:style w:type="character" w:customStyle="1" w:styleId="106">
    <w:name w:val="正文文本缩进 2 字符1"/>
    <w:semiHidden/>
    <w:qFormat/>
    <w:locked/>
    <w:uiPriority w:val="99"/>
    <w:rPr>
      <w:rFonts w:ascii="Times New Roman" w:hAnsi="Times New Roman"/>
    </w:rPr>
  </w:style>
  <w:style w:type="character" w:customStyle="1" w:styleId="107">
    <w:name w:val="批注文字 Char"/>
    <w:qFormat/>
    <w:uiPriority w:val="0"/>
    <w:rPr>
      <w:rFonts w:ascii="Times New Roman" w:hAnsi="Times New Roman" w:eastAsia="宋体" w:cs="Times New Roman"/>
      <w:kern w:val="0"/>
      <w:szCs w:val="20"/>
    </w:rPr>
  </w:style>
  <w:style w:type="character" w:customStyle="1" w:styleId="108">
    <w:name w:val="正文文本 3 字符1"/>
    <w:link w:val="16"/>
    <w:qFormat/>
    <w:uiPriority w:val="0"/>
    <w:rPr>
      <w:sz w:val="16"/>
      <w:szCs w:val="16"/>
    </w:rPr>
  </w:style>
  <w:style w:type="character" w:customStyle="1" w:styleId="109">
    <w:name w:val="标题 3 字符1"/>
    <w:link w:val="5"/>
    <w:qFormat/>
    <w:uiPriority w:val="0"/>
    <w:rPr>
      <w:rFonts w:ascii="宋体" w:hAnsi="宋体" w:cs="宋体"/>
      <w:b/>
      <w:sz w:val="28"/>
      <w:szCs w:val="28"/>
    </w:rPr>
  </w:style>
  <w:style w:type="character" w:customStyle="1" w:styleId="110">
    <w:name w:val="List Paragraph Char"/>
    <w:link w:val="111"/>
    <w:qFormat/>
    <w:locked/>
    <w:uiPriority w:val="0"/>
    <w:rPr>
      <w:rFonts w:ascii="Calibri" w:hAnsi="Calibri"/>
      <w:sz w:val="22"/>
    </w:rPr>
  </w:style>
  <w:style w:type="paragraph" w:customStyle="1" w:styleId="111">
    <w:name w:val="列出段落1"/>
    <w:basedOn w:val="1"/>
    <w:link w:val="110"/>
    <w:qFormat/>
    <w:uiPriority w:val="0"/>
    <w:pPr>
      <w:ind w:firstLine="420" w:firstLineChars="200"/>
    </w:pPr>
    <w:rPr>
      <w:rFonts w:ascii="Calibri" w:hAnsi="Calibri" w:cs="Times New Roman"/>
      <w:kern w:val="0"/>
      <w:sz w:val="22"/>
      <w:szCs w:val="20"/>
    </w:rPr>
  </w:style>
  <w:style w:type="paragraph" w:customStyle="1" w:styleId="112">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kern w:val="0"/>
      <w:sz w:val="24"/>
    </w:rPr>
  </w:style>
  <w:style w:type="character" w:customStyle="1" w:styleId="113">
    <w:name w:val="正文文本缩进 3 字符2"/>
    <w:basedOn w:val="38"/>
    <w:semiHidden/>
    <w:qFormat/>
    <w:uiPriority w:val="99"/>
    <w:rPr>
      <w:rFonts w:asciiTheme="minorHAnsi" w:hAnsiTheme="minorHAnsi" w:eastAsiaTheme="minorEastAsia" w:cstheme="minorBidi"/>
      <w:kern w:val="2"/>
      <w:sz w:val="16"/>
      <w:szCs w:val="16"/>
    </w:rPr>
  </w:style>
  <w:style w:type="character" w:customStyle="1" w:styleId="114">
    <w:name w:val="正文文本 3 字符"/>
    <w:basedOn w:val="38"/>
    <w:semiHidden/>
    <w:qFormat/>
    <w:uiPriority w:val="99"/>
    <w:rPr>
      <w:rFonts w:asciiTheme="minorHAnsi" w:hAnsiTheme="minorHAnsi" w:eastAsiaTheme="minorEastAsia" w:cstheme="minorBidi"/>
      <w:kern w:val="2"/>
      <w:sz w:val="16"/>
      <w:szCs w:val="16"/>
    </w:rPr>
  </w:style>
  <w:style w:type="character" w:customStyle="1" w:styleId="115">
    <w:name w:val="文档结构图 字符"/>
    <w:basedOn w:val="38"/>
    <w:semiHidden/>
    <w:qFormat/>
    <w:uiPriority w:val="99"/>
    <w:rPr>
      <w:rFonts w:ascii="Microsoft YaHei UI" w:eastAsia="Microsoft YaHei UI" w:hAnsiTheme="minorHAnsi" w:cstheme="minorBidi"/>
      <w:kern w:val="2"/>
      <w:sz w:val="18"/>
      <w:szCs w:val="18"/>
    </w:rPr>
  </w:style>
  <w:style w:type="paragraph" w:customStyle="1" w:styleId="116">
    <w:name w:val="xl3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cs="Times New Roman"/>
      <w:kern w:val="0"/>
      <w:sz w:val="24"/>
    </w:rPr>
  </w:style>
  <w:style w:type="paragraph" w:customStyle="1" w:styleId="117">
    <w:name w:val="需求书2"/>
    <w:basedOn w:val="1"/>
    <w:qFormat/>
    <w:uiPriority w:val="0"/>
    <w:rPr>
      <w:rFonts w:cs="Times New Roman"/>
      <w:b/>
      <w:spacing w:val="10"/>
      <w:sz w:val="24"/>
    </w:rPr>
  </w:style>
  <w:style w:type="character" w:customStyle="1" w:styleId="118">
    <w:name w:val="批注文字 字符"/>
    <w:basedOn w:val="38"/>
    <w:link w:val="14"/>
    <w:qFormat/>
    <w:uiPriority w:val="99"/>
    <w:rPr>
      <w:sz w:val="21"/>
    </w:rPr>
  </w:style>
  <w:style w:type="character" w:customStyle="1" w:styleId="119">
    <w:name w:val="批注主题 字符"/>
    <w:basedOn w:val="118"/>
    <w:semiHidden/>
    <w:qFormat/>
    <w:uiPriority w:val="99"/>
    <w:rPr>
      <w:b/>
      <w:bCs/>
      <w:sz w:val="21"/>
    </w:rPr>
  </w:style>
  <w:style w:type="paragraph" w:customStyle="1" w:styleId="120">
    <w:name w:val="Char Char Char Char Char Char Char Char Char Char1"/>
    <w:basedOn w:val="1"/>
    <w:qFormat/>
    <w:uiPriority w:val="0"/>
    <w:rPr>
      <w:rFonts w:ascii="Tahoma" w:hAnsi="Tahoma" w:cs="Times New Roman"/>
      <w:sz w:val="24"/>
      <w:szCs w:val="20"/>
    </w:rPr>
  </w:style>
  <w:style w:type="paragraph" w:customStyle="1" w:styleId="121">
    <w:name w:val="xl24"/>
    <w:basedOn w:val="1"/>
    <w:qFormat/>
    <w:uiPriority w:val="0"/>
    <w:pPr>
      <w:widowControl/>
      <w:spacing w:before="100" w:beforeAutospacing="1" w:after="100" w:afterAutospacing="1"/>
      <w:jc w:val="center"/>
    </w:pPr>
    <w:rPr>
      <w:kern w:val="0"/>
      <w:sz w:val="24"/>
    </w:rPr>
  </w:style>
  <w:style w:type="paragraph" w:customStyle="1" w:styleId="122">
    <w:name w:val="135"/>
    <w:basedOn w:val="1"/>
    <w:qFormat/>
    <w:uiPriority w:val="0"/>
    <w:pPr>
      <w:widowControl/>
      <w:spacing w:before="100" w:beforeAutospacing="1" w:after="100" w:afterAutospacing="1" w:line="360" w:lineRule="auto"/>
      <w:jc w:val="left"/>
    </w:pPr>
    <w:rPr>
      <w:rFonts w:cs="Times New Roman"/>
      <w:color w:val="000000"/>
      <w:kern w:val="0"/>
      <w:sz w:val="24"/>
    </w:rPr>
  </w:style>
  <w:style w:type="paragraph" w:customStyle="1" w:styleId="123">
    <w:name w:val="p0"/>
    <w:basedOn w:val="1"/>
    <w:qFormat/>
    <w:uiPriority w:val="0"/>
    <w:pPr>
      <w:widowControl/>
    </w:pPr>
    <w:rPr>
      <w:rFonts w:ascii="Times New Roman" w:hAnsi="Times New Roman" w:cs="Times New Roman"/>
      <w:kern w:val="0"/>
    </w:rPr>
  </w:style>
  <w:style w:type="character" w:customStyle="1" w:styleId="124">
    <w:name w:val="纯文本 字符2"/>
    <w:basedOn w:val="38"/>
    <w:semiHidden/>
    <w:qFormat/>
    <w:uiPriority w:val="99"/>
    <w:rPr>
      <w:rFonts w:hAnsi="Courier New" w:cs="Courier New" w:asciiTheme="minorEastAsia" w:eastAsiaTheme="minorEastAsia"/>
      <w:kern w:val="2"/>
      <w:sz w:val="21"/>
      <w:szCs w:val="24"/>
    </w:rPr>
  </w:style>
  <w:style w:type="character" w:customStyle="1" w:styleId="125">
    <w:name w:val="正文文本缩进 2 字符2"/>
    <w:basedOn w:val="38"/>
    <w:semiHidden/>
    <w:qFormat/>
    <w:uiPriority w:val="99"/>
    <w:rPr>
      <w:rFonts w:asciiTheme="minorHAnsi" w:hAnsiTheme="minorHAnsi" w:eastAsiaTheme="minorEastAsia" w:cstheme="minorBidi"/>
      <w:kern w:val="2"/>
      <w:sz w:val="21"/>
      <w:szCs w:val="24"/>
    </w:rPr>
  </w:style>
  <w:style w:type="paragraph" w:customStyle="1" w:styleId="126">
    <w:name w:val=".o.a"/>
    <w:basedOn w:val="1"/>
    <w:next w:val="1"/>
    <w:semiHidden/>
    <w:qFormat/>
    <w:uiPriority w:val="99"/>
    <w:pPr>
      <w:autoSpaceDE w:val="0"/>
      <w:autoSpaceDN w:val="0"/>
      <w:adjustRightInd w:val="0"/>
      <w:jc w:val="left"/>
    </w:pPr>
    <w:rPr>
      <w:rFonts w:hAnsi="Times New Roman" w:cs="Times New Roman"/>
      <w:kern w:val="0"/>
      <w:sz w:val="24"/>
      <w:lang w:eastAsia="en-US"/>
    </w:rPr>
  </w:style>
  <w:style w:type="character" w:customStyle="1" w:styleId="127">
    <w:name w:val="正文文本 字符2"/>
    <w:basedOn w:val="38"/>
    <w:semiHidden/>
    <w:qFormat/>
    <w:uiPriority w:val="99"/>
    <w:rPr>
      <w:rFonts w:asciiTheme="minorHAnsi" w:hAnsiTheme="minorHAnsi" w:eastAsiaTheme="minorEastAsia" w:cstheme="minorBidi"/>
      <w:kern w:val="2"/>
      <w:sz w:val="21"/>
      <w:szCs w:val="24"/>
    </w:rPr>
  </w:style>
  <w:style w:type="paragraph" w:customStyle="1" w:styleId="128">
    <w:name w:val="msonormal"/>
    <w:basedOn w:val="1"/>
    <w:qFormat/>
    <w:uiPriority w:val="0"/>
    <w:pPr>
      <w:widowControl/>
      <w:spacing w:before="100" w:beforeAutospacing="1" w:after="100" w:afterAutospacing="1"/>
      <w:jc w:val="left"/>
    </w:pPr>
    <w:rPr>
      <w:rFonts w:ascii="Times New Roman" w:hAnsi="Times New Roman" w:eastAsia="Times New Roman" w:cs="Times New Roman"/>
      <w:kern w:val="0"/>
      <w:sz w:val="24"/>
    </w:rPr>
  </w:style>
  <w:style w:type="character" w:customStyle="1" w:styleId="129">
    <w:name w:val="正文文本缩进 字符2"/>
    <w:basedOn w:val="38"/>
    <w:semiHidden/>
    <w:qFormat/>
    <w:uiPriority w:val="99"/>
    <w:rPr>
      <w:rFonts w:asciiTheme="minorHAnsi" w:hAnsiTheme="minorHAnsi" w:eastAsiaTheme="minorEastAsia" w:cstheme="minorBidi"/>
      <w:kern w:val="2"/>
      <w:sz w:val="21"/>
      <w:szCs w:val="24"/>
    </w:rPr>
  </w:style>
  <w:style w:type="paragraph" w:customStyle="1" w:styleId="130">
    <w:name w:val="表头"/>
    <w:basedOn w:val="12"/>
    <w:qFormat/>
    <w:uiPriority w:val="0"/>
    <w:pPr>
      <w:keepNext/>
      <w:keepLines/>
      <w:spacing w:before="120" w:after="120" w:line="300" w:lineRule="auto"/>
      <w:jc w:val="center"/>
      <w:textAlignment w:val="baseline"/>
    </w:pPr>
    <w:rPr>
      <w:rFonts w:ascii="Arial" w:hAnsi="Arial"/>
      <w:sz w:val="21"/>
    </w:rPr>
  </w:style>
  <w:style w:type="character" w:customStyle="1" w:styleId="131">
    <w:name w:val="日期 字符"/>
    <w:basedOn w:val="38"/>
    <w:semiHidden/>
    <w:qFormat/>
    <w:uiPriority w:val="99"/>
    <w:rPr>
      <w:rFonts w:asciiTheme="minorHAnsi" w:hAnsiTheme="minorHAnsi" w:eastAsiaTheme="minorEastAsia" w:cstheme="minorBidi"/>
      <w:kern w:val="2"/>
      <w:sz w:val="21"/>
      <w:szCs w:val="24"/>
    </w:rPr>
  </w:style>
  <w:style w:type="character" w:customStyle="1" w:styleId="132">
    <w:name w:val="批注框文本 字符2"/>
    <w:basedOn w:val="38"/>
    <w:semiHidden/>
    <w:uiPriority w:val="99"/>
    <w:rPr>
      <w:rFonts w:asciiTheme="minorHAnsi" w:hAnsiTheme="minorHAnsi" w:eastAsiaTheme="minorEastAsia" w:cstheme="minorBidi"/>
      <w:kern w:val="2"/>
      <w:sz w:val="18"/>
      <w:szCs w:val="18"/>
    </w:rPr>
  </w:style>
  <w:style w:type="paragraph" w:customStyle="1" w:styleId="133">
    <w:name w:val="题注4"/>
    <w:basedOn w:val="1"/>
    <w:next w:val="12"/>
    <w:qFormat/>
    <w:uiPriority w:val="0"/>
    <w:pPr>
      <w:ind w:left="-132" w:leftChars="-64" w:right="-105" w:rightChars="-50" w:hanging="2"/>
      <w:jc w:val="center"/>
    </w:pPr>
    <w:rPr>
      <w:rFonts w:ascii="Times New Roman" w:hAnsi="Times New Roman" w:cs="Times New Roman"/>
      <w:b/>
      <w:color w:val="FF0000"/>
      <w:lang w:val="en-GB"/>
    </w:rPr>
  </w:style>
  <w:style w:type="paragraph" w:customStyle="1" w:styleId="1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character" w:customStyle="1" w:styleId="135">
    <w:name w:val="HTML 预设格式 字符"/>
    <w:basedOn w:val="38"/>
    <w:semiHidden/>
    <w:qFormat/>
    <w:uiPriority w:val="99"/>
    <w:rPr>
      <w:rFonts w:ascii="Courier New" w:hAnsi="Courier New" w:cs="Courier New" w:eastAsiaTheme="minorEastAsia"/>
      <w:kern w:val="2"/>
    </w:rPr>
  </w:style>
  <w:style w:type="paragraph" w:customStyle="1" w:styleId="136">
    <w:name w:val="样式1"/>
    <w:basedOn w:val="3"/>
    <w:qFormat/>
    <w:uiPriority w:val="0"/>
    <w:pPr>
      <w:tabs>
        <w:tab w:val="left" w:pos="420"/>
      </w:tabs>
      <w:ind w:left="420" w:hanging="420"/>
    </w:pPr>
    <w:rPr>
      <w:b w:val="0"/>
    </w:rPr>
  </w:style>
  <w:style w:type="character" w:customStyle="1" w:styleId="137">
    <w:name w:val="正文文本 2 字符2"/>
    <w:basedOn w:val="38"/>
    <w:semiHidden/>
    <w:uiPriority w:val="99"/>
    <w:rPr>
      <w:rFonts w:asciiTheme="minorHAnsi" w:hAnsiTheme="minorHAnsi" w:eastAsiaTheme="minorEastAsia" w:cstheme="minorBidi"/>
      <w:kern w:val="2"/>
      <w:sz w:val="21"/>
      <w:szCs w:val="24"/>
    </w:rPr>
  </w:style>
  <w:style w:type="paragraph" w:customStyle="1" w:styleId="138">
    <w:name w:val="Char1 Char Char Char"/>
    <w:basedOn w:val="1"/>
    <w:qFormat/>
    <w:uiPriority w:val="0"/>
    <w:pPr>
      <w:ind w:left="420" w:hanging="420"/>
    </w:pPr>
    <w:rPr>
      <w:rFonts w:ascii="Times New Roman" w:hAnsi="Times New Roman" w:cs="Times New Roman"/>
      <w:sz w:val="24"/>
    </w:rPr>
  </w:style>
  <w:style w:type="paragraph" w:customStyle="1" w:styleId="139">
    <w:name w:val=".DAD 2"/>
    <w:basedOn w:val="1"/>
    <w:next w:val="1"/>
    <w:semiHidden/>
    <w:qFormat/>
    <w:uiPriority w:val="99"/>
    <w:pPr>
      <w:autoSpaceDE w:val="0"/>
      <w:autoSpaceDN w:val="0"/>
      <w:adjustRightInd w:val="0"/>
      <w:jc w:val="left"/>
    </w:pPr>
    <w:rPr>
      <w:rFonts w:hAnsi="Times New Roman" w:cs="Times New Roman"/>
      <w:kern w:val="0"/>
      <w:sz w:val="24"/>
      <w:lang w:eastAsia="en-US"/>
    </w:rPr>
  </w:style>
  <w:style w:type="paragraph" w:customStyle="1" w:styleId="140">
    <w:name w:val="f12pt1"/>
    <w:basedOn w:val="1"/>
    <w:qFormat/>
    <w:uiPriority w:val="0"/>
    <w:pPr>
      <w:widowControl/>
      <w:spacing w:before="100" w:beforeAutospacing="1" w:after="100" w:afterAutospacing="1"/>
      <w:jc w:val="left"/>
    </w:pPr>
    <w:rPr>
      <w:rFonts w:ascii="_GB2312" w:hAnsi="_GB2312" w:cs="Times New Roman"/>
      <w:color w:val="000000"/>
      <w:kern w:val="0"/>
    </w:rPr>
  </w:style>
  <w:style w:type="paragraph" w:customStyle="1" w:styleId="141">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kern w:val="0"/>
      <w:sz w:val="36"/>
      <w:szCs w:val="36"/>
    </w:rPr>
  </w:style>
  <w:style w:type="paragraph" w:customStyle="1" w:styleId="142">
    <w:name w:val="xl25"/>
    <w:basedOn w:val="1"/>
    <w:uiPriority w:val="0"/>
    <w:pPr>
      <w:widowControl/>
      <w:spacing w:before="100" w:beforeAutospacing="1" w:after="100" w:afterAutospacing="1"/>
      <w:jc w:val="right"/>
    </w:pPr>
    <w:rPr>
      <w:rFonts w:ascii="Times New Roman" w:hAnsi="Times New Roman" w:cs="Times New Roman"/>
      <w:kern w:val="0"/>
      <w:sz w:val="24"/>
    </w:rPr>
  </w:style>
  <w:style w:type="paragraph" w:customStyle="1" w:styleId="143">
    <w:name w:val="Char Char Char Char"/>
    <w:basedOn w:val="1"/>
    <w:qFormat/>
    <w:uiPriority w:val="0"/>
    <w:pPr>
      <w:widowControl/>
      <w:numPr>
        <w:ilvl w:val="0"/>
        <w:numId w:val="1"/>
      </w:numPr>
      <w:spacing w:after="160" w:line="240" w:lineRule="exact"/>
      <w:jc w:val="left"/>
    </w:pPr>
    <w:rPr>
      <w:rFonts w:ascii="Verdana" w:hAnsi="Verdana" w:cs="Times New Roman"/>
      <w:kern w:val="0"/>
      <w:szCs w:val="20"/>
      <w:lang w:eastAsia="en-US"/>
    </w:rPr>
  </w:style>
  <w:style w:type="paragraph" w:customStyle="1" w:styleId="144">
    <w:name w:val="修订1"/>
    <w:semiHidden/>
    <w:qFormat/>
    <w:uiPriority w:val="99"/>
    <w:rPr>
      <w:rFonts w:ascii="Times New Roman" w:hAnsi="Times New Roman" w:eastAsia="宋体" w:cs="Times New Roman"/>
      <w:sz w:val="21"/>
      <w:lang w:val="en-US" w:eastAsia="zh-CN" w:bidi="ar-SA"/>
    </w:rPr>
  </w:style>
  <w:style w:type="paragraph" w:customStyle="1" w:styleId="145">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4"/>
    </w:rPr>
  </w:style>
  <w:style w:type="paragraph" w:customStyle="1" w:styleId="146">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kern w:val="0"/>
      <w:sz w:val="24"/>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4"/>
    </w:rPr>
  </w:style>
  <w:style w:type="paragraph" w:customStyle="1" w:styleId="148">
    <w:name w:val="f12"/>
    <w:basedOn w:val="1"/>
    <w:qFormat/>
    <w:uiPriority w:val="0"/>
    <w:pPr>
      <w:widowControl/>
      <w:spacing w:before="100" w:beforeAutospacing="1" w:after="100" w:afterAutospacing="1"/>
      <w:jc w:val="left"/>
    </w:pPr>
    <w:rPr>
      <w:rFonts w:ascii="_GB2312" w:hAnsi="_GB2312" w:cs="Times New Roman"/>
      <w:color w:val="000000"/>
      <w:kern w:val="0"/>
    </w:rPr>
  </w:style>
  <w:style w:type="paragraph" w:customStyle="1" w:styleId="149">
    <w:name w:val="f14"/>
    <w:basedOn w:val="1"/>
    <w:qFormat/>
    <w:uiPriority w:val="0"/>
    <w:pPr>
      <w:widowControl/>
      <w:spacing w:before="100" w:beforeAutospacing="1" w:after="100" w:afterAutospacing="1"/>
      <w:jc w:val="left"/>
    </w:pPr>
    <w:rPr>
      <w:rFonts w:ascii="_GB2312" w:hAnsi="_GB2312" w:cs="Times New Roman"/>
      <w:color w:val="000000"/>
      <w:kern w:val="0"/>
      <w:sz w:val="28"/>
      <w:szCs w:val="28"/>
    </w:rPr>
  </w:style>
  <w:style w:type="paragraph" w:customStyle="1" w:styleId="150">
    <w:name w:val="f11"/>
    <w:basedOn w:val="1"/>
    <w:qFormat/>
    <w:uiPriority w:val="0"/>
    <w:pPr>
      <w:widowControl/>
      <w:spacing w:before="100" w:beforeAutospacing="1" w:after="100" w:afterAutospacing="1" w:line="320" w:lineRule="atLeast"/>
      <w:jc w:val="left"/>
    </w:pPr>
    <w:rPr>
      <w:rFonts w:ascii="_GB2312" w:hAnsi="_GB2312" w:cs="Times New Roman"/>
      <w:color w:val="000000"/>
      <w:kern w:val="0"/>
      <w:sz w:val="28"/>
      <w:szCs w:val="28"/>
    </w:rPr>
  </w:style>
  <w:style w:type="paragraph" w:customStyle="1" w:styleId="15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52">
    <w:name w:val="font5"/>
    <w:basedOn w:val="1"/>
    <w:qFormat/>
    <w:uiPriority w:val="0"/>
    <w:pPr>
      <w:widowControl/>
      <w:spacing w:before="100" w:beforeAutospacing="1" w:after="100" w:afterAutospacing="1"/>
      <w:jc w:val="left"/>
    </w:pPr>
    <w:rPr>
      <w:kern w:val="0"/>
      <w:sz w:val="18"/>
      <w:szCs w:val="18"/>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4"/>
    </w:rPr>
  </w:style>
  <w:style w:type="paragraph" w:customStyle="1" w:styleId="154">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kern w:val="0"/>
      <w:sz w:val="24"/>
    </w:rPr>
  </w:style>
  <w:style w:type="paragraph" w:customStyle="1" w:styleId="155">
    <w:name w:val="150"/>
    <w:basedOn w:val="1"/>
    <w:qFormat/>
    <w:uiPriority w:val="0"/>
    <w:pPr>
      <w:widowControl/>
      <w:spacing w:before="100" w:beforeAutospacing="1" w:after="100" w:afterAutospacing="1" w:line="360" w:lineRule="auto"/>
      <w:jc w:val="left"/>
    </w:pPr>
    <w:rPr>
      <w:rFonts w:cs="Times New Roman"/>
      <w:color w:val="000000"/>
      <w:kern w:val="0"/>
      <w:sz w:val="24"/>
    </w:rPr>
  </w:style>
  <w:style w:type="paragraph" w:customStyle="1" w:styleId="156">
    <w:name w:val="c03"/>
    <w:basedOn w:val="1"/>
    <w:qFormat/>
    <w:uiPriority w:val="0"/>
    <w:pPr>
      <w:widowControl/>
      <w:spacing w:before="100" w:beforeAutospacing="1" w:after="100" w:afterAutospacing="1"/>
      <w:jc w:val="left"/>
    </w:pPr>
    <w:rPr>
      <w:rFonts w:cs="Times New Roman"/>
      <w:color w:val="000000"/>
      <w:kern w:val="0"/>
      <w:sz w:val="24"/>
    </w:rPr>
  </w:style>
  <w:style w:type="paragraph" w:customStyle="1" w:styleId="157">
    <w:name w:val="xl4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158">
    <w:name w:val="xl4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159">
    <w:name w:val="修订2"/>
    <w:semiHidden/>
    <w:qFormat/>
    <w:uiPriority w:val="99"/>
    <w:rPr>
      <w:rFonts w:ascii="Times New Roman" w:hAnsi="Times New Roman" w:eastAsia="宋体" w:cs="Times New Roman"/>
      <w:sz w:val="21"/>
      <w:lang w:val="en-US" w:eastAsia="zh-CN" w:bidi="ar-SA"/>
    </w:rPr>
  </w:style>
  <w:style w:type="paragraph" w:customStyle="1" w:styleId="160">
    <w:name w:val="Char2"/>
    <w:basedOn w:val="1"/>
    <w:qFormat/>
    <w:uiPriority w:val="0"/>
    <w:rPr>
      <w:rFonts w:ascii="Tahoma" w:hAnsi="Tahoma" w:cs="Times New Roman"/>
      <w:sz w:val="24"/>
      <w:szCs w:val="20"/>
    </w:rPr>
  </w:style>
  <w:style w:type="paragraph" w:customStyle="1" w:styleId="161">
    <w:name w:val="font7"/>
    <w:basedOn w:val="1"/>
    <w:qFormat/>
    <w:uiPriority w:val="0"/>
    <w:pPr>
      <w:widowControl/>
      <w:spacing w:before="100" w:beforeAutospacing="1" w:after="100" w:afterAutospacing="1"/>
      <w:jc w:val="left"/>
    </w:pPr>
    <w:rPr>
      <w:b/>
      <w:bCs/>
      <w:kern w:val="0"/>
      <w:sz w:val="36"/>
      <w:szCs w:val="36"/>
    </w:rPr>
  </w:style>
  <w:style w:type="paragraph" w:customStyle="1" w:styleId="162">
    <w:name w:val="font6"/>
    <w:basedOn w:val="1"/>
    <w:qFormat/>
    <w:uiPriority w:val="0"/>
    <w:pPr>
      <w:widowControl/>
      <w:spacing w:before="100" w:beforeAutospacing="1" w:after="100" w:afterAutospacing="1"/>
      <w:jc w:val="left"/>
    </w:pPr>
    <w:rPr>
      <w:rFonts w:ascii="Times New Roman" w:hAnsi="Times New Roman" w:cs="Times New Roman"/>
      <w:kern w:val="0"/>
      <w:sz w:val="24"/>
    </w:rPr>
  </w:style>
  <w:style w:type="paragraph" w:customStyle="1" w:styleId="163">
    <w:name w:val="1"/>
    <w:basedOn w:val="1"/>
    <w:next w:val="19"/>
    <w:qFormat/>
    <w:uiPriority w:val="0"/>
    <w:rPr>
      <w:rFonts w:hAnsi="Courier New" w:cs="Times New Roman"/>
      <w:szCs w:val="20"/>
    </w:rPr>
  </w:style>
  <w:style w:type="paragraph" w:customStyle="1" w:styleId="164">
    <w:name w:val="xl3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kern w:val="0"/>
      <w:sz w:val="24"/>
    </w:rPr>
  </w:style>
  <w:style w:type="paragraph" w:customStyle="1" w:styleId="165">
    <w:name w:val="130"/>
    <w:basedOn w:val="1"/>
    <w:qFormat/>
    <w:uiPriority w:val="0"/>
    <w:pPr>
      <w:widowControl/>
      <w:spacing w:before="100" w:beforeAutospacing="1" w:after="100" w:afterAutospacing="1" w:line="324" w:lineRule="auto"/>
      <w:jc w:val="left"/>
    </w:pPr>
    <w:rPr>
      <w:rFonts w:cs="Times New Roman"/>
      <w:color w:val="000000"/>
      <w:kern w:val="0"/>
      <w:sz w:val="24"/>
    </w:rPr>
  </w:style>
  <w:style w:type="paragraph" w:customStyle="1" w:styleId="166">
    <w:name w:val="font8"/>
    <w:basedOn w:val="1"/>
    <w:qFormat/>
    <w:uiPriority w:val="0"/>
    <w:pPr>
      <w:widowControl/>
      <w:spacing w:before="100" w:beforeAutospacing="1" w:after="100" w:afterAutospacing="1"/>
      <w:jc w:val="left"/>
    </w:pPr>
    <w:rPr>
      <w:rFonts w:ascii="Times New Roman" w:hAnsi="Times New Roman" w:cs="Times New Roman"/>
      <w:b/>
      <w:bCs/>
      <w:kern w:val="0"/>
      <w:sz w:val="36"/>
      <w:szCs w:val="36"/>
    </w:rPr>
  </w:style>
  <w:style w:type="paragraph" w:customStyle="1" w:styleId="167">
    <w:name w:val="xl4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kern w:val="0"/>
      <w:sz w:val="36"/>
      <w:szCs w:val="36"/>
    </w:rPr>
  </w:style>
  <w:style w:type="paragraph" w:customStyle="1" w:styleId="168">
    <w:name w:val="xl4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kern w:val="0"/>
      <w:sz w:val="24"/>
    </w:rPr>
  </w:style>
  <w:style w:type="paragraph" w:customStyle="1" w:styleId="169">
    <w:name w:val="msolistparagraph"/>
    <w:basedOn w:val="1"/>
    <w:qFormat/>
    <w:uiPriority w:val="0"/>
    <w:pPr>
      <w:widowControl/>
      <w:spacing w:before="100" w:beforeAutospacing="1" w:after="100" w:afterAutospacing="1"/>
      <w:jc w:val="left"/>
    </w:pPr>
    <w:rPr>
      <w:kern w:val="0"/>
      <w:sz w:val="24"/>
    </w:rPr>
  </w:style>
  <w:style w:type="paragraph" w:customStyle="1" w:styleId="170">
    <w:name w:val="正文缩近"/>
    <w:basedOn w:val="1"/>
    <w:qFormat/>
    <w:uiPriority w:val="0"/>
    <w:pPr>
      <w:spacing w:line="360" w:lineRule="auto"/>
      <w:ind w:firstLine="200" w:firstLineChars="200"/>
    </w:pPr>
    <w:rPr>
      <w:rFonts w:ascii="Times New Roman" w:hAnsi="Times New Roman" w:cs="Times New Roman"/>
      <w:sz w:val="24"/>
    </w:rPr>
  </w:style>
  <w:style w:type="paragraph" w:customStyle="1" w:styleId="171">
    <w:name w:val="标题四"/>
    <w:basedOn w:val="1"/>
    <w:qFormat/>
    <w:uiPriority w:val="0"/>
    <w:pPr>
      <w:tabs>
        <w:tab w:val="left" w:pos="425"/>
      </w:tabs>
      <w:adjustRightInd w:val="0"/>
      <w:spacing w:beforeLines="50" w:afterLines="50"/>
    </w:pPr>
    <w:rPr>
      <w:rFonts w:ascii="Arial" w:hAnsi="Arial" w:cs="Times New Roman"/>
      <w:b/>
      <w:bCs/>
      <w:kern w:val="0"/>
      <w:sz w:val="24"/>
    </w:rPr>
  </w:style>
  <w:style w:type="paragraph" w:customStyle="1" w:styleId="172">
    <w:name w:val="主题注释"/>
    <w:basedOn w:val="19"/>
    <w:qFormat/>
    <w:uiPriority w:val="0"/>
    <w:pPr>
      <w:widowControl w:val="0"/>
      <w:jc w:val="both"/>
    </w:pPr>
    <w:rPr>
      <w:rFonts w:ascii="Verdana" w:hAnsi="Verdana" w:eastAsia="幼圆"/>
      <w:bCs/>
      <w:color w:val="000000"/>
      <w:kern w:val="2"/>
      <w:sz w:val="28"/>
      <w:szCs w:val="20"/>
      <w:lang w:eastAsia="en-US"/>
    </w:rPr>
  </w:style>
  <w:style w:type="paragraph" w:customStyle="1" w:styleId="173">
    <w:name w:val="TOC 标题1"/>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174">
    <w:name w:val="blacklk"/>
    <w:basedOn w:val="1"/>
    <w:qFormat/>
    <w:uiPriority w:val="0"/>
    <w:pPr>
      <w:widowControl/>
      <w:spacing w:before="100" w:beforeAutospacing="1" w:after="100" w:afterAutospacing="1"/>
      <w:jc w:val="left"/>
    </w:pPr>
    <w:rPr>
      <w:kern w:val="0"/>
      <w:sz w:val="24"/>
    </w:rPr>
  </w:style>
  <w:style w:type="paragraph" w:customStyle="1" w:styleId="17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6">
    <w:name w:val="D文1"/>
    <w:basedOn w:val="1"/>
    <w:qFormat/>
    <w:uiPriority w:val="0"/>
    <w:pPr>
      <w:tabs>
        <w:tab w:val="left" w:pos="720"/>
      </w:tabs>
      <w:autoSpaceDE w:val="0"/>
      <w:autoSpaceDN w:val="0"/>
      <w:adjustRightInd w:val="0"/>
      <w:spacing w:after="120" w:line="480" w:lineRule="atLeast"/>
      <w:ind w:left="680" w:firstLine="510"/>
    </w:pPr>
    <w:rPr>
      <w:rFonts w:hAnsi="Times New Roman" w:cs="Times New Roman"/>
      <w:kern w:val="0"/>
      <w:sz w:val="24"/>
      <w:szCs w:val="20"/>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4"/>
    </w:rPr>
  </w:style>
  <w:style w:type="paragraph" w:customStyle="1" w:styleId="178">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kern w:val="0"/>
      <w:sz w:val="24"/>
    </w:rPr>
  </w:style>
  <w:style w:type="paragraph" w:customStyle="1" w:styleId="17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180">
    <w:name w:val="font0"/>
    <w:basedOn w:val="1"/>
    <w:qFormat/>
    <w:uiPriority w:val="0"/>
    <w:pPr>
      <w:widowControl/>
      <w:spacing w:before="100" w:beforeAutospacing="1" w:after="100" w:afterAutospacing="1"/>
      <w:jc w:val="left"/>
    </w:pPr>
    <w:rPr>
      <w:kern w:val="0"/>
      <w:sz w:val="24"/>
    </w:rPr>
  </w:style>
  <w:style w:type="paragraph" w:customStyle="1" w:styleId="18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2">
    <w:name w:val="f10"/>
    <w:basedOn w:val="1"/>
    <w:qFormat/>
    <w:uiPriority w:val="0"/>
    <w:pPr>
      <w:widowControl/>
      <w:spacing w:before="100" w:beforeAutospacing="1" w:after="100" w:afterAutospacing="1" w:line="260" w:lineRule="atLeast"/>
      <w:jc w:val="left"/>
    </w:pPr>
    <w:rPr>
      <w:rFonts w:ascii="_GB2312" w:hAnsi="_GB2312" w:cs="Times New Roman"/>
      <w:color w:val="000000"/>
      <w:kern w:val="0"/>
      <w:sz w:val="18"/>
      <w:szCs w:val="18"/>
    </w:rPr>
  </w:style>
  <w:style w:type="paragraph" w:customStyle="1" w:styleId="183">
    <w:name w:val="Char Char Char Char Char Char Char Char Char Char"/>
    <w:basedOn w:val="1"/>
    <w:uiPriority w:val="0"/>
    <w:rPr>
      <w:rFonts w:ascii="Tahoma" w:hAnsi="Tahoma" w:cs="Times New Roman"/>
      <w:sz w:val="24"/>
      <w:szCs w:val="20"/>
    </w:rPr>
  </w:style>
  <w:style w:type="paragraph" w:customStyle="1" w:styleId="184">
    <w:name w:val="Char Char Char Char Char Char1 Char Char Char Char"/>
    <w:basedOn w:val="1"/>
    <w:qFormat/>
    <w:uiPriority w:val="0"/>
    <w:pPr>
      <w:widowControl/>
      <w:tabs>
        <w:tab w:val="left" w:pos="360"/>
      </w:tabs>
      <w:spacing w:after="160" w:line="240" w:lineRule="exact"/>
      <w:jc w:val="left"/>
    </w:pPr>
    <w:rPr>
      <w:rFonts w:ascii="Times New Roman" w:hAnsi="Times New Roman" w:cs="Times New Roman"/>
      <w:sz w:val="24"/>
    </w:rPr>
  </w:style>
  <w:style w:type="paragraph" w:customStyle="1" w:styleId="185">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kern w:val="0"/>
      <w:sz w:val="24"/>
    </w:rPr>
  </w:style>
  <w:style w:type="paragraph" w:customStyle="1" w:styleId="186">
    <w:name w:val="Char Char Char Char Char1 Char"/>
    <w:basedOn w:val="1"/>
    <w:qFormat/>
    <w:uiPriority w:val="0"/>
    <w:rPr>
      <w:rFonts w:ascii="Tahoma" w:hAnsi="Tahoma" w:cs="Times New Roman"/>
      <w:sz w:val="24"/>
      <w:szCs w:val="20"/>
    </w:rPr>
  </w:style>
  <w:style w:type="paragraph" w:customStyle="1" w:styleId="187">
    <w:name w:val="xl39"/>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kern w:val="0"/>
      <w:sz w:val="24"/>
    </w:rPr>
  </w:style>
  <w:style w:type="paragraph" w:customStyle="1" w:styleId="188">
    <w:name w:val="Table Paragraph"/>
    <w:basedOn w:val="1"/>
    <w:qFormat/>
    <w:uiPriority w:val="1"/>
    <w:pPr>
      <w:autoSpaceDE w:val="0"/>
      <w:autoSpaceDN w:val="0"/>
      <w:adjustRightInd w:val="0"/>
      <w:jc w:val="left"/>
    </w:pPr>
    <w:rPr>
      <w:rFonts w:ascii="Times New Roman" w:hAnsi="Times New Roman" w:cs="Times New Roman"/>
      <w:kern w:val="0"/>
      <w:sz w:val="24"/>
    </w:rPr>
  </w:style>
  <w:style w:type="paragraph" w:customStyle="1" w:styleId="189">
    <w:name w:val="图"/>
    <w:basedOn w:val="1"/>
    <w:qFormat/>
    <w:uiPriority w:val="0"/>
    <w:pPr>
      <w:keepNext/>
      <w:adjustRightInd w:val="0"/>
      <w:spacing w:before="60" w:after="60" w:line="300" w:lineRule="auto"/>
      <w:jc w:val="center"/>
      <w:textAlignment w:val="center"/>
    </w:pPr>
    <w:rPr>
      <w:rFonts w:ascii="Times New Roman" w:hAnsi="Times New Roman" w:cs="Times New Roman"/>
      <w:spacing w:val="20"/>
      <w:kern w:val="0"/>
      <w:sz w:val="24"/>
      <w:szCs w:val="20"/>
    </w:rPr>
  </w:style>
  <w:style w:type="paragraph" w:customStyle="1" w:styleId="190">
    <w:name w:val="xl42"/>
    <w:basedOn w:val="1"/>
    <w:qFormat/>
    <w:uiPriority w:val="0"/>
    <w:pPr>
      <w:widowControl/>
      <w:spacing w:before="100" w:beforeAutospacing="1" w:after="100" w:afterAutospacing="1"/>
      <w:jc w:val="left"/>
      <w:textAlignment w:val="top"/>
    </w:pPr>
    <w:rPr>
      <w:kern w:val="0"/>
      <w:sz w:val="24"/>
    </w:rPr>
  </w:style>
  <w:style w:type="paragraph" w:customStyle="1" w:styleId="191">
    <w:name w:val="Char1"/>
    <w:basedOn w:val="1"/>
    <w:uiPriority w:val="0"/>
    <w:rPr>
      <w:rFonts w:ascii="Times New Roman" w:hAnsi="Times New Roman" w:cs="Times New Roman"/>
      <w:szCs w:val="20"/>
    </w:rPr>
  </w:style>
  <w:style w:type="paragraph" w:customStyle="1" w:styleId="192">
    <w:name w:val="xl4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19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195">
    <w:name w:val="Char"/>
    <w:basedOn w:val="1"/>
    <w:qFormat/>
    <w:uiPriority w:val="0"/>
    <w:pPr>
      <w:widowControl/>
      <w:spacing w:after="160" w:line="240" w:lineRule="exact"/>
      <w:jc w:val="left"/>
    </w:pPr>
    <w:rPr>
      <w:rFonts w:ascii="Verdana" w:hAnsi="Verdana" w:cs="Times New Roman"/>
      <w:kern w:val="0"/>
      <w:szCs w:val="20"/>
      <w:lang w:eastAsia="en-US"/>
    </w:rPr>
  </w:style>
  <w:style w:type="character" w:customStyle="1" w:styleId="196">
    <w:name w:val="apple-style-span"/>
    <w:uiPriority w:val="0"/>
  </w:style>
  <w:style w:type="paragraph" w:customStyle="1" w:styleId="197">
    <w:name w:val="_Style 2"/>
    <w:basedOn w:val="1"/>
    <w:qFormat/>
    <w:uiPriority w:val="0"/>
    <w:pPr>
      <w:ind w:firstLine="420" w:firstLineChars="200"/>
    </w:pPr>
    <w:rPr>
      <w:rFonts w:ascii="Calibri" w:hAnsi="Calibri" w:cs="Times New Roman"/>
      <w:szCs w:val="22"/>
    </w:rPr>
  </w:style>
  <w:style w:type="paragraph" w:customStyle="1" w:styleId="198">
    <w:name w:val="_Style 3"/>
    <w:basedOn w:val="1"/>
    <w:uiPriority w:val="0"/>
    <w:pPr>
      <w:ind w:firstLine="420" w:firstLineChars="200"/>
    </w:pPr>
    <w:rPr>
      <w:rFonts w:ascii="Calibri" w:hAnsi="Calibri" w:cs="Times New Roman"/>
      <w:szCs w:val="22"/>
    </w:rPr>
  </w:style>
  <w:style w:type="character" w:customStyle="1" w:styleId="199">
    <w:name w:val="正文文本 Char1"/>
    <w:uiPriority w:val="0"/>
    <w:rPr>
      <w:kern w:val="2"/>
      <w:sz w:val="21"/>
      <w:szCs w:val="24"/>
    </w:rPr>
  </w:style>
  <w:style w:type="character" w:customStyle="1" w:styleId="200">
    <w:name w:val="style4"/>
    <w:qFormat/>
    <w:uiPriority w:val="0"/>
  </w:style>
  <w:style w:type="character" w:customStyle="1" w:styleId="201">
    <w:name w:val="正文文本缩进 3 Char1"/>
    <w:qFormat/>
    <w:uiPriority w:val="0"/>
    <w:rPr>
      <w:kern w:val="2"/>
      <w:sz w:val="16"/>
      <w:szCs w:val="16"/>
    </w:rPr>
  </w:style>
  <w:style w:type="character" w:customStyle="1" w:styleId="202">
    <w:name w:val="文档结构图 Char1"/>
    <w:qFormat/>
    <w:uiPriority w:val="0"/>
    <w:rPr>
      <w:rFonts w:ascii="宋体"/>
      <w:kern w:val="2"/>
      <w:sz w:val="18"/>
      <w:szCs w:val="18"/>
    </w:rPr>
  </w:style>
  <w:style w:type="character" w:customStyle="1" w:styleId="203">
    <w:name w:val="日期 Char1"/>
    <w:qFormat/>
    <w:uiPriority w:val="0"/>
    <w:rPr>
      <w:kern w:val="2"/>
      <w:sz w:val="21"/>
      <w:szCs w:val="24"/>
    </w:rPr>
  </w:style>
  <w:style w:type="character" w:customStyle="1" w:styleId="204">
    <w:name w:val="纯文本 Char1"/>
    <w:qFormat/>
    <w:uiPriority w:val="0"/>
    <w:rPr>
      <w:rFonts w:ascii="宋体" w:hAnsi="Courier New" w:cs="Courier New"/>
      <w:kern w:val="2"/>
      <w:sz w:val="21"/>
      <w:szCs w:val="21"/>
    </w:rPr>
  </w:style>
  <w:style w:type="character" w:customStyle="1" w:styleId="205">
    <w:name w:val="HTML 预设格式 Char1"/>
    <w:uiPriority w:val="0"/>
    <w:rPr>
      <w:rFonts w:ascii="Courier New" w:hAnsi="Courier New" w:cs="Courier New"/>
      <w:kern w:val="2"/>
    </w:rPr>
  </w:style>
  <w:style w:type="character" w:customStyle="1" w:styleId="206">
    <w:name w:val="正文文本 2 Char1"/>
    <w:uiPriority w:val="0"/>
    <w:rPr>
      <w:kern w:val="2"/>
      <w:sz w:val="21"/>
      <w:szCs w:val="24"/>
    </w:rPr>
  </w:style>
  <w:style w:type="character" w:customStyle="1" w:styleId="207">
    <w:name w:val="正文文本缩进 2 Char1"/>
    <w:uiPriority w:val="0"/>
    <w:rPr>
      <w:kern w:val="2"/>
      <w:sz w:val="21"/>
      <w:szCs w:val="24"/>
    </w:rPr>
  </w:style>
  <w:style w:type="character" w:customStyle="1" w:styleId="208">
    <w:name w:val="正文文本缩进 Char1"/>
    <w:uiPriority w:val="0"/>
    <w:rPr>
      <w:kern w:val="2"/>
      <w:sz w:val="21"/>
      <w:szCs w:val="24"/>
    </w:rPr>
  </w:style>
  <w:style w:type="character" w:customStyle="1" w:styleId="209">
    <w:name w:val="正文文本 3 Char1"/>
    <w:uiPriority w:val="0"/>
    <w:rPr>
      <w:kern w:val="2"/>
      <w:sz w:val="16"/>
      <w:szCs w:val="16"/>
    </w:rPr>
  </w:style>
  <w:style w:type="paragraph" w:customStyle="1" w:styleId="210">
    <w:name w:val="Char11"/>
    <w:basedOn w:val="1"/>
    <w:uiPriority w:val="0"/>
    <w:rPr>
      <w:rFonts w:ascii="Tahoma" w:hAnsi="Tahoma" w:cs="Times New Roman"/>
      <w:sz w:val="24"/>
      <w:szCs w:val="20"/>
    </w:rPr>
  </w:style>
  <w:style w:type="paragraph" w:customStyle="1" w:styleId="211">
    <w:name w:val="TOC 标题2"/>
    <w:basedOn w:val="2"/>
    <w:next w:val="1"/>
    <w:qFormat/>
    <w:uiPriority w:val="0"/>
    <w:pPr>
      <w:spacing w:before="480" w:after="0" w:line="276" w:lineRule="auto"/>
      <w:outlineLvl w:val="9"/>
    </w:pPr>
    <w:rPr>
      <w:rFonts w:ascii="Cambria" w:hAnsi="Cambria"/>
      <w:color w:val="365F91"/>
      <w:kern w:val="0"/>
      <w:sz w:val="28"/>
      <w:szCs w:val="28"/>
    </w:rPr>
  </w:style>
  <w:style w:type="character" w:customStyle="1" w:styleId="212">
    <w:name w:val="font11"/>
    <w:uiPriority w:val="0"/>
    <w:rPr>
      <w:rFonts w:hint="default" w:ascii="Arial" w:hAnsi="Arial" w:cs="Arial"/>
      <w:color w:val="000000"/>
      <w:sz w:val="22"/>
      <w:szCs w:val="22"/>
      <w:u w:val="none"/>
    </w:rPr>
  </w:style>
  <w:style w:type="table" w:customStyle="1" w:styleId="213">
    <w:name w:val="浅色列表1"/>
    <w:basedOn w:val="34"/>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214">
    <w:name w:val="中等深浅网格 11"/>
    <w:basedOn w:val="34"/>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character" w:customStyle="1" w:styleId="215">
    <w:name w:val="ca-01"/>
    <w:uiPriority w:val="0"/>
    <w:rPr>
      <w:rFonts w:ascii="宋体" w:hAnsi="宋体" w:eastAsia="宋体" w:cs="Times New Roman"/>
      <w:sz w:val="21"/>
      <w:szCs w:val="21"/>
    </w:rPr>
  </w:style>
  <w:style w:type="paragraph" w:customStyle="1" w:styleId="216">
    <w:name w:val="列出段落2"/>
    <w:basedOn w:val="1"/>
    <w:qFormat/>
    <w:uiPriority w:val="34"/>
    <w:pPr>
      <w:ind w:firstLine="420" w:firstLineChars="200"/>
    </w:pPr>
    <w:rPr>
      <w:rFonts w:ascii="Calibri" w:hAnsi="Calibri" w:cs="Times New Roman"/>
      <w:szCs w:val="22"/>
    </w:rPr>
  </w:style>
  <w:style w:type="paragraph" w:customStyle="1" w:styleId="217">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18">
    <w:name w:val="param-value"/>
    <w:qFormat/>
    <w:uiPriority w:val="0"/>
  </w:style>
  <w:style w:type="character" w:customStyle="1" w:styleId="219">
    <w:name w:val="font21"/>
    <w:qFormat/>
    <w:uiPriority w:val="0"/>
    <w:rPr>
      <w:rFonts w:hint="eastAsia" w:ascii="宋体" w:hAnsi="宋体" w:eastAsia="宋体" w:cs="宋体"/>
      <w:color w:val="000000"/>
      <w:sz w:val="18"/>
      <w:szCs w:val="18"/>
      <w:u w:val="none"/>
    </w:rPr>
  </w:style>
  <w:style w:type="paragraph" w:customStyle="1" w:styleId="22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标题-2"/>
    <w:basedOn w:val="1"/>
    <w:link w:val="222"/>
    <w:qFormat/>
    <w:uiPriority w:val="0"/>
    <w:pPr>
      <w:numPr>
        <w:ilvl w:val="1"/>
        <w:numId w:val="2"/>
      </w:numPr>
      <w:spacing w:beforeLines="50" w:afterLines="50"/>
      <w:outlineLvl w:val="1"/>
    </w:pPr>
    <w:rPr>
      <w:rFonts w:cs="Times New Roman"/>
      <w:b/>
      <w:kern w:val="0"/>
      <w:sz w:val="28"/>
      <w:szCs w:val="28"/>
    </w:rPr>
  </w:style>
  <w:style w:type="character" w:customStyle="1" w:styleId="222">
    <w:name w:val="标题-2 Char"/>
    <w:link w:val="221"/>
    <w:uiPriority w:val="0"/>
    <w:rPr>
      <w:rFonts w:ascii="宋体" w:hAnsi="宋体"/>
      <w:b/>
      <w:sz w:val="28"/>
      <w:szCs w:val="28"/>
    </w:rPr>
  </w:style>
  <w:style w:type="paragraph" w:styleId="223">
    <w:name w:val="No Spacing"/>
    <w:qFormat/>
    <w:uiPriority w:val="0"/>
    <w:pPr>
      <w:widowControl w:val="0"/>
      <w:jc w:val="both"/>
    </w:pPr>
    <w:rPr>
      <w:rFonts w:ascii="Times New Roman" w:hAnsi="Times New Roman" w:eastAsia="宋体" w:cs="Times New Roman"/>
      <w:kern w:val="2"/>
      <w:sz w:val="24"/>
      <w:lang w:val="en-US" w:eastAsia="zh-CN" w:bidi="ar-SA"/>
    </w:rPr>
  </w:style>
  <w:style w:type="character" w:customStyle="1" w:styleId="224">
    <w:name w:val="正文首行缩进 字符2"/>
    <w:basedOn w:val="127"/>
    <w:semiHidden/>
    <w:qFormat/>
    <w:uiPriority w:val="99"/>
    <w:rPr>
      <w:rFonts w:asciiTheme="minorHAnsi" w:hAnsiTheme="minorHAnsi" w:eastAsiaTheme="minorEastAsia" w:cstheme="minorBidi"/>
      <w:kern w:val="2"/>
      <w:sz w:val="21"/>
      <w:szCs w:val="24"/>
    </w:rPr>
  </w:style>
  <w:style w:type="character" w:customStyle="1" w:styleId="225">
    <w:name w:val="正文文本首行缩进 字符"/>
    <w:basedOn w:val="127"/>
    <w:semiHidden/>
    <w:qFormat/>
    <w:uiPriority w:val="99"/>
    <w:rPr>
      <w:rFonts w:ascii="Times New Roman" w:hAnsi="Times New Roman" w:eastAsia="宋体" w:cs="Times New Roman"/>
      <w:kern w:val="0"/>
      <w:sz w:val="21"/>
      <w:szCs w:val="20"/>
    </w:rPr>
  </w:style>
  <w:style w:type="character" w:customStyle="1" w:styleId="226">
    <w:name w:val="称呼 字符"/>
    <w:link w:val="15"/>
    <w:qFormat/>
    <w:uiPriority w:val="0"/>
    <w:rPr>
      <w:sz w:val="24"/>
    </w:rPr>
  </w:style>
  <w:style w:type="character" w:customStyle="1" w:styleId="227">
    <w:name w:val="称呼 字符1"/>
    <w:basedOn w:val="38"/>
    <w:semiHidden/>
    <w:qFormat/>
    <w:uiPriority w:val="99"/>
    <w:rPr>
      <w:rFonts w:asciiTheme="minorHAnsi" w:hAnsiTheme="minorHAnsi" w:eastAsiaTheme="minorEastAsia" w:cstheme="minorBidi"/>
      <w:kern w:val="2"/>
      <w:sz w:val="21"/>
      <w:szCs w:val="24"/>
    </w:rPr>
  </w:style>
  <w:style w:type="paragraph" w:customStyle="1" w:styleId="228">
    <w:name w:val="正文文本1"/>
    <w:basedOn w:val="1"/>
    <w:qFormat/>
    <w:uiPriority w:val="0"/>
    <w:pPr>
      <w:tabs>
        <w:tab w:val="left" w:pos="0"/>
      </w:tabs>
      <w:snapToGrid w:val="0"/>
      <w:spacing w:line="360" w:lineRule="auto"/>
      <w:ind w:left="360" w:leftChars="150" w:right="240" w:rightChars="100" w:firstLine="482" w:firstLineChars="200"/>
      <w:jc w:val="left"/>
    </w:pPr>
    <w:rPr>
      <w:b/>
    </w:rPr>
  </w:style>
  <w:style w:type="paragraph" w:customStyle="1" w:styleId="22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rPr>
  </w:style>
  <w:style w:type="paragraph" w:customStyle="1" w:styleId="23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rPr>
  </w:style>
  <w:style w:type="paragraph" w:customStyle="1" w:styleId="2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3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34">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rPr>
  </w:style>
  <w:style w:type="paragraph" w:customStyle="1" w:styleId="23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3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70AD47"/>
      <w:spacing w:before="100" w:beforeAutospacing="1" w:after="100" w:afterAutospacing="1"/>
      <w:jc w:val="center"/>
    </w:pPr>
    <w:rPr>
      <w:kern w:val="0"/>
      <w:sz w:val="24"/>
    </w:rPr>
  </w:style>
  <w:style w:type="paragraph" w:customStyle="1" w:styleId="2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3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70AD47"/>
      <w:spacing w:before="100" w:beforeAutospacing="1" w:after="100" w:afterAutospacing="1"/>
      <w:jc w:val="center"/>
    </w:pPr>
    <w:rPr>
      <w:kern w:val="0"/>
      <w:sz w:val="24"/>
    </w:rPr>
  </w:style>
  <w:style w:type="paragraph" w:customStyle="1" w:styleId="24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rPr>
  </w:style>
  <w:style w:type="paragraph" w:customStyle="1" w:styleId="2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4"/>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4"/>
    </w:rPr>
  </w:style>
  <w:style w:type="paragraph" w:customStyle="1" w:styleId="24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28"/>
      <w:szCs w:val="28"/>
    </w:rPr>
  </w:style>
  <w:style w:type="paragraph" w:customStyle="1" w:styleId="245">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24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247">
    <w:name w:val="_Style 40"/>
    <w:basedOn w:val="1"/>
    <w:next w:val="45"/>
    <w:qFormat/>
    <w:uiPriority w:val="34"/>
    <w:pPr>
      <w:ind w:firstLine="420" w:firstLineChars="200"/>
    </w:pPr>
    <w:rPr>
      <w:rFonts w:ascii="Times New Roman" w:hAnsi="Times New Roman" w:cs="Times New Roman"/>
    </w:rPr>
  </w:style>
  <w:style w:type="character" w:customStyle="1" w:styleId="248">
    <w:name w:val="列表段落 字符"/>
    <w:link w:val="45"/>
    <w:qFormat/>
    <w:uiPriority w:val="0"/>
    <w:rPr>
      <w:rFonts w:ascii="宋体" w:hAnsi="宋体" w:cs="宋体"/>
      <w:kern w:val="2"/>
      <w:sz w:val="21"/>
      <w:szCs w:val="21"/>
    </w:rPr>
  </w:style>
  <w:style w:type="character" w:customStyle="1" w:styleId="249">
    <w:name w:val="批注框文本 Char"/>
    <w:qFormat/>
    <w:uiPriority w:val="0"/>
    <w:rPr>
      <w:rFonts w:ascii="Times New Roman" w:hAnsi="Times New Roman" w:eastAsia="宋体" w:cs="Times New Roman"/>
      <w:kern w:val="0"/>
      <w:sz w:val="18"/>
      <w:szCs w:val="20"/>
    </w:rPr>
  </w:style>
  <w:style w:type="paragraph" w:customStyle="1" w:styleId="250">
    <w:name w:val="Char Char Char Char Char1 Char1"/>
    <w:basedOn w:val="1"/>
    <w:qFormat/>
    <w:uiPriority w:val="0"/>
    <w:rPr>
      <w:rFonts w:ascii="Tahoma" w:hAnsi="Tahoma" w:cs="Times New Roman"/>
      <w:sz w:val="24"/>
      <w:szCs w:val="20"/>
    </w:rPr>
  </w:style>
  <w:style w:type="paragraph" w:customStyle="1" w:styleId="251">
    <w:name w:val="Char3"/>
    <w:basedOn w:val="1"/>
    <w:qFormat/>
    <w:uiPriority w:val="0"/>
    <w:rPr>
      <w:rFonts w:ascii="Tahoma" w:hAnsi="Tahoma" w:cs="Times New Roman"/>
      <w:sz w:val="24"/>
      <w:szCs w:val="20"/>
    </w:rPr>
  </w:style>
  <w:style w:type="paragraph" w:customStyle="1" w:styleId="252">
    <w:name w:val="Char1 Char Char Char1"/>
    <w:basedOn w:val="1"/>
    <w:qFormat/>
    <w:uiPriority w:val="0"/>
    <w:pPr>
      <w:ind w:left="420" w:hanging="420"/>
    </w:pPr>
    <w:rPr>
      <w:rFonts w:ascii="Times New Roman" w:hAnsi="Times New Roman" w:cs="Times New Roman"/>
      <w:sz w:val="24"/>
    </w:rPr>
  </w:style>
  <w:style w:type="paragraph" w:customStyle="1" w:styleId="253">
    <w:name w:val="Char12"/>
    <w:basedOn w:val="1"/>
    <w:qFormat/>
    <w:uiPriority w:val="0"/>
    <w:rPr>
      <w:rFonts w:ascii="Times New Roman" w:hAnsi="Times New Roman" w:cs="Times New Roman"/>
      <w:szCs w:val="20"/>
    </w:rPr>
  </w:style>
  <w:style w:type="paragraph" w:customStyle="1" w:styleId="254">
    <w:name w:val="Char Char Char Char1"/>
    <w:basedOn w:val="1"/>
    <w:qFormat/>
    <w:uiPriority w:val="0"/>
    <w:pPr>
      <w:widowControl/>
      <w:tabs>
        <w:tab w:val="left" w:pos="965"/>
      </w:tabs>
      <w:spacing w:after="160" w:line="240" w:lineRule="exact"/>
      <w:ind w:left="965" w:hanging="425"/>
      <w:jc w:val="left"/>
    </w:pPr>
    <w:rPr>
      <w:rFonts w:ascii="Verdana" w:hAnsi="Verdana" w:cs="Times New Roman"/>
      <w:kern w:val="0"/>
      <w:szCs w:val="20"/>
      <w:lang w:eastAsia="en-US"/>
    </w:rPr>
  </w:style>
  <w:style w:type="paragraph" w:customStyle="1" w:styleId="255">
    <w:name w:val="Char Char Char Char Char Char Char Char Char Char2"/>
    <w:basedOn w:val="1"/>
    <w:qFormat/>
    <w:uiPriority w:val="0"/>
    <w:rPr>
      <w:rFonts w:ascii="Tahoma" w:hAnsi="Tahoma" w:cs="Times New Roman"/>
      <w:sz w:val="24"/>
      <w:szCs w:val="20"/>
    </w:rPr>
  </w:style>
  <w:style w:type="paragraph" w:customStyle="1" w:styleId="256">
    <w:name w:val="xl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微软雅黑" w:hAnsi="微软雅黑" w:eastAsia="微软雅黑"/>
      <w:b/>
      <w:bCs/>
      <w:color w:val="000000"/>
      <w:kern w:val="0"/>
      <w:sz w:val="24"/>
    </w:rPr>
  </w:style>
  <w:style w:type="paragraph" w:customStyle="1" w:styleId="257">
    <w:name w:val="xl8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微软雅黑" w:hAnsi="微软雅黑" w:eastAsia="微软雅黑"/>
      <w:b/>
      <w:bCs/>
      <w:kern w:val="0"/>
      <w:sz w:val="24"/>
    </w:rPr>
  </w:style>
  <w:style w:type="paragraph" w:customStyle="1" w:styleId="258">
    <w:name w:val="xl86"/>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微软雅黑" w:hAnsi="微软雅黑" w:eastAsia="微软雅黑"/>
      <w:b/>
      <w:bCs/>
      <w:kern w:val="0"/>
      <w:sz w:val="24"/>
    </w:rPr>
  </w:style>
  <w:style w:type="paragraph" w:customStyle="1" w:styleId="259">
    <w:name w:val="xl87"/>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微软雅黑" w:hAnsi="微软雅黑" w:eastAsia="微软雅黑"/>
      <w:b/>
      <w:bCs/>
      <w:kern w:val="0"/>
      <w:sz w:val="24"/>
    </w:rPr>
  </w:style>
  <w:style w:type="character" w:customStyle="1" w:styleId="260">
    <w:name w:val="书籍标题1"/>
    <w:qFormat/>
    <w:uiPriority w:val="33"/>
    <w:rPr>
      <w:b/>
      <w:bCs/>
      <w:smallCaps/>
      <w:spacing w:val="5"/>
    </w:rPr>
  </w:style>
  <w:style w:type="character" w:customStyle="1" w:styleId="261">
    <w:name w:val="正文缩进 Char1"/>
    <w:qFormat/>
    <w:uiPriority w:val="0"/>
    <w:rPr>
      <w:rFonts w:ascii="Times New Roman" w:hAnsi="Times New Roman"/>
      <w:kern w:val="2"/>
      <w:sz w:val="21"/>
    </w:rPr>
  </w:style>
  <w:style w:type="character" w:customStyle="1" w:styleId="262">
    <w:name w:val="font51"/>
    <w:qFormat/>
    <w:uiPriority w:val="0"/>
    <w:rPr>
      <w:rFonts w:hint="eastAsia" w:ascii="微软雅黑" w:hAnsi="微软雅黑" w:eastAsia="微软雅黑" w:cs="微软雅黑"/>
      <w:b/>
      <w:color w:val="000000"/>
      <w:sz w:val="24"/>
      <w:szCs w:val="24"/>
      <w:u w:val="none"/>
    </w:rPr>
  </w:style>
  <w:style w:type="character" w:customStyle="1" w:styleId="263">
    <w:name w:val="font01"/>
    <w:uiPriority w:val="0"/>
    <w:rPr>
      <w:rFonts w:hint="eastAsia" w:ascii="微软雅黑" w:hAnsi="微软雅黑" w:eastAsia="微软雅黑" w:cs="微软雅黑"/>
      <w:b/>
      <w:color w:val="000000"/>
      <w:sz w:val="24"/>
      <w:szCs w:val="24"/>
      <w:u w:val="none"/>
    </w:rPr>
  </w:style>
  <w:style w:type="paragraph" w:customStyle="1" w:styleId="264">
    <w:name w:val="font1"/>
    <w:basedOn w:val="1"/>
    <w:uiPriority w:val="0"/>
    <w:pPr>
      <w:widowControl/>
      <w:spacing w:before="100" w:beforeAutospacing="1" w:after="100" w:afterAutospacing="1"/>
      <w:jc w:val="left"/>
    </w:pPr>
    <w:rPr>
      <w:color w:val="000000"/>
      <w:kern w:val="0"/>
      <w:sz w:val="22"/>
      <w:szCs w:val="22"/>
    </w:rPr>
  </w:style>
  <w:style w:type="paragraph" w:customStyle="1" w:styleId="26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kern w:val="0"/>
      <w:sz w:val="16"/>
      <w:szCs w:val="16"/>
    </w:rPr>
  </w:style>
  <w:style w:type="paragraph" w:customStyle="1" w:styleId="2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6"/>
      <w:szCs w:val="16"/>
    </w:rPr>
  </w:style>
  <w:style w:type="paragraph" w:customStyle="1" w:styleId="26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kern w:val="0"/>
      <w:sz w:val="16"/>
      <w:szCs w:val="16"/>
    </w:rPr>
  </w:style>
  <w:style w:type="paragraph" w:customStyle="1" w:styleId="26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kern w:val="0"/>
      <w:sz w:val="16"/>
      <w:szCs w:val="16"/>
    </w:rPr>
  </w:style>
  <w:style w:type="paragraph" w:customStyle="1" w:styleId="26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b/>
      <w:bCs/>
      <w:color w:val="000000"/>
      <w:kern w:val="0"/>
      <w:sz w:val="20"/>
      <w:szCs w:val="20"/>
    </w:rPr>
  </w:style>
  <w:style w:type="paragraph" w:customStyle="1" w:styleId="27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olor w:val="FF0000"/>
      <w:kern w:val="0"/>
      <w:sz w:val="16"/>
      <w:szCs w:val="16"/>
    </w:rPr>
  </w:style>
  <w:style w:type="paragraph" w:customStyle="1" w:styleId="271">
    <w:name w:val="font9"/>
    <w:basedOn w:val="1"/>
    <w:qFormat/>
    <w:uiPriority w:val="0"/>
    <w:pPr>
      <w:widowControl/>
      <w:spacing w:before="100" w:beforeAutospacing="1" w:after="100" w:afterAutospacing="1"/>
      <w:jc w:val="left"/>
    </w:pPr>
    <w:rPr>
      <w:rFonts w:ascii="微软雅黑" w:hAnsi="微软雅黑" w:eastAsia="微软雅黑"/>
      <w:color w:val="000000"/>
      <w:kern w:val="0"/>
      <w:sz w:val="16"/>
      <w:szCs w:val="16"/>
    </w:rPr>
  </w:style>
  <w:style w:type="paragraph" w:customStyle="1" w:styleId="27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kern w:val="0"/>
      <w:sz w:val="16"/>
      <w:szCs w:val="16"/>
    </w:rPr>
  </w:style>
  <w:style w:type="paragraph" w:customStyle="1" w:styleId="273">
    <w:name w:val="Modern"/>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274">
    <w:name w:val="Number"/>
    <w:basedOn w:val="1"/>
    <w:qFormat/>
    <w:uiPriority w:val="0"/>
    <w:pPr>
      <w:tabs>
        <w:tab w:val="left" w:pos="810"/>
      </w:tabs>
      <w:suppressAutoHyphens/>
      <w:ind w:firstLine="630"/>
      <w:outlineLvl w:val="0"/>
    </w:pPr>
    <w:rPr>
      <w:rFonts w:ascii="Arial" w:hAnsi="Arial" w:eastAsia="Arial Unicode MS" w:cs="Times New Roman"/>
      <w:szCs w:val="20"/>
    </w:rPr>
  </w:style>
  <w:style w:type="paragraph" w:customStyle="1" w:styleId="275">
    <w:name w:val="font12"/>
    <w:basedOn w:val="1"/>
    <w:qFormat/>
    <w:uiPriority w:val="0"/>
    <w:pPr>
      <w:widowControl/>
      <w:spacing w:before="100" w:beforeAutospacing="1" w:after="100" w:afterAutospacing="1"/>
      <w:jc w:val="left"/>
    </w:pPr>
    <w:rPr>
      <w:rFonts w:ascii="微软雅黑" w:hAnsi="微软雅黑" w:eastAsia="微软雅黑"/>
      <w:color w:val="000000"/>
      <w:kern w:val="0"/>
      <w:sz w:val="16"/>
      <w:szCs w:val="16"/>
    </w:rPr>
  </w:style>
  <w:style w:type="paragraph" w:customStyle="1" w:styleId="276">
    <w:name w:val="font13"/>
    <w:basedOn w:val="1"/>
    <w:qFormat/>
    <w:uiPriority w:val="0"/>
    <w:pPr>
      <w:widowControl/>
      <w:spacing w:before="100" w:beforeAutospacing="1" w:after="100" w:afterAutospacing="1"/>
      <w:jc w:val="left"/>
    </w:pPr>
    <w:rPr>
      <w:kern w:val="0"/>
      <w:sz w:val="18"/>
      <w:szCs w:val="18"/>
    </w:rPr>
  </w:style>
  <w:style w:type="paragraph" w:customStyle="1" w:styleId="277">
    <w:name w:val="font10"/>
    <w:basedOn w:val="1"/>
    <w:qFormat/>
    <w:uiPriority w:val="0"/>
    <w:pPr>
      <w:widowControl/>
      <w:spacing w:before="100" w:beforeAutospacing="1" w:after="100" w:afterAutospacing="1"/>
      <w:jc w:val="left"/>
    </w:pPr>
    <w:rPr>
      <w:rFonts w:ascii="微软雅黑" w:hAnsi="微软雅黑" w:eastAsia="微软雅黑"/>
      <w:color w:val="000000"/>
      <w:kern w:val="0"/>
      <w:sz w:val="16"/>
      <w:szCs w:val="16"/>
    </w:rPr>
  </w:style>
  <w:style w:type="paragraph" w:customStyle="1" w:styleId="278">
    <w:name w:val="！正文"/>
    <w:basedOn w:val="1"/>
    <w:qFormat/>
    <w:uiPriority w:val="0"/>
    <w:pPr>
      <w:widowControl/>
      <w:spacing w:line="360" w:lineRule="auto"/>
      <w:ind w:firstLine="567"/>
      <w:contextualSpacing/>
      <w:jc w:val="left"/>
    </w:pPr>
    <w:rPr>
      <w:rFonts w:ascii="仿宋_GB2312" w:hAnsi="Calibri" w:eastAsia="仿宋_GB2312" w:cs="Times New Roman"/>
      <w:kern w:val="0"/>
      <w:sz w:val="28"/>
      <w:szCs w:val="28"/>
      <w:lang w:bidi="en-US"/>
    </w:rPr>
  </w:style>
  <w:style w:type="paragraph" w:customStyle="1" w:styleId="279">
    <w:name w:val="xl64"/>
    <w:basedOn w:val="1"/>
    <w:qFormat/>
    <w:uiPriority w:val="0"/>
    <w:pPr>
      <w:widowControl/>
      <w:pBdr>
        <w:bottom w:val="single" w:color="auto" w:sz="8" w:space="0"/>
        <w:right w:val="single" w:color="auto" w:sz="8" w:space="0"/>
      </w:pBdr>
      <w:spacing w:before="100" w:beforeAutospacing="1" w:after="100" w:afterAutospacing="1"/>
      <w:textAlignment w:val="center"/>
    </w:pPr>
    <w:rPr>
      <w:rFonts w:ascii="微软雅黑" w:hAnsi="微软雅黑" w:eastAsia="微软雅黑"/>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6A1C-3C35-42B4-AEA3-E6E75D30EFD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12172</Words>
  <Characters>15275</Characters>
  <Lines>123</Lines>
  <Paragraphs>34</Paragraphs>
  <TotalTime>0</TotalTime>
  <ScaleCrop>false</ScaleCrop>
  <LinksUpToDate>false</LinksUpToDate>
  <CharactersWithSpaces>15710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2023-03-01T07:47:00Z</dcterms:created>
  <dc:creator>zfj19910321@gmail.com</dc:creator>
  <cp:lastModifiedBy>信管处张芳健</cp:lastModifiedBy>
  <dcterms:modified xsi:type="dcterms:W3CDTF">2023-03-23T06:41:51Z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ABFC31BA2F5849879E751854651A0713</vt:lpwstr>
  </property>
</Properties>
</file>