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ascii="宋体" w:hAnsi="宋体"/>
          <w:b/>
          <w:sz w:val="44"/>
          <w:szCs w:val="30"/>
        </w:rPr>
      </w:pPr>
      <w:r>
        <w:rPr>
          <w:rFonts w:hint="eastAsia" w:ascii="宋体" w:hAnsi="宋体"/>
          <w:b/>
          <w:sz w:val="44"/>
          <w:szCs w:val="30"/>
        </w:rPr>
        <w:t>DRG</w:t>
      </w:r>
      <w:r>
        <w:rPr>
          <w:rFonts w:hint="eastAsia"/>
          <w:b/>
          <w:sz w:val="44"/>
          <w:szCs w:val="44"/>
        </w:rPr>
        <w:t>医疗质量监测</w:t>
      </w:r>
      <w:r>
        <w:rPr>
          <w:rFonts w:hint="eastAsia" w:ascii="宋体" w:hAnsi="宋体"/>
          <w:b/>
          <w:sz w:val="44"/>
          <w:szCs w:val="30"/>
        </w:rPr>
        <w:t>系统需求</w:t>
      </w:r>
    </w:p>
    <w:p>
      <w:pPr>
        <w:pStyle w:val="2"/>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firstLine="420"/>
        <w:rPr>
          <w:rFonts w:ascii="宋体" w:hAnsi="宋体"/>
          <w:sz w:val="22"/>
        </w:rPr>
      </w:pPr>
      <w:r>
        <w:rPr>
          <w:rFonts w:hint="eastAsia" w:ascii="宋体" w:hAnsi="宋体"/>
          <w:sz w:val="22"/>
        </w:rPr>
        <w:t>项目名称：</w:t>
      </w:r>
      <w:r>
        <w:rPr>
          <w:rFonts w:hint="eastAsia" w:ascii="宋体" w:hAnsi="宋体"/>
        </w:rPr>
        <w:t>DRG医疗质量监测系统</w:t>
      </w:r>
    </w:p>
    <w:p>
      <w:pPr>
        <w:pStyle w:val="2"/>
        <w:numPr>
          <w:ilvl w:val="0"/>
          <w:numId w:val="3"/>
        </w:numPr>
        <w:spacing w:before="0" w:after="0"/>
        <w:rPr>
          <w:rFonts w:ascii="宋体" w:hAnsi="宋体"/>
          <w:sz w:val="32"/>
          <w:szCs w:val="32"/>
        </w:rPr>
      </w:pPr>
      <w:r>
        <w:rPr>
          <w:rFonts w:hint="eastAsia" w:ascii="宋体" w:hAnsi="宋体"/>
          <w:sz w:val="32"/>
          <w:szCs w:val="32"/>
        </w:rPr>
        <w:t>项目内容</w:t>
      </w:r>
    </w:p>
    <w:p>
      <w:pPr>
        <w:ind w:firstLine="432"/>
        <w:rPr>
          <w:rFonts w:ascii="宋体" w:hAnsi="宋体"/>
          <w:szCs w:val="21"/>
        </w:rPr>
      </w:pPr>
      <w:r>
        <w:rPr>
          <w:rFonts w:hint="eastAsia" w:ascii="宋体" w:hAnsi="宋体"/>
          <w:szCs w:val="21"/>
        </w:rPr>
        <w:t>DRG是医疗质量管理的重要工具之一，引入DRG医院管理分组器，有助于推进医院病种结构优化、医疗费用管控、医疗服务效率提升、医疗质量安全精细化管理。利用DRG管理工具助力于提升国家公立医院绩效考核中的出院患者手术占比、出院患者四级手术占比、出院患者微创手术占比等手术相关指标，以及加强住院医疗费用管控，对同一病种难度下不同科室、不同主刀医生的费用和时间效率比较、分析、管理，助力医保费用管控。</w:t>
      </w:r>
    </w:p>
    <w:p>
      <w:pPr>
        <w:pStyle w:val="2"/>
        <w:numPr>
          <w:ilvl w:val="0"/>
          <w:numId w:val="3"/>
        </w:numPr>
        <w:spacing w:before="0" w:after="0"/>
        <w:rPr>
          <w:rFonts w:ascii="宋体" w:hAnsi="宋体"/>
          <w:sz w:val="32"/>
          <w:szCs w:val="32"/>
        </w:rPr>
      </w:pPr>
      <w:r>
        <w:rPr>
          <w:rFonts w:hint="eastAsia" w:ascii="宋体" w:hAnsi="宋体"/>
          <w:sz w:val="32"/>
          <w:szCs w:val="32"/>
        </w:rPr>
        <w:t>采购清单</w:t>
      </w:r>
    </w:p>
    <w:p>
      <w:pPr>
        <w:pStyle w:val="74"/>
        <w:ind w:left="432"/>
      </w:pPr>
      <w:r>
        <w:rPr>
          <w:rFonts w:hint="eastAsia"/>
        </w:rPr>
        <w:t>本项目需具备功能模块如下：</w:t>
      </w:r>
    </w:p>
    <w:tbl>
      <w:tblPr>
        <w:tblStyle w:val="20"/>
        <w:tblW w:w="87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9"/>
        <w:gridCol w:w="2693"/>
        <w:gridCol w:w="5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 w:hRule="atLeast"/>
        </w:trPr>
        <w:tc>
          <w:tcPr>
            <w:tcW w:w="709" w:type="dxa"/>
            <w:vAlign w:val="center"/>
          </w:tcPr>
          <w:p>
            <w:pPr>
              <w:jc w:val="center"/>
              <w:rPr>
                <w:b/>
              </w:rPr>
            </w:pPr>
            <w:r>
              <w:rPr>
                <w:rFonts w:hint="eastAsia"/>
                <w:b/>
              </w:rPr>
              <w:t>序号</w:t>
            </w:r>
          </w:p>
        </w:tc>
        <w:tc>
          <w:tcPr>
            <w:tcW w:w="2693" w:type="dxa"/>
            <w:vAlign w:val="center"/>
          </w:tcPr>
          <w:p>
            <w:pPr>
              <w:jc w:val="center"/>
              <w:rPr>
                <w:b/>
              </w:rPr>
            </w:pPr>
            <w:r>
              <w:rPr>
                <w:rFonts w:hint="eastAsia"/>
                <w:b/>
              </w:rPr>
              <w:t>模块名称</w:t>
            </w:r>
          </w:p>
        </w:tc>
        <w:tc>
          <w:tcPr>
            <w:tcW w:w="5387" w:type="dxa"/>
            <w:vAlign w:val="center"/>
          </w:tcPr>
          <w:p>
            <w:pPr>
              <w:jc w:val="center"/>
              <w:rPr>
                <w:b/>
              </w:rPr>
            </w:pPr>
            <w:r>
              <w:rPr>
                <w:rFonts w:hint="eastAsia"/>
                <w:b/>
              </w:rPr>
              <w:t>功能描述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pPr>
              <w:jc w:val="center"/>
              <w:rPr>
                <w:rFonts w:ascii="宋体" w:hAnsi="宋体"/>
              </w:rPr>
            </w:pPr>
            <w:r>
              <w:rPr>
                <w:rFonts w:ascii="宋体" w:hAnsi="宋体"/>
              </w:rPr>
              <w:t>1</w:t>
            </w:r>
          </w:p>
        </w:tc>
        <w:tc>
          <w:tcPr>
            <w:tcW w:w="2693" w:type="dxa"/>
            <w:vAlign w:val="center"/>
          </w:tcPr>
          <w:p>
            <w:pPr>
              <w:jc w:val="left"/>
              <w:rPr>
                <w:rFonts w:ascii="宋体" w:hAnsi="宋体"/>
              </w:rPr>
            </w:pPr>
            <w:r>
              <w:rPr>
                <w:rFonts w:hint="eastAsia" w:ascii="宋体" w:hAnsi="宋体"/>
              </w:rPr>
              <w:t>数据采集模块</w:t>
            </w:r>
          </w:p>
        </w:tc>
        <w:tc>
          <w:tcPr>
            <w:tcW w:w="5387" w:type="dxa"/>
            <w:vAlign w:val="center"/>
          </w:tcPr>
          <w:p>
            <w:pPr>
              <w:jc w:val="left"/>
              <w:rPr>
                <w:rFonts w:ascii="宋体" w:hAnsi="宋体"/>
              </w:rPr>
            </w:pPr>
            <w:r>
              <w:rPr>
                <w:rFonts w:hint="eastAsia" w:ascii="宋体" w:hAnsi="宋体"/>
              </w:rPr>
              <w:t>详见详细功能描述</w:t>
            </w:r>
            <w:r>
              <w:rPr>
                <w:rFonts w:hint="eastAsia" w:ascii="宋体" w:hAnsi="宋体"/>
                <w:u w:val="single"/>
              </w:rPr>
              <w:t>1、数据采集模块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pPr>
              <w:jc w:val="center"/>
              <w:rPr>
                <w:rFonts w:ascii="宋体" w:hAnsi="宋体"/>
              </w:rPr>
            </w:pPr>
            <w:r>
              <w:rPr>
                <w:rFonts w:hint="eastAsia" w:ascii="宋体" w:hAnsi="宋体"/>
              </w:rPr>
              <w:t>2</w:t>
            </w:r>
          </w:p>
        </w:tc>
        <w:tc>
          <w:tcPr>
            <w:tcW w:w="2693" w:type="dxa"/>
            <w:vAlign w:val="center"/>
          </w:tcPr>
          <w:p>
            <w:pPr>
              <w:jc w:val="left"/>
              <w:rPr>
                <w:rFonts w:ascii="宋体" w:hAnsi="宋体"/>
              </w:rPr>
            </w:pPr>
            <w:r>
              <w:rPr>
                <w:rFonts w:hint="eastAsia" w:ascii="宋体" w:hAnsi="宋体"/>
              </w:rPr>
              <w:t>CN-DRG分组器本地化模块</w:t>
            </w:r>
          </w:p>
        </w:tc>
        <w:tc>
          <w:tcPr>
            <w:tcW w:w="5387" w:type="dxa"/>
            <w:vAlign w:val="center"/>
          </w:tcPr>
          <w:p>
            <w:pPr>
              <w:jc w:val="left"/>
              <w:rPr>
                <w:rFonts w:ascii="宋体" w:hAnsi="宋体"/>
              </w:rPr>
            </w:pPr>
            <w:r>
              <w:rPr>
                <w:rFonts w:hint="eastAsia" w:ascii="宋体" w:hAnsi="宋体"/>
              </w:rPr>
              <w:t>详见详细功能描述</w:t>
            </w:r>
            <w:r>
              <w:rPr>
                <w:rFonts w:ascii="宋体" w:hAnsi="宋体"/>
                <w:u w:val="single"/>
              </w:rPr>
              <w:t>2</w:t>
            </w:r>
            <w:r>
              <w:rPr>
                <w:rFonts w:hint="eastAsia" w:ascii="宋体" w:hAnsi="宋体"/>
                <w:u w:val="single"/>
              </w:rPr>
              <w:t>、CN-DRG分组器本地化模块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pPr>
              <w:jc w:val="center"/>
              <w:rPr>
                <w:rFonts w:ascii="宋体" w:hAnsi="宋体"/>
              </w:rPr>
            </w:pPr>
            <w:r>
              <w:rPr>
                <w:rFonts w:hint="eastAsia" w:ascii="宋体" w:hAnsi="宋体"/>
              </w:rPr>
              <w:t>3</w:t>
            </w:r>
          </w:p>
        </w:tc>
        <w:tc>
          <w:tcPr>
            <w:tcW w:w="2693" w:type="dxa"/>
            <w:vAlign w:val="center"/>
          </w:tcPr>
          <w:p>
            <w:pPr>
              <w:jc w:val="left"/>
              <w:rPr>
                <w:rFonts w:ascii="宋体" w:hAnsi="宋体"/>
              </w:rPr>
            </w:pPr>
            <w:r>
              <w:rPr>
                <w:rFonts w:hint="eastAsia" w:ascii="宋体" w:hAnsi="宋体"/>
              </w:rPr>
              <w:t>基础服务模块</w:t>
            </w:r>
          </w:p>
        </w:tc>
        <w:tc>
          <w:tcPr>
            <w:tcW w:w="5387" w:type="dxa"/>
            <w:vAlign w:val="center"/>
          </w:tcPr>
          <w:p>
            <w:pPr>
              <w:jc w:val="left"/>
              <w:rPr>
                <w:rFonts w:ascii="宋体" w:hAnsi="宋体"/>
              </w:rPr>
            </w:pPr>
            <w:r>
              <w:rPr>
                <w:rFonts w:hint="eastAsia" w:ascii="宋体" w:hAnsi="宋体"/>
              </w:rPr>
              <w:t>详见详细功能描述</w:t>
            </w:r>
            <w:r>
              <w:rPr>
                <w:rFonts w:ascii="宋体" w:hAnsi="宋体"/>
                <w:u w:val="single"/>
              </w:rPr>
              <w:t>3</w:t>
            </w:r>
            <w:r>
              <w:rPr>
                <w:rFonts w:hint="eastAsia" w:ascii="宋体" w:hAnsi="宋体"/>
                <w:u w:val="single"/>
              </w:rPr>
              <w:t>、基础服务模块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pPr>
              <w:jc w:val="center"/>
              <w:rPr>
                <w:rFonts w:ascii="宋体" w:hAnsi="宋体"/>
              </w:rPr>
            </w:pPr>
            <w:r>
              <w:rPr>
                <w:rFonts w:hint="eastAsia" w:ascii="宋体" w:hAnsi="宋体"/>
              </w:rPr>
              <w:t>4</w:t>
            </w:r>
          </w:p>
        </w:tc>
        <w:tc>
          <w:tcPr>
            <w:tcW w:w="2693" w:type="dxa"/>
            <w:vAlign w:val="center"/>
          </w:tcPr>
          <w:p>
            <w:pPr>
              <w:jc w:val="left"/>
              <w:rPr>
                <w:rFonts w:ascii="宋体" w:hAnsi="宋体"/>
              </w:rPr>
            </w:pPr>
            <w:r>
              <w:rPr>
                <w:rFonts w:hint="eastAsia" w:ascii="宋体" w:hAnsi="宋体"/>
              </w:rPr>
              <w:t>DRG医疗质量监测模块</w:t>
            </w:r>
          </w:p>
        </w:tc>
        <w:tc>
          <w:tcPr>
            <w:tcW w:w="5387" w:type="dxa"/>
            <w:vAlign w:val="center"/>
          </w:tcPr>
          <w:p>
            <w:pPr>
              <w:jc w:val="left"/>
              <w:rPr>
                <w:rFonts w:ascii="宋体" w:hAnsi="宋体"/>
              </w:rPr>
            </w:pPr>
            <w:r>
              <w:rPr>
                <w:rFonts w:hint="eastAsia" w:ascii="宋体" w:hAnsi="宋体"/>
              </w:rPr>
              <w:t>详见详细功能描述</w:t>
            </w:r>
            <w:r>
              <w:rPr>
                <w:rFonts w:ascii="宋体" w:hAnsi="宋体"/>
                <w:u w:val="single"/>
              </w:rPr>
              <w:t>4</w:t>
            </w:r>
            <w:r>
              <w:rPr>
                <w:rFonts w:hint="eastAsia" w:ascii="宋体" w:hAnsi="宋体"/>
                <w:u w:val="single"/>
              </w:rPr>
              <w:t>、DRG医疗质量监测模块</w:t>
            </w:r>
          </w:p>
        </w:tc>
      </w:tr>
    </w:tbl>
    <w:p>
      <w:pPr>
        <w:rPr>
          <w:rFonts w:ascii="宋体" w:hAnsi="宋体"/>
        </w:rPr>
      </w:pPr>
    </w:p>
    <w:p>
      <w:pPr>
        <w:pStyle w:val="50"/>
        <w:keepNext/>
        <w:keepLines/>
        <w:numPr>
          <w:ilvl w:val="0"/>
          <w:numId w:val="1"/>
        </w:numPr>
        <w:spacing w:line="578" w:lineRule="auto"/>
        <w:ind w:firstLineChars="0"/>
        <w:outlineLvl w:val="0"/>
        <w:rPr>
          <w:rFonts w:ascii="宋体" w:hAnsi="宋体" w:eastAsia="宋体"/>
          <w:b/>
          <w:bCs/>
          <w:vanish/>
          <w:kern w:val="44"/>
          <w:sz w:val="44"/>
          <w:szCs w:val="44"/>
        </w:rPr>
      </w:pPr>
    </w:p>
    <w:p>
      <w:pPr>
        <w:pStyle w:val="50"/>
        <w:keepNext/>
        <w:keepLines/>
        <w:numPr>
          <w:ilvl w:val="0"/>
          <w:numId w:val="1"/>
        </w:numPr>
        <w:spacing w:line="578" w:lineRule="auto"/>
        <w:ind w:firstLineChars="0"/>
        <w:outlineLvl w:val="0"/>
        <w:rPr>
          <w:rFonts w:ascii="宋体" w:hAnsi="宋体" w:eastAsia="宋体"/>
          <w:b/>
          <w:bCs/>
          <w:vanish/>
          <w:kern w:val="44"/>
          <w:sz w:val="44"/>
          <w:szCs w:val="44"/>
        </w:rPr>
      </w:pPr>
    </w:p>
    <w:p>
      <w:pPr>
        <w:pStyle w:val="50"/>
        <w:keepNext/>
        <w:keepLines/>
        <w:numPr>
          <w:ilvl w:val="0"/>
          <w:numId w:val="1"/>
        </w:numPr>
        <w:spacing w:line="578" w:lineRule="auto"/>
        <w:ind w:firstLineChars="0"/>
        <w:outlineLvl w:val="0"/>
        <w:rPr>
          <w:rFonts w:ascii="宋体" w:hAnsi="宋体" w:eastAsia="宋体"/>
          <w:b/>
          <w:bCs/>
          <w:vanish/>
          <w:kern w:val="44"/>
          <w:sz w:val="44"/>
          <w:szCs w:val="44"/>
        </w:rPr>
      </w:pPr>
    </w:p>
    <w:p>
      <w:pPr>
        <w:pStyle w:val="50"/>
        <w:keepNext/>
        <w:keepLines/>
        <w:numPr>
          <w:ilvl w:val="1"/>
          <w:numId w:val="1"/>
        </w:numPr>
        <w:spacing w:line="578" w:lineRule="auto"/>
        <w:ind w:firstLineChars="0"/>
        <w:outlineLvl w:val="0"/>
        <w:rPr>
          <w:rFonts w:ascii="宋体" w:hAnsi="宋体" w:eastAsia="宋体"/>
          <w:b/>
          <w:bCs/>
          <w:vanish/>
          <w:kern w:val="44"/>
          <w:sz w:val="44"/>
          <w:szCs w:val="44"/>
        </w:rPr>
      </w:pPr>
    </w:p>
    <w:p>
      <w:pPr>
        <w:pStyle w:val="2"/>
        <w:numPr>
          <w:ilvl w:val="0"/>
          <w:numId w:val="3"/>
        </w:numPr>
        <w:spacing w:before="0" w:after="0"/>
        <w:rPr>
          <w:rFonts w:ascii="宋体" w:hAnsi="宋体"/>
          <w:sz w:val="24"/>
          <w:szCs w:val="24"/>
        </w:rPr>
      </w:pPr>
      <w:r>
        <w:rPr>
          <w:rFonts w:hint="eastAsia" w:ascii="宋体" w:hAnsi="宋体"/>
          <w:sz w:val="32"/>
          <w:szCs w:val="32"/>
        </w:rPr>
        <w:t>详细功能描述</w:t>
      </w:r>
      <w:bookmarkStart w:id="0" w:name="_6.1.1、大数据服务器"/>
      <w:bookmarkEnd w:id="0"/>
      <w:r>
        <w:rPr>
          <w:rFonts w:ascii="宋体" w:hAnsi="宋体"/>
          <w:sz w:val="24"/>
          <w:szCs w:val="24"/>
        </w:rPr>
        <w:t xml:space="preserve"> </w:t>
      </w:r>
    </w:p>
    <w:tbl>
      <w:tblPr>
        <w:tblStyle w:val="69"/>
        <w:tblpPr w:leftFromText="180" w:rightFromText="180" w:vertAnchor="text" w:tblpY="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8"/>
        <w:gridCol w:w="2470"/>
        <w:gridCol w:w="5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000" w:type="pct"/>
            <w:gridSpan w:val="3"/>
            <w:shd w:val="clear" w:color="auto" w:fill="auto"/>
            <w:vAlign w:val="center"/>
          </w:tcPr>
          <w:p>
            <w:pPr>
              <w:spacing w:line="276" w:lineRule="auto"/>
              <w:ind w:right="63"/>
              <w:rPr>
                <w:rFonts w:ascii="宋体" w:hAnsi="宋体" w:cs="仿宋" w:eastAsiaTheme="minorEastAsia"/>
                <w:b/>
                <w:sz w:val="24"/>
              </w:rPr>
            </w:pPr>
            <w:r>
              <w:rPr>
                <w:rFonts w:ascii="宋体" w:hAnsi="宋体" w:cs="仿宋" w:eastAsiaTheme="minorEastAsia"/>
                <w:b/>
                <w:sz w:val="24"/>
              </w:rPr>
              <w:t>1</w:t>
            </w:r>
            <w:r>
              <w:rPr>
                <w:rFonts w:hint="eastAsia" w:ascii="宋体" w:hAnsi="宋体" w:cs="仿宋" w:eastAsiaTheme="minorEastAsia"/>
                <w:b/>
                <w:sz w:val="24"/>
              </w:rPr>
              <w:t>、数据采集模块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shd w:val="clear" w:color="auto" w:fill="auto"/>
            <w:vAlign w:val="center"/>
          </w:tcPr>
          <w:p>
            <w:pPr>
              <w:spacing w:line="276" w:lineRule="auto"/>
              <w:ind w:right="63"/>
              <w:jc w:val="left"/>
              <w:rPr>
                <w:rFonts w:ascii="宋体" w:hAnsi="宋体" w:cs="仿宋" w:eastAsiaTheme="minorEastAsia"/>
                <w:bCs/>
                <w:szCs w:val="21"/>
              </w:rPr>
            </w:pPr>
            <w:r>
              <w:rPr>
                <w:rFonts w:hint="eastAsia" w:ascii="宋体" w:hAnsi="宋体" w:cs="仿宋" w:eastAsiaTheme="minorEastAsia"/>
                <w:b/>
                <w:sz w:val="24"/>
              </w:rPr>
              <w:t>子模块</w:t>
            </w:r>
          </w:p>
        </w:tc>
        <w:tc>
          <w:tcPr>
            <w:tcW w:w="1330" w:type="pct"/>
            <w:shd w:val="clear" w:color="auto" w:fill="auto"/>
            <w:vAlign w:val="center"/>
          </w:tcPr>
          <w:p>
            <w:pPr>
              <w:spacing w:line="276" w:lineRule="auto"/>
              <w:ind w:right="63"/>
              <w:rPr>
                <w:rFonts w:ascii="宋体" w:hAnsi="宋体" w:eastAsia="宋体" w:cs="仿宋"/>
                <w:bCs/>
                <w:szCs w:val="21"/>
              </w:rPr>
            </w:pPr>
            <w:r>
              <w:rPr>
                <w:rFonts w:hint="eastAsia" w:ascii="宋体" w:hAnsi="宋体" w:cs="仿宋" w:eastAsiaTheme="minorEastAsia"/>
                <w:b/>
                <w:sz w:val="24"/>
              </w:rPr>
              <w:t>功能需求</w:t>
            </w:r>
          </w:p>
        </w:tc>
        <w:tc>
          <w:tcPr>
            <w:tcW w:w="2734" w:type="pct"/>
          </w:tcPr>
          <w:p>
            <w:pPr>
              <w:spacing w:line="276" w:lineRule="auto"/>
              <w:ind w:right="63"/>
              <w:rPr>
                <w:rFonts w:ascii="宋体" w:hAnsi="宋体" w:cs="仿宋" w:eastAsiaTheme="minorEastAsia"/>
                <w:bCs/>
                <w:szCs w:val="21"/>
              </w:rPr>
            </w:pPr>
            <w:r>
              <w:rPr>
                <w:rFonts w:hint="eastAsia" w:ascii="宋体" w:hAnsi="宋体" w:cs="仿宋" w:eastAsiaTheme="minorEastAsia"/>
                <w:b/>
                <w:sz w:val="24"/>
              </w:rPr>
              <w:t>功能需求描述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shd w:val="clear" w:color="auto" w:fill="auto"/>
            <w:vAlign w:val="center"/>
          </w:tcPr>
          <w:p>
            <w:pPr>
              <w:spacing w:line="276" w:lineRule="auto"/>
              <w:ind w:right="63"/>
              <w:jc w:val="left"/>
              <w:rPr>
                <w:rFonts w:ascii="宋体" w:hAnsi="宋体" w:eastAsia="宋体" w:cs="仿宋"/>
                <w:bCs/>
                <w:szCs w:val="21"/>
              </w:rPr>
            </w:pPr>
            <w:r>
              <w:rPr>
                <w:rFonts w:hint="eastAsia" w:ascii="宋体" w:hAnsi="宋体" w:eastAsia="宋体" w:cs="仿宋"/>
                <w:bCs/>
                <w:szCs w:val="21"/>
              </w:rPr>
              <w:t>1.1 数据采集</w:t>
            </w:r>
          </w:p>
        </w:tc>
        <w:tc>
          <w:tcPr>
            <w:tcW w:w="1330" w:type="pct"/>
            <w:shd w:val="clear" w:color="auto" w:fill="auto"/>
            <w:vAlign w:val="center"/>
          </w:tcPr>
          <w:p>
            <w:pPr>
              <w:spacing w:line="276" w:lineRule="auto"/>
              <w:ind w:right="63"/>
              <w:rPr>
                <w:rFonts w:ascii="宋体" w:hAnsi="宋体" w:eastAsia="宋体" w:cs="仿宋"/>
                <w:bCs/>
                <w:szCs w:val="21"/>
              </w:rPr>
            </w:pPr>
            <w:r>
              <w:rPr>
                <w:rFonts w:hint="eastAsia" w:ascii="宋体" w:hAnsi="宋体" w:eastAsia="宋体" w:cs="仿宋"/>
                <w:bCs/>
                <w:szCs w:val="21"/>
              </w:rPr>
              <w:t>1.1</w:t>
            </w:r>
            <w:r>
              <w:rPr>
                <w:rFonts w:ascii="宋体" w:hAnsi="宋体" w:eastAsia="宋体" w:cs="仿宋"/>
                <w:bCs/>
                <w:szCs w:val="21"/>
              </w:rPr>
              <w:t>.1</w:t>
            </w:r>
            <w:r>
              <w:rPr>
                <w:rFonts w:hint="eastAsia" w:ascii="宋体" w:hAnsi="宋体" w:eastAsia="宋体" w:cs="仿宋"/>
                <w:bCs/>
                <w:szCs w:val="21"/>
              </w:rPr>
              <w:t>数据采集</w:t>
            </w:r>
          </w:p>
        </w:tc>
        <w:tc>
          <w:tcPr>
            <w:tcW w:w="2734" w:type="pct"/>
          </w:tcPr>
          <w:p>
            <w:pPr>
              <w:pStyle w:val="77"/>
              <w:ind w:firstLine="0" w:firstLineChars="0"/>
              <w:rPr>
                <w:rFonts w:ascii="宋体" w:hAnsi="宋体" w:eastAsia="宋体" w:cstheme="minorBidi"/>
                <w:sz w:val="21"/>
                <w:szCs w:val="21"/>
                <w:shd w:val="clear" w:color="auto" w:fill="FFFFFF"/>
              </w:rPr>
            </w:pPr>
            <w:r>
              <w:rPr>
                <w:rFonts w:hint="eastAsia" w:ascii="宋体" w:hAnsi="宋体" w:eastAsia="宋体" w:cstheme="minorBidi"/>
                <w:sz w:val="21"/>
                <w:szCs w:val="21"/>
                <w:shd w:val="clear" w:color="auto" w:fill="FFFFFF"/>
              </w:rPr>
              <w:t xml:space="preserve"> </w:t>
            </w:r>
            <w:r>
              <w:rPr>
                <w:rFonts w:ascii="宋体" w:hAnsi="宋体" w:eastAsia="宋体" w:cstheme="minorBidi"/>
                <w:sz w:val="21"/>
                <w:szCs w:val="21"/>
                <w:shd w:val="clear" w:color="auto" w:fill="FFFFFF"/>
              </w:rPr>
              <w:t xml:space="preserve">   </w:t>
            </w:r>
            <w:r>
              <w:rPr>
                <w:rFonts w:hint="eastAsia" w:ascii="宋体" w:hAnsi="宋体" w:eastAsia="宋体" w:cstheme="minorBidi"/>
                <w:sz w:val="21"/>
                <w:szCs w:val="21"/>
                <w:shd w:val="clear" w:color="auto" w:fill="FFFFFF"/>
              </w:rPr>
              <w:t>提供数据采集、数据清洗转换处理和数据入库功能。基于微服务架构开发支持分布式部署；支持完整的跨数据库事务控制，保证多个数据源传输数据高度一致性；支持多数据源之间数据流的合并、拆分、聚合等操作。可以</w:t>
            </w:r>
            <w:r>
              <w:rPr>
                <w:rFonts w:ascii="宋体" w:hAnsi="宋体" w:eastAsia="宋体" w:cstheme="minorBidi"/>
                <w:sz w:val="21"/>
                <w:szCs w:val="21"/>
                <w:shd w:val="clear" w:color="auto" w:fill="FFFFFF"/>
              </w:rPr>
              <w:t>处理和加工海量存量数据、实时增量数据；可以根据数据规模及同步性能要求，按需配置和调整数据采集同步作业所需内存、工作线程、线程队列大</w:t>
            </w:r>
            <w:r>
              <w:rPr>
                <w:rFonts w:hint="eastAsia" w:ascii="宋体" w:hAnsi="宋体" w:eastAsia="宋体" w:cstheme="minorBidi"/>
                <w:sz w:val="21"/>
                <w:szCs w:val="21"/>
                <w:shd w:val="clear" w:color="auto" w:fill="FFFFFF"/>
              </w:rPr>
              <w:t>小。</w:t>
            </w:r>
          </w:p>
        </w:tc>
      </w:tr>
    </w:tbl>
    <w:p/>
    <w:tbl>
      <w:tblPr>
        <w:tblStyle w:val="69"/>
        <w:tblpPr w:leftFromText="180" w:rightFromText="180" w:vertAnchor="text" w:tblpY="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8"/>
        <w:gridCol w:w="2470"/>
        <w:gridCol w:w="5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000" w:type="pct"/>
            <w:gridSpan w:val="3"/>
            <w:shd w:val="clear" w:color="auto" w:fill="auto"/>
            <w:vAlign w:val="center"/>
          </w:tcPr>
          <w:p>
            <w:pPr>
              <w:spacing w:line="276" w:lineRule="auto"/>
              <w:ind w:right="63"/>
              <w:rPr>
                <w:rFonts w:ascii="宋体" w:hAnsi="宋体" w:cs="仿宋" w:eastAsiaTheme="minorEastAsia"/>
                <w:b/>
                <w:sz w:val="24"/>
              </w:rPr>
            </w:pPr>
            <w:r>
              <w:rPr>
                <w:rFonts w:ascii="宋体" w:hAnsi="宋体" w:cs="仿宋" w:eastAsiaTheme="minorEastAsia"/>
                <w:b/>
                <w:sz w:val="24"/>
              </w:rPr>
              <w:t>2</w:t>
            </w:r>
            <w:r>
              <w:rPr>
                <w:rFonts w:hint="eastAsia" w:ascii="宋体" w:hAnsi="宋体" w:cs="仿宋" w:eastAsiaTheme="minorEastAsia"/>
                <w:b/>
                <w:sz w:val="24"/>
              </w:rPr>
              <w:t>、</w:t>
            </w:r>
            <w:r>
              <w:rPr>
                <w:rFonts w:hint="eastAsia" w:asciiTheme="minorHAnsi" w:hAnsiTheme="minorHAnsi" w:eastAsiaTheme="minorEastAsia" w:cstheme="minorBidi"/>
              </w:rPr>
              <w:t xml:space="preserve"> </w:t>
            </w:r>
            <w:r>
              <w:rPr>
                <w:rFonts w:hint="eastAsia" w:ascii="宋体" w:hAnsi="宋体" w:cs="仿宋" w:eastAsiaTheme="minorEastAsia"/>
                <w:b/>
                <w:sz w:val="24"/>
              </w:rPr>
              <w:t>CN-DRG分组器本地化模块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shd w:val="clear" w:color="auto" w:fill="auto"/>
            <w:vAlign w:val="center"/>
          </w:tcPr>
          <w:p>
            <w:pPr>
              <w:spacing w:line="276" w:lineRule="auto"/>
              <w:ind w:right="63"/>
              <w:jc w:val="left"/>
              <w:rPr>
                <w:rFonts w:ascii="宋体" w:hAnsi="宋体" w:cs="仿宋" w:eastAsiaTheme="minorEastAsia"/>
                <w:bCs/>
                <w:szCs w:val="21"/>
              </w:rPr>
            </w:pPr>
            <w:r>
              <w:rPr>
                <w:rFonts w:hint="eastAsia" w:ascii="宋体" w:hAnsi="宋体" w:cs="仿宋" w:eastAsiaTheme="minorEastAsia"/>
                <w:b/>
                <w:sz w:val="24"/>
              </w:rPr>
              <w:t>子模块</w:t>
            </w:r>
          </w:p>
        </w:tc>
        <w:tc>
          <w:tcPr>
            <w:tcW w:w="1330" w:type="pct"/>
            <w:shd w:val="clear" w:color="auto" w:fill="auto"/>
            <w:vAlign w:val="center"/>
          </w:tcPr>
          <w:p>
            <w:pPr>
              <w:spacing w:line="276" w:lineRule="auto"/>
              <w:ind w:right="63"/>
              <w:rPr>
                <w:rFonts w:ascii="宋体" w:hAnsi="宋体" w:eastAsia="宋体" w:cs="仿宋"/>
                <w:bCs/>
                <w:szCs w:val="21"/>
              </w:rPr>
            </w:pPr>
            <w:r>
              <w:rPr>
                <w:rFonts w:hint="eastAsia" w:ascii="宋体" w:hAnsi="宋体" w:cs="仿宋" w:eastAsiaTheme="minorEastAsia"/>
                <w:b/>
                <w:sz w:val="24"/>
              </w:rPr>
              <w:t>功能需求</w:t>
            </w:r>
          </w:p>
        </w:tc>
        <w:tc>
          <w:tcPr>
            <w:tcW w:w="2734" w:type="pct"/>
          </w:tcPr>
          <w:p>
            <w:pPr>
              <w:spacing w:line="276" w:lineRule="auto"/>
              <w:ind w:right="63"/>
              <w:rPr>
                <w:rFonts w:ascii="宋体" w:hAnsi="宋体" w:cs="仿宋" w:eastAsiaTheme="minorEastAsia"/>
                <w:bCs/>
                <w:szCs w:val="21"/>
              </w:rPr>
            </w:pPr>
            <w:r>
              <w:rPr>
                <w:rFonts w:hint="eastAsia" w:ascii="宋体" w:hAnsi="宋体" w:cs="仿宋" w:eastAsiaTheme="minorEastAsia"/>
                <w:b/>
                <w:sz w:val="24"/>
              </w:rPr>
              <w:t>功能需求描述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shd w:val="clear" w:color="auto" w:fill="auto"/>
            <w:vAlign w:val="center"/>
          </w:tcPr>
          <w:p>
            <w:pPr>
              <w:spacing w:line="276" w:lineRule="auto"/>
              <w:ind w:right="63"/>
              <w:jc w:val="left"/>
              <w:rPr>
                <w:rFonts w:ascii="宋体" w:hAnsi="宋体" w:eastAsia="宋体" w:cs="仿宋"/>
                <w:bCs/>
                <w:szCs w:val="21"/>
              </w:rPr>
            </w:pPr>
            <w:r>
              <w:rPr>
                <w:rFonts w:hint="eastAsia" w:ascii="宋体" w:hAnsi="宋体" w:eastAsia="宋体" w:cs="仿宋"/>
                <w:bCs/>
                <w:szCs w:val="21"/>
              </w:rPr>
              <w:t>2.1 CN-DRG分组器本地化</w:t>
            </w:r>
          </w:p>
        </w:tc>
        <w:tc>
          <w:tcPr>
            <w:tcW w:w="1330" w:type="pct"/>
            <w:shd w:val="clear" w:color="auto" w:fill="auto"/>
            <w:vAlign w:val="center"/>
          </w:tcPr>
          <w:p>
            <w:pPr>
              <w:spacing w:line="276" w:lineRule="auto"/>
              <w:ind w:right="63"/>
              <w:rPr>
                <w:rFonts w:ascii="宋体" w:hAnsi="宋体" w:eastAsia="宋体" w:cs="仿宋"/>
                <w:bCs/>
                <w:szCs w:val="21"/>
              </w:rPr>
            </w:pPr>
            <w:r>
              <w:rPr>
                <w:rFonts w:hint="eastAsia" w:ascii="宋体" w:hAnsi="宋体" w:eastAsia="宋体" w:cs="仿宋"/>
                <w:bCs/>
                <w:szCs w:val="21"/>
              </w:rPr>
              <w:t>2.</w:t>
            </w:r>
            <w:r>
              <w:rPr>
                <w:rFonts w:ascii="宋体" w:hAnsi="宋体" w:eastAsia="宋体" w:cs="仿宋"/>
                <w:bCs/>
                <w:szCs w:val="21"/>
              </w:rPr>
              <w:t>1.1</w:t>
            </w:r>
            <w:r>
              <w:rPr>
                <w:rFonts w:hint="eastAsia" w:ascii="宋体" w:hAnsi="宋体" w:eastAsia="宋体" w:cstheme="minorBidi"/>
              </w:rPr>
              <w:t xml:space="preserve"> </w:t>
            </w:r>
            <w:r>
              <w:rPr>
                <w:rFonts w:hint="eastAsia" w:ascii="宋体" w:hAnsi="宋体" w:eastAsia="宋体" w:cs="仿宋"/>
                <w:bCs/>
                <w:szCs w:val="21"/>
              </w:rPr>
              <w:t>CN-DRG分组器本地化</w:t>
            </w:r>
          </w:p>
        </w:tc>
        <w:tc>
          <w:tcPr>
            <w:tcW w:w="2734" w:type="pct"/>
          </w:tcPr>
          <w:p>
            <w:pPr>
              <w:spacing w:line="276" w:lineRule="auto"/>
              <w:ind w:right="63"/>
              <w:rPr>
                <w:rFonts w:ascii="宋体" w:hAnsi="宋体" w:eastAsia="宋体" w:cs="仿宋"/>
                <w:bCs/>
                <w:szCs w:val="21"/>
              </w:rPr>
            </w:pPr>
            <w:r>
              <w:rPr>
                <w:rFonts w:hint="eastAsia" w:ascii="宋体" w:hAnsi="宋体" w:eastAsia="宋体" w:cs="仿宋"/>
                <w:bCs/>
                <w:szCs w:val="21"/>
              </w:rPr>
              <w:t xml:space="preserve"> </w:t>
            </w:r>
            <w:r>
              <w:rPr>
                <w:rFonts w:ascii="宋体" w:hAnsi="宋体" w:eastAsia="宋体" w:cs="仿宋"/>
                <w:bCs/>
                <w:szCs w:val="21"/>
              </w:rPr>
              <w:t xml:space="preserve">   </w:t>
            </w:r>
            <w:r>
              <w:rPr>
                <w:rFonts w:hint="eastAsia" w:ascii="宋体" w:hAnsi="宋体" w:eastAsia="宋体" w:cs="仿宋"/>
                <w:bCs/>
                <w:szCs w:val="21"/>
              </w:rPr>
              <w:t>提供本土化开发的DRG分组器，提供分组器计算分组结果与广东省DRGs住院医疗服务综合评价系统反馈数据对比情况，以验证DRG分组器病种入组的准确率。</w:t>
            </w:r>
          </w:p>
        </w:tc>
      </w:tr>
    </w:tbl>
    <w:p/>
    <w:tbl>
      <w:tblPr>
        <w:tblStyle w:val="69"/>
        <w:tblpPr w:leftFromText="180" w:rightFromText="180" w:vertAnchor="text" w:tblpY="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8"/>
        <w:gridCol w:w="2470"/>
        <w:gridCol w:w="5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000" w:type="pct"/>
            <w:gridSpan w:val="3"/>
            <w:shd w:val="clear" w:color="auto" w:fill="auto"/>
            <w:vAlign w:val="center"/>
          </w:tcPr>
          <w:p>
            <w:pPr>
              <w:spacing w:line="276" w:lineRule="auto"/>
              <w:ind w:right="63"/>
              <w:rPr>
                <w:rFonts w:ascii="宋体" w:hAnsi="宋体" w:cs="仿宋" w:eastAsiaTheme="minorEastAsia"/>
                <w:b/>
                <w:sz w:val="24"/>
              </w:rPr>
            </w:pPr>
            <w:r>
              <w:rPr>
                <w:rFonts w:ascii="宋体" w:hAnsi="宋体" w:cs="仿宋" w:eastAsiaTheme="minorEastAsia"/>
                <w:b/>
                <w:sz w:val="24"/>
              </w:rPr>
              <w:t>3</w:t>
            </w:r>
            <w:r>
              <w:rPr>
                <w:rFonts w:hint="eastAsia" w:ascii="宋体" w:hAnsi="宋体" w:cs="仿宋" w:eastAsiaTheme="minorEastAsia"/>
                <w:b/>
                <w:sz w:val="24"/>
              </w:rPr>
              <w:t>、基础服务模块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shd w:val="clear" w:color="auto" w:fill="auto"/>
            <w:vAlign w:val="center"/>
          </w:tcPr>
          <w:p>
            <w:pPr>
              <w:spacing w:line="276" w:lineRule="auto"/>
              <w:ind w:right="63"/>
              <w:jc w:val="left"/>
              <w:rPr>
                <w:rFonts w:ascii="宋体" w:hAnsi="宋体" w:cs="仿宋" w:eastAsiaTheme="minorEastAsia"/>
                <w:bCs/>
                <w:szCs w:val="21"/>
              </w:rPr>
            </w:pPr>
            <w:r>
              <w:rPr>
                <w:rFonts w:hint="eastAsia" w:ascii="宋体" w:hAnsi="宋体" w:cs="仿宋" w:eastAsiaTheme="minorEastAsia"/>
                <w:b/>
                <w:sz w:val="24"/>
              </w:rPr>
              <w:t>子模块</w:t>
            </w:r>
          </w:p>
        </w:tc>
        <w:tc>
          <w:tcPr>
            <w:tcW w:w="1330" w:type="pct"/>
            <w:shd w:val="clear" w:color="auto" w:fill="auto"/>
            <w:vAlign w:val="center"/>
          </w:tcPr>
          <w:p>
            <w:pPr>
              <w:spacing w:line="276" w:lineRule="auto"/>
              <w:ind w:right="63"/>
              <w:rPr>
                <w:rFonts w:ascii="宋体" w:hAnsi="宋体" w:eastAsia="宋体" w:cs="仿宋"/>
                <w:bCs/>
                <w:szCs w:val="21"/>
              </w:rPr>
            </w:pPr>
            <w:r>
              <w:rPr>
                <w:rFonts w:hint="eastAsia" w:ascii="宋体" w:hAnsi="宋体" w:cs="仿宋" w:eastAsiaTheme="minorEastAsia"/>
                <w:b/>
                <w:sz w:val="24"/>
              </w:rPr>
              <w:t>功能需求</w:t>
            </w:r>
          </w:p>
        </w:tc>
        <w:tc>
          <w:tcPr>
            <w:tcW w:w="2734" w:type="pct"/>
          </w:tcPr>
          <w:p>
            <w:pPr>
              <w:spacing w:line="276" w:lineRule="auto"/>
              <w:ind w:right="63"/>
              <w:rPr>
                <w:rFonts w:ascii="宋体" w:hAnsi="宋体" w:cs="仿宋" w:eastAsiaTheme="minorEastAsia"/>
                <w:bCs/>
                <w:szCs w:val="21"/>
              </w:rPr>
            </w:pPr>
            <w:r>
              <w:rPr>
                <w:rFonts w:hint="eastAsia" w:ascii="宋体" w:hAnsi="宋体" w:cs="仿宋" w:eastAsiaTheme="minorEastAsia"/>
                <w:b/>
                <w:sz w:val="24"/>
              </w:rPr>
              <w:t>功能需求描述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shd w:val="clear" w:color="auto" w:fill="auto"/>
            <w:vAlign w:val="center"/>
          </w:tcPr>
          <w:p>
            <w:pPr>
              <w:spacing w:line="276" w:lineRule="auto"/>
              <w:ind w:right="63"/>
              <w:jc w:val="left"/>
              <w:rPr>
                <w:rFonts w:ascii="宋体" w:hAnsi="宋体" w:eastAsia="宋体" w:cs="仿宋"/>
                <w:bCs/>
                <w:szCs w:val="21"/>
              </w:rPr>
            </w:pPr>
            <w:r>
              <w:rPr>
                <w:rFonts w:hint="eastAsia" w:ascii="宋体" w:hAnsi="宋体" w:eastAsia="宋体" w:cs="仿宋"/>
                <w:bCs/>
                <w:szCs w:val="21"/>
              </w:rPr>
              <w:t>3.1系统管理</w:t>
            </w:r>
          </w:p>
        </w:tc>
        <w:tc>
          <w:tcPr>
            <w:tcW w:w="1330" w:type="pct"/>
            <w:shd w:val="clear" w:color="auto" w:fill="auto"/>
            <w:vAlign w:val="center"/>
          </w:tcPr>
          <w:p>
            <w:pPr>
              <w:spacing w:line="276" w:lineRule="auto"/>
              <w:ind w:right="63"/>
              <w:rPr>
                <w:rFonts w:ascii="宋体" w:hAnsi="宋体" w:eastAsia="宋体" w:cs="仿宋"/>
                <w:bCs/>
                <w:szCs w:val="21"/>
              </w:rPr>
            </w:pPr>
            <w:r>
              <w:rPr>
                <w:rFonts w:hint="eastAsia" w:ascii="宋体" w:hAnsi="宋体" w:eastAsia="宋体" w:cs="仿宋"/>
                <w:bCs/>
                <w:szCs w:val="21"/>
              </w:rPr>
              <w:t>3.</w:t>
            </w:r>
            <w:r>
              <w:rPr>
                <w:rFonts w:ascii="宋体" w:hAnsi="宋体" w:eastAsia="宋体" w:cs="仿宋"/>
                <w:bCs/>
                <w:szCs w:val="21"/>
              </w:rPr>
              <w:t>1.1</w:t>
            </w:r>
            <w:r>
              <w:rPr>
                <w:rFonts w:hint="eastAsia" w:ascii="宋体" w:hAnsi="宋体" w:eastAsia="宋体" w:cs="仿宋"/>
                <w:bCs/>
                <w:szCs w:val="21"/>
              </w:rPr>
              <w:t>系统管理</w:t>
            </w:r>
          </w:p>
        </w:tc>
        <w:tc>
          <w:tcPr>
            <w:tcW w:w="2734" w:type="pct"/>
          </w:tcPr>
          <w:p>
            <w:pPr>
              <w:spacing w:line="276" w:lineRule="auto"/>
              <w:ind w:right="63"/>
              <w:rPr>
                <w:rFonts w:ascii="宋体" w:hAnsi="宋体" w:eastAsia="宋体" w:cs="仿宋"/>
                <w:bCs/>
                <w:szCs w:val="21"/>
                <w:lang w:eastAsia="zh-TW"/>
              </w:rPr>
            </w:pPr>
            <w:r>
              <w:rPr>
                <w:rFonts w:ascii="宋体" w:hAnsi="宋体" w:eastAsia="宋体" w:cs="仿宋"/>
                <w:bCs/>
                <w:szCs w:val="21"/>
                <w:lang w:eastAsia="zh-TW"/>
              </w:rPr>
              <w:t xml:space="preserve">    </w:t>
            </w:r>
            <w:r>
              <w:rPr>
                <w:rFonts w:hint="eastAsia" w:ascii="宋体" w:hAnsi="宋体" w:eastAsia="宋体" w:cs="仿宋"/>
                <w:bCs/>
                <w:szCs w:val="21"/>
                <w:lang w:eastAsia="zh-TW"/>
              </w:rPr>
              <w:t>提供基本信息的动态维护功能，包括病案首页版本、疾病诊断和手术操作ICD、诊断相关分组字典、病种标杆数据、院内组织机构基本信息、科室目标数据及病种管理目标数据的动态维护管理功能，可以为用户统一分配角色和权限，能实时监测系统软硬件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shd w:val="clear" w:color="auto" w:fill="auto"/>
            <w:vAlign w:val="center"/>
          </w:tcPr>
          <w:p>
            <w:pPr>
              <w:spacing w:line="276" w:lineRule="auto"/>
              <w:ind w:right="63"/>
              <w:jc w:val="left"/>
              <w:rPr>
                <w:rFonts w:ascii="宋体" w:hAnsi="宋体" w:eastAsia="宋体" w:cs="仿宋"/>
                <w:bCs/>
                <w:szCs w:val="21"/>
              </w:rPr>
            </w:pPr>
            <w:r>
              <w:rPr>
                <w:rFonts w:hint="eastAsia" w:ascii="宋体" w:hAnsi="宋体" w:eastAsia="宋体" w:cs="仿宋"/>
                <w:bCs/>
                <w:szCs w:val="21"/>
              </w:rPr>
              <w:t>3.</w:t>
            </w:r>
            <w:r>
              <w:rPr>
                <w:rFonts w:ascii="宋体" w:hAnsi="宋体" w:eastAsia="宋体" w:cs="仿宋"/>
                <w:bCs/>
                <w:szCs w:val="21"/>
              </w:rPr>
              <w:t>2</w:t>
            </w:r>
            <w:r>
              <w:rPr>
                <w:rFonts w:hint="eastAsia" w:ascii="宋体" w:hAnsi="宋体" w:eastAsia="宋体" w:cs="仿宋"/>
                <w:bCs/>
                <w:szCs w:val="21"/>
              </w:rPr>
              <w:t>角色管理</w:t>
            </w:r>
          </w:p>
        </w:tc>
        <w:tc>
          <w:tcPr>
            <w:tcW w:w="1330" w:type="pct"/>
            <w:shd w:val="clear" w:color="auto" w:fill="auto"/>
            <w:vAlign w:val="center"/>
          </w:tcPr>
          <w:p>
            <w:pPr>
              <w:spacing w:line="276" w:lineRule="auto"/>
              <w:ind w:right="63"/>
              <w:rPr>
                <w:rFonts w:ascii="宋体" w:hAnsi="宋体" w:eastAsia="宋体" w:cs="仿宋"/>
                <w:bCs/>
                <w:szCs w:val="21"/>
              </w:rPr>
            </w:pPr>
            <w:r>
              <w:rPr>
                <w:rFonts w:hint="eastAsia" w:ascii="宋体" w:hAnsi="宋体" w:eastAsia="宋体" w:cs="仿宋"/>
                <w:bCs/>
                <w:szCs w:val="21"/>
              </w:rPr>
              <w:t>3.2.1角色管理</w:t>
            </w:r>
          </w:p>
        </w:tc>
        <w:tc>
          <w:tcPr>
            <w:tcW w:w="2734" w:type="pct"/>
          </w:tcPr>
          <w:p>
            <w:pPr>
              <w:pStyle w:val="76"/>
              <w:spacing w:line="360" w:lineRule="auto"/>
              <w:ind w:firstLine="440"/>
              <w:jc w:val="left"/>
              <w:rPr>
                <w:rFonts w:eastAsia="宋体"/>
                <w:sz w:val="21"/>
                <w:szCs w:val="21"/>
                <w:lang w:val="en-US" w:eastAsia="zh-CN"/>
              </w:rPr>
            </w:pPr>
            <w:r>
              <w:rPr>
                <w:rFonts w:hint="eastAsia" w:eastAsia="宋体"/>
                <w:sz w:val="21"/>
                <w:szCs w:val="21"/>
              </w:rPr>
              <w:t>可对角色进行增删查改等功能的操作。同时可对每类用户可访问的页面资源进行个性化配置，实现医院对各角色用户的权限管理。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shd w:val="clear" w:color="auto" w:fill="auto"/>
            <w:vAlign w:val="center"/>
          </w:tcPr>
          <w:p>
            <w:pPr>
              <w:spacing w:line="276" w:lineRule="auto"/>
              <w:ind w:right="63"/>
              <w:jc w:val="left"/>
              <w:rPr>
                <w:rFonts w:ascii="宋体" w:hAnsi="宋体" w:eastAsia="宋体" w:cs="仿宋"/>
                <w:bCs/>
                <w:szCs w:val="21"/>
              </w:rPr>
            </w:pPr>
            <w:r>
              <w:rPr>
                <w:rFonts w:hint="eastAsia" w:ascii="宋体" w:hAnsi="宋体" w:eastAsia="宋体" w:cs="仿宋"/>
                <w:bCs/>
                <w:szCs w:val="21"/>
              </w:rPr>
              <w:t>3.</w:t>
            </w:r>
            <w:r>
              <w:rPr>
                <w:rFonts w:hint="eastAsia" w:ascii="宋体" w:hAnsi="宋体" w:eastAsia="宋体" w:cs="Calibri"/>
                <w:color w:val="000000"/>
                <w:szCs w:val="21"/>
              </w:rPr>
              <w:t>3用户管理</w:t>
            </w:r>
          </w:p>
        </w:tc>
        <w:tc>
          <w:tcPr>
            <w:tcW w:w="1330" w:type="pct"/>
            <w:shd w:val="clear" w:color="auto" w:fill="auto"/>
            <w:vAlign w:val="center"/>
          </w:tcPr>
          <w:p>
            <w:pPr>
              <w:spacing w:line="276" w:lineRule="auto"/>
              <w:ind w:right="63"/>
              <w:rPr>
                <w:rFonts w:ascii="宋体" w:hAnsi="宋体" w:eastAsia="宋体" w:cs="仿宋"/>
                <w:bCs/>
                <w:szCs w:val="21"/>
              </w:rPr>
            </w:pPr>
            <w:r>
              <w:rPr>
                <w:rFonts w:hint="eastAsia" w:ascii="宋体" w:hAnsi="宋体" w:eastAsia="宋体" w:cs="仿宋"/>
                <w:bCs/>
                <w:szCs w:val="21"/>
              </w:rPr>
              <w:t>3.3.1</w:t>
            </w:r>
            <w:r>
              <w:rPr>
                <w:rFonts w:hint="eastAsia" w:ascii="宋体" w:hAnsi="宋体" w:eastAsia="宋体" w:cs="Calibri"/>
                <w:color w:val="000000"/>
                <w:szCs w:val="21"/>
              </w:rPr>
              <w:t>用户管理</w:t>
            </w:r>
          </w:p>
        </w:tc>
        <w:tc>
          <w:tcPr>
            <w:tcW w:w="2734" w:type="pct"/>
          </w:tcPr>
          <w:p>
            <w:pPr>
              <w:pStyle w:val="76"/>
              <w:spacing w:line="360" w:lineRule="auto"/>
              <w:ind w:firstLine="440"/>
              <w:jc w:val="left"/>
              <w:rPr>
                <w:rFonts w:eastAsia="宋体"/>
                <w:sz w:val="21"/>
                <w:szCs w:val="21"/>
                <w:lang w:val="en-US" w:eastAsia="zh-CN"/>
              </w:rPr>
            </w:pPr>
            <w:r>
              <w:rPr>
                <w:rFonts w:hint="eastAsia" w:eastAsia="宋体"/>
                <w:sz w:val="21"/>
                <w:szCs w:val="21"/>
              </w:rPr>
              <w:t>可对用户进行添加、修改、删除、用户批量导入、分配角色、授权科室、授权病区、重置密码、禁用、激活、搜索等操作。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shd w:val="clear" w:color="auto" w:fill="auto"/>
            <w:vAlign w:val="center"/>
          </w:tcPr>
          <w:p>
            <w:pPr>
              <w:spacing w:line="276" w:lineRule="auto"/>
              <w:ind w:right="63"/>
              <w:jc w:val="left"/>
              <w:rPr>
                <w:rFonts w:ascii="宋体" w:hAnsi="宋体" w:eastAsia="宋体" w:cs="仿宋"/>
                <w:bCs/>
                <w:szCs w:val="21"/>
              </w:rPr>
            </w:pPr>
            <w:r>
              <w:rPr>
                <w:rFonts w:hint="eastAsia" w:ascii="宋体" w:hAnsi="宋体" w:eastAsia="宋体" w:cs="仿宋"/>
                <w:bCs/>
                <w:szCs w:val="21"/>
              </w:rPr>
              <w:t>3.</w:t>
            </w:r>
            <w:r>
              <w:rPr>
                <w:rFonts w:hint="eastAsia" w:ascii="宋体" w:hAnsi="宋体" w:eastAsia="宋体" w:cs="Calibri"/>
                <w:color w:val="000000"/>
                <w:szCs w:val="21"/>
              </w:rPr>
              <w:t>4组织机构信息管理</w:t>
            </w:r>
          </w:p>
        </w:tc>
        <w:tc>
          <w:tcPr>
            <w:tcW w:w="1330" w:type="pct"/>
            <w:shd w:val="clear" w:color="auto" w:fill="auto"/>
            <w:vAlign w:val="center"/>
          </w:tcPr>
          <w:p>
            <w:pPr>
              <w:spacing w:line="276" w:lineRule="auto"/>
              <w:ind w:right="63"/>
              <w:rPr>
                <w:rFonts w:ascii="宋体" w:hAnsi="宋体" w:eastAsia="宋体" w:cs="仿宋"/>
                <w:bCs/>
                <w:szCs w:val="21"/>
              </w:rPr>
            </w:pPr>
            <w:r>
              <w:rPr>
                <w:rFonts w:hint="eastAsia" w:ascii="宋体" w:hAnsi="宋体" w:eastAsia="宋体" w:cs="仿宋"/>
                <w:bCs/>
                <w:szCs w:val="21"/>
              </w:rPr>
              <w:t>3.</w:t>
            </w:r>
            <w:r>
              <w:rPr>
                <w:rFonts w:hint="eastAsia" w:ascii="宋体" w:hAnsi="宋体" w:eastAsia="宋体" w:cs="Calibri"/>
                <w:color w:val="000000"/>
                <w:szCs w:val="21"/>
              </w:rPr>
              <w:t>4.</w:t>
            </w:r>
            <w:r>
              <w:rPr>
                <w:rFonts w:ascii="宋体" w:hAnsi="宋体" w:eastAsia="宋体" w:cs="Calibri"/>
                <w:color w:val="000000"/>
                <w:szCs w:val="21"/>
              </w:rPr>
              <w:t>1</w:t>
            </w:r>
            <w:r>
              <w:rPr>
                <w:rFonts w:hint="eastAsia" w:ascii="宋体" w:hAnsi="宋体" w:eastAsia="宋体" w:cs="Calibri"/>
                <w:color w:val="000000"/>
                <w:szCs w:val="21"/>
              </w:rPr>
              <w:t>组织机构信息管理</w:t>
            </w:r>
          </w:p>
        </w:tc>
        <w:tc>
          <w:tcPr>
            <w:tcW w:w="2734" w:type="pct"/>
          </w:tcPr>
          <w:p>
            <w:pPr>
              <w:pStyle w:val="76"/>
              <w:spacing w:line="360" w:lineRule="auto"/>
              <w:ind w:firstLine="440"/>
              <w:jc w:val="left"/>
              <w:rPr>
                <w:rFonts w:eastAsia="宋体"/>
                <w:sz w:val="21"/>
                <w:szCs w:val="21"/>
                <w:lang w:val="en-US" w:eastAsia="zh-CN"/>
              </w:rPr>
            </w:pPr>
            <w:r>
              <w:rPr>
                <w:rFonts w:hint="eastAsia" w:eastAsia="宋体"/>
                <w:sz w:val="21"/>
                <w:szCs w:val="21"/>
              </w:rPr>
              <w:t>系统提供全院、科室、病区、医师基本信息的增加、删除和修改、查询和隶属关系维护等功能。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shd w:val="clear" w:color="auto" w:fill="auto"/>
            <w:vAlign w:val="center"/>
          </w:tcPr>
          <w:p>
            <w:pPr>
              <w:spacing w:line="276" w:lineRule="auto"/>
              <w:ind w:right="63"/>
              <w:jc w:val="left"/>
              <w:rPr>
                <w:rFonts w:ascii="宋体" w:hAnsi="宋体" w:eastAsia="宋体" w:cs="仿宋"/>
                <w:bCs/>
                <w:szCs w:val="21"/>
              </w:rPr>
            </w:pPr>
            <w:r>
              <w:rPr>
                <w:rFonts w:hint="eastAsia" w:ascii="宋体" w:hAnsi="宋体" w:eastAsia="宋体" w:cs="仿宋"/>
                <w:bCs/>
                <w:szCs w:val="21"/>
              </w:rPr>
              <w:t>3.</w:t>
            </w:r>
            <w:r>
              <w:rPr>
                <w:rFonts w:hint="eastAsia" w:ascii="宋体" w:hAnsi="宋体" w:eastAsia="宋体" w:cs="Calibri"/>
                <w:color w:val="000000"/>
                <w:szCs w:val="21"/>
              </w:rPr>
              <w:t>5查询条件</w:t>
            </w:r>
          </w:p>
        </w:tc>
        <w:tc>
          <w:tcPr>
            <w:tcW w:w="1330" w:type="pct"/>
            <w:shd w:val="clear" w:color="auto" w:fill="auto"/>
            <w:vAlign w:val="center"/>
          </w:tcPr>
          <w:p>
            <w:pPr>
              <w:spacing w:line="276" w:lineRule="auto"/>
              <w:ind w:right="63"/>
              <w:rPr>
                <w:rFonts w:ascii="宋体" w:hAnsi="宋体" w:eastAsia="宋体" w:cs="仿宋"/>
                <w:bCs/>
                <w:szCs w:val="21"/>
              </w:rPr>
            </w:pPr>
            <w:r>
              <w:rPr>
                <w:rFonts w:hint="eastAsia" w:ascii="宋体" w:hAnsi="宋体" w:eastAsia="宋体" w:cs="仿宋"/>
                <w:bCs/>
                <w:szCs w:val="21"/>
              </w:rPr>
              <w:t>3.</w:t>
            </w:r>
            <w:r>
              <w:rPr>
                <w:rFonts w:hint="eastAsia" w:ascii="宋体" w:hAnsi="宋体" w:eastAsia="宋体" w:cs="Calibri"/>
                <w:color w:val="000000"/>
                <w:szCs w:val="21"/>
              </w:rPr>
              <w:t>5</w:t>
            </w:r>
            <w:r>
              <w:rPr>
                <w:rFonts w:ascii="宋体" w:hAnsi="宋体" w:eastAsia="宋体" w:cs="Calibri"/>
                <w:color w:val="000000"/>
                <w:szCs w:val="21"/>
              </w:rPr>
              <w:t>.1</w:t>
            </w:r>
            <w:r>
              <w:rPr>
                <w:rFonts w:hint="eastAsia" w:ascii="宋体" w:hAnsi="宋体" w:eastAsia="宋体" w:cs="Calibri"/>
                <w:color w:val="000000"/>
                <w:szCs w:val="21"/>
              </w:rPr>
              <w:t>查询条件</w:t>
            </w:r>
          </w:p>
        </w:tc>
        <w:tc>
          <w:tcPr>
            <w:tcW w:w="2734" w:type="pct"/>
          </w:tcPr>
          <w:p>
            <w:pPr>
              <w:spacing w:after="120" w:line="360" w:lineRule="auto"/>
              <w:ind w:firstLine="482"/>
              <w:rPr>
                <w:rFonts w:ascii="宋体" w:hAnsi="宋体" w:eastAsia="宋体" w:cs="宋体"/>
                <w:szCs w:val="21"/>
              </w:rPr>
            </w:pPr>
            <w:r>
              <w:rPr>
                <w:rFonts w:hint="eastAsia" w:ascii="宋体" w:hAnsi="宋体" w:eastAsia="宋体" w:cs="宋体"/>
                <w:szCs w:val="21"/>
              </w:rPr>
              <w:t>在不同的监测和分析场景下，可依据不同维度对数据进行统计和分析，包括分组器类型、标杆类型、比较类型维度、时间维度等。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shd w:val="clear" w:color="auto" w:fill="auto"/>
            <w:vAlign w:val="center"/>
          </w:tcPr>
          <w:p>
            <w:pPr>
              <w:spacing w:line="276" w:lineRule="auto"/>
              <w:ind w:right="63"/>
              <w:jc w:val="left"/>
              <w:rPr>
                <w:rFonts w:ascii="宋体" w:hAnsi="宋体" w:eastAsia="宋体" w:cs="仿宋"/>
                <w:bCs/>
                <w:szCs w:val="21"/>
              </w:rPr>
            </w:pPr>
            <w:r>
              <w:rPr>
                <w:rFonts w:hint="eastAsia" w:ascii="宋体" w:hAnsi="宋体" w:eastAsia="宋体" w:cs="仿宋"/>
                <w:bCs/>
                <w:szCs w:val="21"/>
              </w:rPr>
              <w:t>3.</w:t>
            </w:r>
            <w:r>
              <w:rPr>
                <w:rFonts w:hint="eastAsia" w:ascii="宋体" w:hAnsi="宋体" w:eastAsia="宋体" w:cs="Calibri"/>
                <w:color w:val="000000"/>
                <w:szCs w:val="21"/>
              </w:rPr>
              <w:t>6图形展现</w:t>
            </w:r>
          </w:p>
        </w:tc>
        <w:tc>
          <w:tcPr>
            <w:tcW w:w="1330" w:type="pct"/>
            <w:shd w:val="clear" w:color="auto" w:fill="auto"/>
            <w:vAlign w:val="center"/>
          </w:tcPr>
          <w:p>
            <w:pPr>
              <w:spacing w:line="276" w:lineRule="auto"/>
              <w:ind w:right="63"/>
              <w:rPr>
                <w:rFonts w:ascii="宋体" w:hAnsi="宋体" w:eastAsia="宋体" w:cs="仿宋"/>
                <w:bCs/>
                <w:szCs w:val="21"/>
              </w:rPr>
            </w:pPr>
            <w:r>
              <w:rPr>
                <w:rFonts w:hint="eastAsia" w:ascii="宋体" w:hAnsi="宋体" w:eastAsia="宋体" w:cs="仿宋"/>
                <w:bCs/>
                <w:szCs w:val="21"/>
              </w:rPr>
              <w:t>3.</w:t>
            </w:r>
            <w:r>
              <w:rPr>
                <w:rFonts w:hint="eastAsia" w:ascii="宋体" w:hAnsi="宋体" w:eastAsia="宋体" w:cs="Calibri"/>
                <w:color w:val="000000"/>
                <w:szCs w:val="21"/>
              </w:rPr>
              <w:t>6.</w:t>
            </w:r>
            <w:r>
              <w:rPr>
                <w:rFonts w:ascii="宋体" w:hAnsi="宋体" w:eastAsia="宋体" w:cs="Calibri"/>
                <w:color w:val="000000"/>
                <w:szCs w:val="21"/>
              </w:rPr>
              <w:t>1</w:t>
            </w:r>
            <w:r>
              <w:rPr>
                <w:rFonts w:hint="eastAsia" w:ascii="宋体" w:hAnsi="宋体" w:eastAsia="宋体" w:cs="Calibri"/>
                <w:color w:val="000000"/>
                <w:szCs w:val="21"/>
              </w:rPr>
              <w:t>图形展现</w:t>
            </w:r>
          </w:p>
        </w:tc>
        <w:tc>
          <w:tcPr>
            <w:tcW w:w="2734" w:type="pct"/>
          </w:tcPr>
          <w:p>
            <w:pPr>
              <w:spacing w:after="120" w:line="360" w:lineRule="auto"/>
              <w:ind w:firstLine="482"/>
              <w:rPr>
                <w:rFonts w:ascii="宋体" w:hAnsi="宋体" w:eastAsia="宋体" w:cstheme="minorBidi"/>
                <w:szCs w:val="21"/>
              </w:rPr>
            </w:pPr>
            <w:r>
              <w:rPr>
                <w:rFonts w:hint="eastAsia" w:ascii="宋体" w:hAnsi="宋体" w:eastAsia="宋体" w:cs="宋体"/>
                <w:szCs w:val="21"/>
              </w:rPr>
              <w:t>提供丰富多样的可视化展现形式，如柱状图、折线图（曲线图）、象限图、极地图（蛛网图）、饼图、散点图、混合图（柱状-折线）等形式。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shd w:val="clear" w:color="auto" w:fill="auto"/>
            <w:vAlign w:val="center"/>
          </w:tcPr>
          <w:p>
            <w:pPr>
              <w:spacing w:line="276" w:lineRule="auto"/>
              <w:ind w:right="63"/>
              <w:jc w:val="left"/>
              <w:rPr>
                <w:rFonts w:ascii="宋体" w:hAnsi="宋体" w:eastAsia="宋体" w:cs="仿宋"/>
                <w:bCs/>
                <w:szCs w:val="21"/>
              </w:rPr>
            </w:pPr>
            <w:r>
              <w:rPr>
                <w:rFonts w:hint="eastAsia" w:ascii="宋体" w:hAnsi="宋体" w:eastAsia="宋体" w:cs="仿宋"/>
                <w:bCs/>
                <w:szCs w:val="21"/>
              </w:rPr>
              <w:t>3.</w:t>
            </w:r>
            <w:r>
              <w:rPr>
                <w:rFonts w:hint="eastAsia" w:ascii="宋体" w:hAnsi="宋体" w:eastAsia="宋体" w:cs="Calibri"/>
                <w:color w:val="000000"/>
                <w:szCs w:val="21"/>
              </w:rPr>
              <w:t>7数据导出</w:t>
            </w:r>
          </w:p>
        </w:tc>
        <w:tc>
          <w:tcPr>
            <w:tcW w:w="1330" w:type="pct"/>
            <w:shd w:val="clear" w:color="auto" w:fill="auto"/>
            <w:vAlign w:val="center"/>
          </w:tcPr>
          <w:p>
            <w:pPr>
              <w:spacing w:line="276" w:lineRule="auto"/>
              <w:ind w:right="63"/>
              <w:rPr>
                <w:rFonts w:ascii="宋体" w:hAnsi="宋体" w:eastAsia="宋体" w:cs="仿宋"/>
                <w:bCs/>
                <w:szCs w:val="21"/>
              </w:rPr>
            </w:pPr>
            <w:r>
              <w:rPr>
                <w:rFonts w:hint="eastAsia" w:ascii="宋体" w:hAnsi="宋体" w:eastAsia="宋体" w:cs="仿宋"/>
                <w:bCs/>
                <w:szCs w:val="21"/>
              </w:rPr>
              <w:t>3.</w:t>
            </w:r>
            <w:r>
              <w:rPr>
                <w:rFonts w:hint="eastAsia" w:ascii="宋体" w:hAnsi="宋体" w:eastAsia="宋体" w:cs="Calibri"/>
                <w:color w:val="000000"/>
                <w:szCs w:val="21"/>
              </w:rPr>
              <w:t>7</w:t>
            </w:r>
            <w:r>
              <w:rPr>
                <w:rFonts w:ascii="宋体" w:hAnsi="宋体" w:eastAsia="宋体" w:cs="Calibri"/>
                <w:color w:val="000000"/>
                <w:szCs w:val="21"/>
              </w:rPr>
              <w:t>.1</w:t>
            </w:r>
            <w:r>
              <w:rPr>
                <w:rFonts w:hint="eastAsia" w:ascii="宋体" w:hAnsi="宋体" w:eastAsia="宋体" w:cs="Calibri"/>
                <w:color w:val="000000"/>
                <w:szCs w:val="21"/>
              </w:rPr>
              <w:t>数据导出</w:t>
            </w:r>
          </w:p>
        </w:tc>
        <w:tc>
          <w:tcPr>
            <w:tcW w:w="2734" w:type="pct"/>
          </w:tcPr>
          <w:p>
            <w:pPr>
              <w:spacing w:line="276" w:lineRule="auto"/>
              <w:ind w:right="63"/>
              <w:rPr>
                <w:rFonts w:ascii="宋体" w:hAnsi="宋体" w:eastAsia="宋体" w:cs="仿宋"/>
                <w:bCs/>
                <w:szCs w:val="21"/>
              </w:rPr>
            </w:pPr>
            <w:r>
              <w:rPr>
                <w:rFonts w:hint="eastAsia" w:ascii="宋体" w:hAnsi="宋体" w:eastAsia="宋体" w:cs="仿宋"/>
                <w:bCs/>
                <w:szCs w:val="21"/>
              </w:rPr>
              <w:t xml:space="preserve"> </w:t>
            </w:r>
            <w:r>
              <w:rPr>
                <w:rFonts w:ascii="宋体" w:hAnsi="宋体" w:eastAsia="宋体" w:cs="仿宋"/>
                <w:bCs/>
                <w:szCs w:val="21"/>
              </w:rPr>
              <w:t xml:space="preserve">   </w:t>
            </w:r>
            <w:r>
              <w:rPr>
                <w:rFonts w:hint="eastAsia" w:ascii="宋体" w:hAnsi="宋体" w:eastAsia="宋体" w:cs="仿宋"/>
                <w:bCs/>
                <w:szCs w:val="21"/>
              </w:rPr>
              <w:t>满足医院日常对数据的二次利用和分析需求，系统中的表格支持数据以excel、csv等格式导出，图形支持导出成PNG格式。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shd w:val="clear" w:color="auto" w:fill="auto"/>
            <w:vAlign w:val="center"/>
          </w:tcPr>
          <w:p>
            <w:pPr>
              <w:spacing w:line="276" w:lineRule="auto"/>
              <w:ind w:right="63"/>
              <w:jc w:val="left"/>
              <w:rPr>
                <w:rFonts w:ascii="宋体" w:hAnsi="宋体" w:eastAsia="宋体" w:cs="仿宋"/>
                <w:bCs/>
                <w:szCs w:val="21"/>
              </w:rPr>
            </w:pPr>
            <w:r>
              <w:rPr>
                <w:rFonts w:hint="eastAsia" w:ascii="宋体" w:hAnsi="宋体" w:eastAsia="宋体" w:cs="仿宋"/>
                <w:bCs/>
                <w:szCs w:val="21"/>
              </w:rPr>
              <w:t>3.</w:t>
            </w:r>
            <w:r>
              <w:rPr>
                <w:rFonts w:hint="eastAsia" w:ascii="宋体" w:hAnsi="宋体" w:eastAsia="宋体" w:cs="Calibri"/>
                <w:color w:val="000000"/>
                <w:szCs w:val="21"/>
              </w:rPr>
              <w:t>8在线分组服务</w:t>
            </w:r>
          </w:p>
        </w:tc>
        <w:tc>
          <w:tcPr>
            <w:tcW w:w="1330" w:type="pct"/>
            <w:shd w:val="clear" w:color="auto" w:fill="auto"/>
            <w:vAlign w:val="center"/>
          </w:tcPr>
          <w:p>
            <w:pPr>
              <w:spacing w:line="276" w:lineRule="auto"/>
              <w:ind w:right="63"/>
              <w:rPr>
                <w:rFonts w:ascii="宋体" w:hAnsi="宋体" w:eastAsia="宋体" w:cs="仿宋"/>
                <w:bCs/>
                <w:szCs w:val="21"/>
              </w:rPr>
            </w:pPr>
            <w:r>
              <w:rPr>
                <w:rFonts w:hint="eastAsia" w:ascii="宋体" w:hAnsi="宋体" w:eastAsia="宋体" w:cs="仿宋"/>
                <w:bCs/>
                <w:szCs w:val="21"/>
              </w:rPr>
              <w:t>3.</w:t>
            </w:r>
            <w:r>
              <w:rPr>
                <w:rFonts w:hint="eastAsia" w:ascii="宋体" w:hAnsi="宋体" w:eastAsia="宋体" w:cs="Calibri"/>
                <w:color w:val="000000"/>
                <w:szCs w:val="21"/>
              </w:rPr>
              <w:t>8.</w:t>
            </w:r>
            <w:r>
              <w:rPr>
                <w:rFonts w:ascii="宋体" w:hAnsi="宋体" w:eastAsia="宋体" w:cs="Calibri"/>
                <w:color w:val="000000"/>
                <w:szCs w:val="21"/>
              </w:rPr>
              <w:t>1</w:t>
            </w:r>
            <w:r>
              <w:rPr>
                <w:rFonts w:hint="eastAsia" w:ascii="宋体" w:hAnsi="宋体" w:eastAsia="宋体" w:cs="Calibri"/>
                <w:color w:val="000000"/>
                <w:szCs w:val="21"/>
              </w:rPr>
              <w:t>在线分组服务</w:t>
            </w:r>
          </w:p>
        </w:tc>
        <w:tc>
          <w:tcPr>
            <w:tcW w:w="2734" w:type="pct"/>
          </w:tcPr>
          <w:p>
            <w:pPr>
              <w:pStyle w:val="76"/>
              <w:spacing w:line="360" w:lineRule="auto"/>
              <w:ind w:firstLine="440"/>
              <w:jc w:val="left"/>
              <w:rPr>
                <w:rFonts w:eastAsia="PMingLiU"/>
                <w:sz w:val="21"/>
                <w:szCs w:val="21"/>
              </w:rPr>
            </w:pPr>
            <w:r>
              <w:rPr>
                <w:rFonts w:hint="eastAsia" w:eastAsia="宋体"/>
                <w:sz w:val="21"/>
                <w:szCs w:val="21"/>
              </w:rPr>
              <w:t>提供在线分组功能，用户可以通过手动录入、excel上传、病案号查询三种形式数据来源，上传病例后根据诊断或手术操作进行实时的DRG分组结果推荐，能够为用户方便快捷地解决问题病例的相关分组服务，提高DRG的应用效率。</w:t>
            </w:r>
          </w:p>
          <w:p>
            <w:pPr>
              <w:pStyle w:val="76"/>
              <w:spacing w:line="360" w:lineRule="auto"/>
              <w:ind w:firstLine="440"/>
              <w:jc w:val="left"/>
              <w:rPr>
                <w:rFonts w:eastAsia="宋体"/>
                <w:sz w:val="21"/>
                <w:szCs w:val="21"/>
              </w:rPr>
            </w:pPr>
            <w:r>
              <w:rPr>
                <w:rFonts w:hint="eastAsia" w:eastAsia="宋体"/>
                <w:sz w:val="21"/>
                <w:szCs w:val="21"/>
              </w:rPr>
              <w:t>针对个案病例用户可查看某条病例DRG分组过程的分组日志信息，以供问题病例分组问题分析时查看。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shd w:val="clear" w:color="auto" w:fill="auto"/>
            <w:vAlign w:val="center"/>
          </w:tcPr>
          <w:p>
            <w:pPr>
              <w:spacing w:line="276" w:lineRule="auto"/>
              <w:ind w:right="63"/>
              <w:jc w:val="left"/>
              <w:rPr>
                <w:rFonts w:ascii="宋体" w:hAnsi="宋体" w:eastAsia="宋体" w:cs="仿宋"/>
                <w:bCs/>
                <w:szCs w:val="21"/>
              </w:rPr>
            </w:pPr>
            <w:r>
              <w:rPr>
                <w:rFonts w:hint="eastAsia" w:ascii="宋体" w:hAnsi="宋体" w:eastAsia="宋体" w:cs="仿宋"/>
                <w:bCs/>
                <w:szCs w:val="21"/>
              </w:rPr>
              <w:t>3.</w:t>
            </w:r>
            <w:r>
              <w:rPr>
                <w:rFonts w:hint="eastAsia" w:ascii="宋体" w:hAnsi="宋体" w:eastAsia="宋体" w:cs="Calibri"/>
                <w:color w:val="000000"/>
                <w:szCs w:val="21"/>
              </w:rPr>
              <w:t>9标杆服务</w:t>
            </w:r>
          </w:p>
        </w:tc>
        <w:tc>
          <w:tcPr>
            <w:tcW w:w="1330" w:type="pct"/>
            <w:shd w:val="clear" w:color="auto" w:fill="auto"/>
            <w:vAlign w:val="center"/>
          </w:tcPr>
          <w:p>
            <w:pPr>
              <w:spacing w:line="276" w:lineRule="auto"/>
              <w:ind w:right="63"/>
              <w:rPr>
                <w:rFonts w:ascii="宋体" w:hAnsi="宋体" w:eastAsia="宋体" w:cs="仿宋"/>
                <w:bCs/>
                <w:szCs w:val="21"/>
              </w:rPr>
            </w:pPr>
            <w:r>
              <w:rPr>
                <w:rFonts w:hint="eastAsia" w:ascii="宋体" w:hAnsi="宋体" w:eastAsia="宋体" w:cs="仿宋"/>
                <w:bCs/>
                <w:szCs w:val="21"/>
              </w:rPr>
              <w:t>3.</w:t>
            </w:r>
            <w:r>
              <w:rPr>
                <w:rFonts w:hint="eastAsia" w:ascii="宋体" w:hAnsi="宋体" w:eastAsia="宋体" w:cs="Calibri"/>
                <w:color w:val="000000"/>
                <w:szCs w:val="21"/>
              </w:rPr>
              <w:t>9.</w:t>
            </w:r>
            <w:r>
              <w:rPr>
                <w:rFonts w:ascii="宋体" w:hAnsi="宋体" w:eastAsia="宋体" w:cs="Calibri"/>
                <w:color w:val="000000"/>
                <w:szCs w:val="21"/>
              </w:rPr>
              <w:t>1</w:t>
            </w:r>
            <w:r>
              <w:rPr>
                <w:rFonts w:hint="eastAsia" w:ascii="宋体" w:hAnsi="宋体" w:eastAsia="宋体" w:cs="Calibri"/>
                <w:color w:val="000000"/>
                <w:szCs w:val="21"/>
              </w:rPr>
              <w:t>标杆服务</w:t>
            </w:r>
          </w:p>
        </w:tc>
        <w:tc>
          <w:tcPr>
            <w:tcW w:w="2734" w:type="pct"/>
          </w:tcPr>
          <w:p>
            <w:pPr>
              <w:spacing w:line="276" w:lineRule="auto"/>
              <w:ind w:right="63"/>
              <w:rPr>
                <w:rFonts w:ascii="宋体" w:hAnsi="宋体" w:eastAsia="宋体" w:cs="仿宋"/>
                <w:bCs/>
                <w:szCs w:val="21"/>
              </w:rPr>
            </w:pPr>
            <w:r>
              <w:rPr>
                <w:rFonts w:hint="eastAsia" w:ascii="宋体" w:hAnsi="宋体" w:eastAsia="宋体" w:cs="仿宋"/>
                <w:bCs/>
                <w:szCs w:val="21"/>
              </w:rPr>
              <w:t xml:space="preserve"> </w:t>
            </w:r>
            <w:r>
              <w:rPr>
                <w:rFonts w:ascii="宋体" w:hAnsi="宋体" w:eastAsia="宋体" w:cs="仿宋"/>
                <w:bCs/>
                <w:szCs w:val="21"/>
              </w:rPr>
              <w:t xml:space="preserve">   </w:t>
            </w:r>
            <w:r>
              <w:rPr>
                <w:rFonts w:hint="eastAsia" w:ascii="宋体" w:hAnsi="宋体" w:eastAsia="宋体" w:cs="仿宋"/>
                <w:bCs/>
                <w:szCs w:val="21"/>
              </w:rPr>
              <w:t>标杆服务包含标杆数据导入、标杆测算，标杆数据的种类包含计算标杆、外院标杆。计算标杆用来计算全院、科室和医师等的DRG指标，外院标杆可用与本院进行比较。标杆测算根据本院历史历史数据测算适合本地的病组标杆数据，标杆测算过程中为确保数据准确性，将对测算样本数据进行过滤，排除不符合测算要求，或数据值异常的坏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shd w:val="clear" w:color="auto" w:fill="auto"/>
            <w:vAlign w:val="center"/>
          </w:tcPr>
          <w:p>
            <w:pPr>
              <w:spacing w:line="276" w:lineRule="auto"/>
              <w:ind w:right="63"/>
              <w:jc w:val="left"/>
              <w:rPr>
                <w:rFonts w:ascii="宋体" w:hAnsi="宋体" w:eastAsia="宋体" w:cs="Calibri"/>
                <w:color w:val="000000"/>
                <w:szCs w:val="21"/>
              </w:rPr>
            </w:pPr>
            <w:r>
              <w:rPr>
                <w:rFonts w:hint="eastAsia" w:ascii="宋体" w:hAnsi="宋体" w:eastAsia="宋体" w:cs="仿宋"/>
                <w:bCs/>
                <w:szCs w:val="21"/>
              </w:rPr>
              <w:t>3.</w:t>
            </w:r>
            <w:r>
              <w:rPr>
                <w:rFonts w:hint="eastAsia" w:ascii="宋体" w:hAnsi="宋体" w:eastAsia="宋体" w:cs="Calibri"/>
                <w:color w:val="000000"/>
                <w:szCs w:val="21"/>
              </w:rPr>
              <w:t>10 ICD对照</w:t>
            </w:r>
          </w:p>
        </w:tc>
        <w:tc>
          <w:tcPr>
            <w:tcW w:w="1330" w:type="pct"/>
            <w:shd w:val="clear" w:color="auto" w:fill="auto"/>
            <w:vAlign w:val="center"/>
          </w:tcPr>
          <w:p>
            <w:pPr>
              <w:spacing w:line="276" w:lineRule="auto"/>
              <w:ind w:right="63"/>
              <w:rPr>
                <w:rFonts w:ascii="宋体" w:hAnsi="宋体" w:eastAsia="宋体" w:cs="仿宋"/>
                <w:bCs/>
                <w:szCs w:val="21"/>
              </w:rPr>
            </w:pPr>
            <w:r>
              <w:rPr>
                <w:rFonts w:hint="eastAsia" w:ascii="宋体" w:hAnsi="宋体" w:eastAsia="宋体" w:cs="仿宋"/>
                <w:bCs/>
                <w:szCs w:val="21"/>
              </w:rPr>
              <w:t>3.</w:t>
            </w:r>
            <w:r>
              <w:rPr>
                <w:rFonts w:hint="eastAsia" w:ascii="宋体" w:hAnsi="宋体" w:eastAsia="宋体" w:cs="Calibri"/>
                <w:color w:val="000000"/>
                <w:szCs w:val="21"/>
              </w:rPr>
              <w:t>10.1</w:t>
            </w:r>
            <w:r>
              <w:rPr>
                <w:rFonts w:ascii="宋体" w:hAnsi="宋体" w:eastAsia="宋体" w:cs="Calibri"/>
                <w:color w:val="000000"/>
                <w:szCs w:val="21"/>
              </w:rPr>
              <w:t xml:space="preserve"> </w:t>
            </w:r>
            <w:r>
              <w:rPr>
                <w:rFonts w:hint="eastAsia" w:ascii="宋体" w:hAnsi="宋体" w:eastAsia="宋体" w:cs="Calibri"/>
                <w:color w:val="000000"/>
                <w:szCs w:val="21"/>
              </w:rPr>
              <w:t>ICD对照</w:t>
            </w:r>
          </w:p>
        </w:tc>
        <w:tc>
          <w:tcPr>
            <w:tcW w:w="2734" w:type="pct"/>
          </w:tcPr>
          <w:p>
            <w:pPr>
              <w:pStyle w:val="76"/>
              <w:spacing w:line="360" w:lineRule="auto"/>
              <w:ind w:firstLine="440"/>
              <w:jc w:val="left"/>
              <w:rPr>
                <w:rFonts w:eastAsia="宋体"/>
                <w:sz w:val="21"/>
                <w:szCs w:val="21"/>
              </w:rPr>
            </w:pPr>
            <w:r>
              <w:rPr>
                <w:rFonts w:hint="eastAsia" w:eastAsia="宋体"/>
                <w:sz w:val="21"/>
                <w:szCs w:val="21"/>
              </w:rPr>
              <w:t>提供医院使用的疾病诊断、手术操作编码与标准</w:t>
            </w:r>
            <w:r>
              <w:rPr>
                <w:rFonts w:hint="eastAsia" w:eastAsia="宋体"/>
                <w:sz w:val="21"/>
                <w:szCs w:val="21"/>
                <w:lang w:val="en-US" w:eastAsia="zh-CN"/>
              </w:rPr>
              <w:t>ICD</w:t>
            </w:r>
            <w:r>
              <w:rPr>
                <w:rFonts w:hint="eastAsia" w:eastAsia="宋体"/>
                <w:sz w:val="21"/>
                <w:szCs w:val="21"/>
              </w:rPr>
              <w:t>字典的</w:t>
            </w:r>
            <w:r>
              <w:rPr>
                <w:rFonts w:hint="eastAsia" w:eastAsia="宋体"/>
                <w:sz w:val="21"/>
                <w:szCs w:val="21"/>
                <w:lang w:val="en-US" w:eastAsia="zh-CN"/>
              </w:rPr>
              <w:t>ICD</w:t>
            </w:r>
            <w:r>
              <w:rPr>
                <w:rFonts w:hint="eastAsia" w:eastAsia="宋体"/>
                <w:sz w:val="21"/>
                <w:szCs w:val="21"/>
              </w:rPr>
              <w:t>对照服务, 提供给用户</w:t>
            </w:r>
            <w:r>
              <w:rPr>
                <w:rFonts w:hint="eastAsia" w:eastAsia="宋体"/>
                <w:sz w:val="21"/>
                <w:szCs w:val="21"/>
                <w:lang w:val="en-US" w:eastAsia="zh-CN"/>
              </w:rPr>
              <w:t>ICD</w:t>
            </w:r>
            <w:r>
              <w:rPr>
                <w:rFonts w:hint="eastAsia" w:eastAsia="宋体"/>
                <w:sz w:val="21"/>
                <w:szCs w:val="21"/>
              </w:rPr>
              <w:t>对照结果在线自主录入添加和导入的功能页面。</w:t>
            </w:r>
          </w:p>
          <w:p>
            <w:pPr>
              <w:pStyle w:val="76"/>
              <w:spacing w:line="360" w:lineRule="auto"/>
              <w:ind w:firstLine="440"/>
              <w:jc w:val="left"/>
              <w:rPr>
                <w:rFonts w:eastAsia="宋体"/>
                <w:sz w:val="21"/>
                <w:szCs w:val="21"/>
              </w:rPr>
            </w:pPr>
            <w:r>
              <w:rPr>
                <w:rFonts w:hint="eastAsia" w:eastAsia="宋体"/>
                <w:sz w:val="21"/>
                <w:szCs w:val="21"/>
              </w:rPr>
              <w:t>系统中编码对照功能可支持医院使用的的疾病诊断、手术操作ICD编码对照到北京临床版、全国版、国家临床版等，针对未成功对照的编码系统提供快捷筛选功能。对照支持在线手动对照和对照结果文件导入两种方式。</w:t>
            </w:r>
          </w:p>
        </w:tc>
      </w:tr>
    </w:tbl>
    <w:p>
      <w:pPr>
        <w:rPr>
          <w:rFonts w:ascii="宋体" w:hAnsi="宋体"/>
        </w:rPr>
      </w:pPr>
    </w:p>
    <w:tbl>
      <w:tblPr>
        <w:tblStyle w:val="69"/>
        <w:tblpPr w:leftFromText="180" w:rightFromText="180" w:vertAnchor="text" w:tblpY="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8"/>
        <w:gridCol w:w="2470"/>
        <w:gridCol w:w="5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000" w:type="pct"/>
            <w:gridSpan w:val="3"/>
            <w:shd w:val="clear" w:color="auto" w:fill="auto"/>
            <w:vAlign w:val="center"/>
          </w:tcPr>
          <w:p>
            <w:pPr>
              <w:spacing w:line="276" w:lineRule="auto"/>
              <w:ind w:right="63"/>
              <w:rPr>
                <w:rFonts w:ascii="宋体" w:hAnsi="宋体" w:eastAsia="宋体" w:cs="仿宋"/>
                <w:b/>
                <w:sz w:val="24"/>
              </w:rPr>
            </w:pPr>
            <w:bookmarkStart w:id="1" w:name="_6.1.2、容器服务器"/>
            <w:bookmarkEnd w:id="1"/>
            <w:r>
              <w:rPr>
                <w:rFonts w:ascii="宋体" w:hAnsi="宋体" w:eastAsia="宋体" w:cs="仿宋"/>
                <w:b/>
                <w:sz w:val="24"/>
              </w:rPr>
              <w:t>4</w:t>
            </w:r>
            <w:r>
              <w:rPr>
                <w:rFonts w:hint="eastAsia" w:ascii="宋体" w:hAnsi="宋体" w:eastAsia="宋体" w:cstheme="minorBidi"/>
              </w:rPr>
              <w:t xml:space="preserve"> 、</w:t>
            </w:r>
            <w:r>
              <w:rPr>
                <w:rFonts w:hint="eastAsia" w:ascii="宋体" w:hAnsi="宋体" w:eastAsia="宋体" w:cs="仿宋"/>
                <w:b/>
                <w:sz w:val="24"/>
              </w:rPr>
              <w:t>DRG医疗质量监测模块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shd w:val="clear" w:color="auto" w:fill="auto"/>
            <w:vAlign w:val="center"/>
          </w:tcPr>
          <w:p>
            <w:pPr>
              <w:spacing w:line="276" w:lineRule="auto"/>
              <w:ind w:right="63"/>
              <w:jc w:val="left"/>
              <w:rPr>
                <w:rFonts w:ascii="宋体" w:hAnsi="宋体" w:eastAsia="宋体" w:cs="仿宋"/>
                <w:bCs/>
                <w:szCs w:val="21"/>
              </w:rPr>
            </w:pPr>
            <w:r>
              <w:rPr>
                <w:rFonts w:hint="eastAsia" w:ascii="宋体" w:hAnsi="宋体" w:eastAsia="宋体" w:cs="仿宋"/>
                <w:b/>
                <w:sz w:val="24"/>
              </w:rPr>
              <w:t>子模块</w:t>
            </w:r>
          </w:p>
        </w:tc>
        <w:tc>
          <w:tcPr>
            <w:tcW w:w="1330" w:type="pct"/>
            <w:shd w:val="clear" w:color="auto" w:fill="auto"/>
            <w:vAlign w:val="center"/>
          </w:tcPr>
          <w:p>
            <w:pPr>
              <w:spacing w:line="276" w:lineRule="auto"/>
              <w:ind w:right="63"/>
              <w:rPr>
                <w:rFonts w:ascii="宋体" w:hAnsi="宋体" w:eastAsia="宋体" w:cs="仿宋"/>
                <w:bCs/>
                <w:szCs w:val="21"/>
              </w:rPr>
            </w:pPr>
            <w:r>
              <w:rPr>
                <w:rFonts w:hint="eastAsia" w:ascii="宋体" w:hAnsi="宋体" w:eastAsia="宋体" w:cs="仿宋"/>
                <w:b/>
                <w:sz w:val="24"/>
              </w:rPr>
              <w:t>功能需求</w:t>
            </w:r>
          </w:p>
        </w:tc>
        <w:tc>
          <w:tcPr>
            <w:tcW w:w="2734" w:type="pct"/>
          </w:tcPr>
          <w:p>
            <w:pPr>
              <w:spacing w:line="276" w:lineRule="auto"/>
              <w:ind w:right="63"/>
              <w:rPr>
                <w:rFonts w:ascii="宋体" w:hAnsi="宋体" w:eastAsia="宋体" w:cs="仿宋"/>
                <w:bCs/>
                <w:szCs w:val="21"/>
              </w:rPr>
            </w:pPr>
            <w:r>
              <w:rPr>
                <w:rFonts w:hint="eastAsia" w:ascii="宋体" w:hAnsi="宋体" w:eastAsia="宋体" w:cs="仿宋"/>
                <w:b/>
                <w:sz w:val="24"/>
              </w:rPr>
              <w:t>功能需求描述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Merge w:val="restart"/>
            <w:shd w:val="clear" w:color="auto" w:fill="auto"/>
            <w:vAlign w:val="center"/>
          </w:tcPr>
          <w:p>
            <w:pPr>
              <w:spacing w:line="276" w:lineRule="auto"/>
              <w:ind w:right="63"/>
              <w:jc w:val="left"/>
              <w:rPr>
                <w:rFonts w:ascii="宋体" w:hAnsi="宋体" w:eastAsia="宋体" w:cs="仿宋"/>
                <w:bCs/>
                <w:szCs w:val="21"/>
              </w:rPr>
            </w:pPr>
            <w:r>
              <w:rPr>
                <w:rFonts w:hint="eastAsia" w:ascii="宋体" w:hAnsi="宋体" w:eastAsia="宋体" w:cs="仿宋"/>
                <w:bCs/>
                <w:szCs w:val="21"/>
              </w:rPr>
              <w:t>4.1公立医院绩效考核</w:t>
            </w:r>
          </w:p>
        </w:tc>
        <w:tc>
          <w:tcPr>
            <w:tcW w:w="1330" w:type="pct"/>
            <w:shd w:val="clear" w:color="auto" w:fill="auto"/>
            <w:vAlign w:val="center"/>
          </w:tcPr>
          <w:p>
            <w:pPr>
              <w:spacing w:line="276" w:lineRule="auto"/>
              <w:ind w:right="63"/>
              <w:rPr>
                <w:rFonts w:ascii="宋体" w:hAnsi="宋体" w:eastAsia="宋体" w:cs="仿宋"/>
                <w:bCs/>
                <w:szCs w:val="21"/>
              </w:rPr>
            </w:pPr>
            <w:r>
              <w:rPr>
                <w:rFonts w:hint="eastAsia" w:ascii="宋体" w:hAnsi="宋体" w:eastAsia="宋体" w:cs="仿宋"/>
                <w:bCs/>
                <w:szCs w:val="21"/>
              </w:rPr>
              <w:t>4.</w:t>
            </w:r>
            <w:r>
              <w:rPr>
                <w:rFonts w:hint="eastAsia" w:ascii="宋体" w:hAnsi="宋体" w:eastAsia="宋体" w:cs="Calibri"/>
                <w:color w:val="000000"/>
                <w:sz w:val="22"/>
                <w:szCs w:val="22"/>
              </w:rPr>
              <w:t>1.1病案首页相关三级公立医院考核指标</w:t>
            </w:r>
          </w:p>
        </w:tc>
        <w:tc>
          <w:tcPr>
            <w:tcW w:w="2734" w:type="pct"/>
          </w:tcPr>
          <w:p>
            <w:pPr>
              <w:spacing w:line="276" w:lineRule="auto"/>
              <w:ind w:right="63"/>
              <w:rPr>
                <w:rFonts w:ascii="宋体" w:hAnsi="宋体" w:eastAsia="宋体" w:cs="仿宋"/>
                <w:bCs/>
                <w:szCs w:val="21"/>
              </w:rPr>
            </w:pPr>
            <w:r>
              <w:rPr>
                <w:rFonts w:hint="eastAsia" w:ascii="宋体" w:hAnsi="宋体" w:eastAsia="宋体" w:cs="仿宋"/>
                <w:bCs/>
                <w:szCs w:val="21"/>
              </w:rPr>
              <w:t xml:space="preserve"> </w:t>
            </w:r>
            <w:r>
              <w:rPr>
                <w:rFonts w:ascii="宋体" w:hAnsi="宋体" w:eastAsia="宋体" w:cs="仿宋"/>
                <w:bCs/>
                <w:szCs w:val="21"/>
              </w:rPr>
              <w:t xml:space="preserve">   </w:t>
            </w:r>
            <w:r>
              <w:rPr>
                <w:rFonts w:hint="eastAsia" w:ascii="宋体" w:hAnsi="宋体" w:eastAsia="宋体" w:cs="仿宋"/>
                <w:bCs/>
                <w:szCs w:val="21"/>
              </w:rPr>
              <w:t>统计全院和各个科室三级公立医院考核的相关指标，例如：日间手术占择期手术占比、I类切口等级、微创手术占比、手术病例占比、四级手术占比、低风险死亡率、手术并发症等，并统计同期、上期比较情况。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Merge w:val="continue"/>
            <w:shd w:val="clear" w:color="auto" w:fill="auto"/>
            <w:vAlign w:val="center"/>
          </w:tcPr>
          <w:p>
            <w:pPr>
              <w:spacing w:line="276" w:lineRule="auto"/>
              <w:ind w:right="63"/>
              <w:jc w:val="left"/>
              <w:rPr>
                <w:rFonts w:ascii="宋体" w:hAnsi="宋体" w:eastAsia="宋体" w:cs="仿宋"/>
                <w:bCs/>
                <w:szCs w:val="21"/>
              </w:rPr>
            </w:pPr>
          </w:p>
        </w:tc>
        <w:tc>
          <w:tcPr>
            <w:tcW w:w="1330" w:type="pct"/>
            <w:shd w:val="clear" w:color="auto" w:fill="auto"/>
            <w:vAlign w:val="center"/>
          </w:tcPr>
          <w:p>
            <w:pPr>
              <w:spacing w:line="276" w:lineRule="auto"/>
              <w:ind w:right="63"/>
              <w:rPr>
                <w:rFonts w:ascii="宋体" w:hAnsi="宋体" w:eastAsia="宋体" w:cs="仿宋"/>
                <w:bCs/>
                <w:szCs w:val="21"/>
              </w:rPr>
            </w:pPr>
            <w:r>
              <w:rPr>
                <w:rFonts w:hint="eastAsia" w:ascii="宋体" w:hAnsi="宋体" w:eastAsia="宋体" w:cs="仿宋"/>
                <w:bCs/>
                <w:szCs w:val="21"/>
              </w:rPr>
              <w:t>4.</w:t>
            </w:r>
            <w:r>
              <w:rPr>
                <w:rFonts w:hint="eastAsia" w:ascii="宋体" w:hAnsi="宋体" w:eastAsia="宋体" w:cs="Calibri"/>
                <w:color w:val="000000"/>
                <w:sz w:val="22"/>
                <w:szCs w:val="22"/>
              </w:rPr>
              <w:t>1.2三级公立医院DRG指标分析</w:t>
            </w:r>
          </w:p>
        </w:tc>
        <w:tc>
          <w:tcPr>
            <w:tcW w:w="2734" w:type="pct"/>
          </w:tcPr>
          <w:p>
            <w:pPr>
              <w:spacing w:line="276" w:lineRule="auto"/>
              <w:ind w:right="63"/>
              <w:rPr>
                <w:rFonts w:ascii="宋体" w:hAnsi="宋体" w:eastAsia="宋体" w:cs="仿宋"/>
                <w:bCs/>
                <w:szCs w:val="21"/>
              </w:rPr>
            </w:pPr>
            <w:r>
              <w:rPr>
                <w:rFonts w:hint="eastAsia" w:ascii="宋体" w:hAnsi="宋体" w:eastAsia="宋体" w:cs="仿宋"/>
                <w:bCs/>
                <w:szCs w:val="21"/>
              </w:rPr>
              <w:t xml:space="preserve"> </w:t>
            </w:r>
            <w:r>
              <w:rPr>
                <w:rFonts w:ascii="宋体" w:hAnsi="宋体" w:eastAsia="宋体" w:cs="仿宋"/>
                <w:bCs/>
                <w:szCs w:val="21"/>
              </w:rPr>
              <w:t xml:space="preserve">   </w:t>
            </w:r>
            <w:r>
              <w:rPr>
                <w:rFonts w:hint="eastAsia" w:ascii="宋体" w:hAnsi="宋体" w:eastAsia="宋体" w:cs="仿宋"/>
                <w:bCs/>
                <w:szCs w:val="21"/>
              </w:rPr>
              <w:t>提供国家标准DRG分组器，且在此基础上根据医院的需求调整出一个符合医院本地区的D</w:t>
            </w:r>
            <w:r>
              <w:rPr>
                <w:rFonts w:ascii="宋体" w:hAnsi="宋体" w:eastAsia="宋体" w:cs="仿宋"/>
                <w:bCs/>
                <w:szCs w:val="21"/>
              </w:rPr>
              <w:t>RG</w:t>
            </w:r>
            <w:r>
              <w:rPr>
                <w:rFonts w:hint="eastAsia" w:ascii="宋体" w:hAnsi="宋体" w:eastAsia="宋体" w:cs="仿宋"/>
                <w:bCs/>
                <w:szCs w:val="21"/>
              </w:rPr>
              <w:t>分组器来满足国家和当地DRG分组分析。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Merge w:val="continue"/>
            <w:shd w:val="clear" w:color="auto" w:fill="auto"/>
            <w:vAlign w:val="center"/>
          </w:tcPr>
          <w:p>
            <w:pPr>
              <w:spacing w:line="276" w:lineRule="auto"/>
              <w:ind w:right="63"/>
              <w:jc w:val="left"/>
              <w:rPr>
                <w:rFonts w:ascii="宋体" w:hAnsi="宋体" w:eastAsia="宋体" w:cs="仿宋"/>
                <w:bCs/>
                <w:szCs w:val="21"/>
              </w:rPr>
            </w:pPr>
          </w:p>
        </w:tc>
        <w:tc>
          <w:tcPr>
            <w:tcW w:w="1330" w:type="pct"/>
            <w:shd w:val="clear" w:color="auto" w:fill="auto"/>
            <w:vAlign w:val="center"/>
          </w:tcPr>
          <w:p>
            <w:pPr>
              <w:spacing w:line="276" w:lineRule="auto"/>
              <w:ind w:right="63"/>
              <w:rPr>
                <w:rFonts w:ascii="宋体" w:hAnsi="宋体" w:eastAsia="宋体" w:cs="仿宋"/>
                <w:bCs/>
                <w:szCs w:val="21"/>
              </w:rPr>
            </w:pPr>
            <w:r>
              <w:rPr>
                <w:rFonts w:hint="eastAsia" w:ascii="宋体" w:hAnsi="宋体" w:eastAsia="宋体" w:cs="仿宋"/>
                <w:bCs/>
                <w:szCs w:val="21"/>
              </w:rPr>
              <w:t>4.</w:t>
            </w:r>
            <w:r>
              <w:rPr>
                <w:rFonts w:hint="eastAsia" w:ascii="宋体" w:hAnsi="宋体" w:eastAsia="宋体" w:cs="Calibri"/>
                <w:color w:val="000000"/>
                <w:sz w:val="22"/>
                <w:szCs w:val="22"/>
              </w:rPr>
              <w:t>1.3三级公立医院单病种分析</w:t>
            </w:r>
          </w:p>
        </w:tc>
        <w:tc>
          <w:tcPr>
            <w:tcW w:w="2734" w:type="pct"/>
          </w:tcPr>
          <w:p>
            <w:pPr>
              <w:spacing w:line="276" w:lineRule="auto"/>
              <w:ind w:right="63"/>
              <w:rPr>
                <w:rFonts w:ascii="宋体" w:hAnsi="宋体" w:eastAsia="宋体" w:cs="仿宋"/>
                <w:bCs/>
                <w:szCs w:val="21"/>
              </w:rPr>
            </w:pPr>
            <w:r>
              <w:rPr>
                <w:rFonts w:hint="eastAsia" w:ascii="宋体" w:hAnsi="宋体" w:eastAsia="宋体" w:cs="仿宋"/>
                <w:bCs/>
                <w:szCs w:val="21"/>
              </w:rPr>
              <w:t xml:space="preserve"> </w:t>
            </w:r>
            <w:r>
              <w:rPr>
                <w:rFonts w:ascii="宋体" w:hAnsi="宋体" w:eastAsia="宋体" w:cs="仿宋"/>
                <w:bCs/>
                <w:szCs w:val="21"/>
              </w:rPr>
              <w:t xml:space="preserve">   </w:t>
            </w:r>
            <w:r>
              <w:rPr>
                <w:rFonts w:hint="eastAsia" w:ascii="宋体" w:hAnsi="宋体" w:eastAsia="宋体" w:cs="仿宋"/>
                <w:bCs/>
                <w:szCs w:val="21"/>
              </w:rPr>
              <w:t>根据单病种分组标准对病例进行单病种归类并提供各单病种出院病例数、平均住院日、次均费用和死亡率指标的本期值、同期值和上期值等数据。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Merge w:val="restart"/>
            <w:shd w:val="clear" w:color="auto" w:fill="auto"/>
            <w:vAlign w:val="center"/>
          </w:tcPr>
          <w:p>
            <w:pPr>
              <w:spacing w:line="276" w:lineRule="auto"/>
              <w:ind w:right="63"/>
              <w:jc w:val="left"/>
              <w:rPr>
                <w:rFonts w:ascii="宋体" w:hAnsi="宋体" w:eastAsia="宋体" w:cs="仿宋"/>
                <w:bCs/>
                <w:szCs w:val="21"/>
              </w:rPr>
            </w:pPr>
            <w:r>
              <w:rPr>
                <w:rFonts w:hint="eastAsia" w:ascii="宋体" w:hAnsi="宋体" w:eastAsia="宋体" w:cs="仿宋"/>
                <w:bCs/>
                <w:szCs w:val="21"/>
              </w:rPr>
              <w:t>4.2科室管理</w:t>
            </w:r>
          </w:p>
        </w:tc>
        <w:tc>
          <w:tcPr>
            <w:tcW w:w="1330" w:type="pct"/>
            <w:shd w:val="clear" w:color="auto" w:fill="auto"/>
            <w:vAlign w:val="center"/>
          </w:tcPr>
          <w:p>
            <w:pPr>
              <w:spacing w:line="276" w:lineRule="auto"/>
              <w:ind w:right="63"/>
              <w:rPr>
                <w:rFonts w:ascii="宋体" w:hAnsi="宋体" w:eastAsia="宋体" w:cs="仿宋"/>
                <w:bCs/>
                <w:szCs w:val="21"/>
              </w:rPr>
            </w:pPr>
            <w:r>
              <w:rPr>
                <w:rFonts w:hint="eastAsia" w:ascii="宋体" w:hAnsi="宋体" w:eastAsia="宋体" w:cs="Calibri"/>
                <w:color w:val="000000"/>
                <w:sz w:val="22"/>
                <w:szCs w:val="22"/>
              </w:rPr>
              <w:t>4.2.1科室绩效评价</w:t>
            </w:r>
          </w:p>
        </w:tc>
        <w:tc>
          <w:tcPr>
            <w:tcW w:w="2734" w:type="pct"/>
          </w:tcPr>
          <w:p>
            <w:pPr>
              <w:spacing w:line="276" w:lineRule="auto"/>
              <w:ind w:right="63"/>
              <w:rPr>
                <w:rFonts w:ascii="宋体" w:hAnsi="宋体" w:eastAsia="宋体" w:cs="仿宋"/>
                <w:bCs/>
                <w:szCs w:val="21"/>
              </w:rPr>
            </w:pPr>
            <w:r>
              <w:rPr>
                <w:rFonts w:hint="eastAsia" w:ascii="宋体" w:hAnsi="宋体" w:eastAsia="宋体" w:cs="仿宋"/>
                <w:bCs/>
                <w:szCs w:val="21"/>
              </w:rPr>
              <w:t xml:space="preserve"> </w:t>
            </w:r>
            <w:r>
              <w:rPr>
                <w:rFonts w:ascii="宋体" w:hAnsi="宋体" w:eastAsia="宋体" w:cs="仿宋"/>
                <w:bCs/>
                <w:szCs w:val="21"/>
              </w:rPr>
              <w:t xml:space="preserve">   </w:t>
            </w:r>
            <w:r>
              <w:rPr>
                <w:rFonts w:hint="eastAsia" w:ascii="宋体" w:hAnsi="宋体" w:eastAsia="宋体" w:cs="仿宋"/>
                <w:bCs/>
                <w:szCs w:val="21"/>
              </w:rPr>
              <w:t>建立新的绩效考核评价指标体系，降低原有指标体系中部分指标的分值或占比，在医院现有科室绩效考核方案中引入DRG指标，使绩效考核方案中住院病例的考核更加科学、合理、有可比性。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Merge w:val="continue"/>
            <w:shd w:val="clear" w:color="auto" w:fill="auto"/>
            <w:vAlign w:val="center"/>
          </w:tcPr>
          <w:p>
            <w:pPr>
              <w:spacing w:line="276" w:lineRule="auto"/>
              <w:ind w:right="63"/>
              <w:jc w:val="left"/>
              <w:rPr>
                <w:rFonts w:ascii="宋体" w:hAnsi="宋体" w:eastAsia="宋体" w:cs="仿宋"/>
                <w:bCs/>
                <w:szCs w:val="21"/>
              </w:rPr>
            </w:pPr>
          </w:p>
        </w:tc>
        <w:tc>
          <w:tcPr>
            <w:tcW w:w="1330" w:type="pct"/>
            <w:shd w:val="clear" w:color="auto" w:fill="auto"/>
            <w:vAlign w:val="center"/>
          </w:tcPr>
          <w:p>
            <w:pPr>
              <w:spacing w:line="276" w:lineRule="auto"/>
              <w:ind w:right="63"/>
              <w:rPr>
                <w:rFonts w:ascii="宋体" w:hAnsi="宋体" w:eastAsia="宋体" w:cs="仿宋"/>
                <w:bCs/>
                <w:szCs w:val="21"/>
              </w:rPr>
            </w:pPr>
            <w:r>
              <w:rPr>
                <w:rFonts w:hint="eastAsia" w:ascii="宋体" w:hAnsi="宋体" w:eastAsia="宋体" w:cs="Calibri"/>
                <w:color w:val="000000"/>
                <w:sz w:val="22"/>
                <w:szCs w:val="22"/>
              </w:rPr>
              <w:t>4.2.2科室指标监测</w:t>
            </w:r>
          </w:p>
        </w:tc>
        <w:tc>
          <w:tcPr>
            <w:tcW w:w="2734" w:type="pct"/>
          </w:tcPr>
          <w:p>
            <w:pPr>
              <w:spacing w:after="120" w:line="360" w:lineRule="auto"/>
              <w:ind w:firstLine="420" w:firstLineChars="200"/>
              <w:rPr>
                <w:rFonts w:ascii="宋体" w:hAnsi="宋体" w:eastAsia="宋体" w:cstheme="minorBidi"/>
                <w:szCs w:val="21"/>
              </w:rPr>
            </w:pPr>
            <w:r>
              <w:rPr>
                <w:rFonts w:hint="eastAsia" w:ascii="宋体" w:hAnsi="宋体" w:eastAsia="宋体" w:cs="宋体"/>
                <w:szCs w:val="21"/>
                <w:lang w:val="zh-TW" w:eastAsia="zh-TW" w:bidi="zh-TW"/>
              </w:rPr>
              <w:t>根据自定义查询，查看指标结果和比较变化情况，系统提供按照院内组织机构监测和按病种监测两种方式。支持在各层级向上合并数据结果查询，通过下钻的方式监测查询时间段内院级、科室级、主诊组和各级别医师等组织机构的指标，且每个组织结构层级支持病案首页详情的钻取，方便具体病例问题的分析，显示组织机构本期值与同期值、上期值、标杆值、绩效值等的比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Merge w:val="continue"/>
            <w:shd w:val="clear" w:color="auto" w:fill="auto"/>
            <w:vAlign w:val="center"/>
          </w:tcPr>
          <w:p>
            <w:pPr>
              <w:spacing w:line="276" w:lineRule="auto"/>
              <w:ind w:right="63"/>
              <w:jc w:val="left"/>
              <w:rPr>
                <w:rFonts w:ascii="宋体" w:hAnsi="宋体" w:eastAsia="宋体" w:cs="仿宋"/>
                <w:bCs/>
                <w:szCs w:val="21"/>
              </w:rPr>
            </w:pPr>
          </w:p>
        </w:tc>
        <w:tc>
          <w:tcPr>
            <w:tcW w:w="1330" w:type="pct"/>
            <w:shd w:val="clear" w:color="auto" w:fill="auto"/>
            <w:vAlign w:val="center"/>
          </w:tcPr>
          <w:p>
            <w:pPr>
              <w:spacing w:line="276" w:lineRule="auto"/>
              <w:ind w:right="63"/>
              <w:rPr>
                <w:rFonts w:ascii="宋体" w:hAnsi="宋体" w:eastAsia="宋体" w:cs="仿宋"/>
                <w:bCs/>
                <w:szCs w:val="21"/>
              </w:rPr>
            </w:pPr>
            <w:r>
              <w:rPr>
                <w:rFonts w:hint="eastAsia" w:ascii="宋体" w:hAnsi="宋体" w:eastAsia="宋体" w:cs="Calibri"/>
                <w:color w:val="000000"/>
                <w:sz w:val="22"/>
                <w:szCs w:val="22"/>
              </w:rPr>
              <w:t>4.2.3各科室及全院各指标监测</w:t>
            </w:r>
          </w:p>
        </w:tc>
        <w:tc>
          <w:tcPr>
            <w:tcW w:w="2734" w:type="pct"/>
          </w:tcPr>
          <w:p>
            <w:pPr>
              <w:spacing w:after="120" w:line="360" w:lineRule="auto"/>
              <w:ind w:firstLine="420" w:firstLineChars="200"/>
              <w:rPr>
                <w:rFonts w:ascii="宋体" w:hAnsi="宋体" w:eastAsia="宋体" w:cstheme="minorBidi"/>
                <w:szCs w:val="21"/>
              </w:rPr>
            </w:pPr>
            <w:r>
              <w:rPr>
                <w:rFonts w:hint="eastAsia" w:ascii="宋体" w:hAnsi="宋体" w:eastAsia="宋体" w:cs="宋体"/>
                <w:szCs w:val="21"/>
                <w:lang w:val="zh-TW" w:eastAsia="zh-TW" w:bidi="zh-TW"/>
              </w:rPr>
              <w:t>支持全院和各个科室所有指标统计结果查看和导出，展示指标与同期、上期、管理目标值、标杆值不同比较类型的对比情况。页面中指标的展示用户可以进行可视化配置，可以勾选日常想要看到的指标项，监测结果支持数据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Merge w:val="continue"/>
            <w:shd w:val="clear" w:color="auto" w:fill="auto"/>
            <w:vAlign w:val="center"/>
          </w:tcPr>
          <w:p>
            <w:pPr>
              <w:spacing w:line="276" w:lineRule="auto"/>
              <w:ind w:right="63"/>
              <w:jc w:val="left"/>
              <w:rPr>
                <w:rFonts w:ascii="宋体" w:hAnsi="宋体" w:eastAsia="宋体" w:cs="仿宋"/>
                <w:bCs/>
                <w:szCs w:val="21"/>
              </w:rPr>
            </w:pPr>
          </w:p>
        </w:tc>
        <w:tc>
          <w:tcPr>
            <w:tcW w:w="1330" w:type="pct"/>
            <w:shd w:val="clear" w:color="auto" w:fill="auto"/>
            <w:vAlign w:val="center"/>
          </w:tcPr>
          <w:p>
            <w:pPr>
              <w:spacing w:line="276" w:lineRule="auto"/>
              <w:ind w:right="63"/>
              <w:rPr>
                <w:rFonts w:ascii="宋体" w:hAnsi="宋体" w:eastAsia="宋体" w:cs="仿宋"/>
                <w:bCs/>
                <w:szCs w:val="21"/>
              </w:rPr>
            </w:pPr>
            <w:r>
              <w:rPr>
                <w:rFonts w:hint="eastAsia" w:ascii="宋体" w:hAnsi="宋体" w:eastAsia="宋体" w:cs="Calibri"/>
                <w:color w:val="000000"/>
                <w:sz w:val="22"/>
                <w:szCs w:val="22"/>
              </w:rPr>
              <w:t>4.2.4科室指标趋势分析</w:t>
            </w:r>
          </w:p>
        </w:tc>
        <w:tc>
          <w:tcPr>
            <w:tcW w:w="2734" w:type="pct"/>
          </w:tcPr>
          <w:p>
            <w:pPr>
              <w:spacing w:after="120" w:line="360" w:lineRule="auto"/>
              <w:ind w:firstLine="420" w:firstLineChars="200"/>
              <w:rPr>
                <w:rFonts w:ascii="宋体" w:hAnsi="宋体" w:eastAsia="宋体" w:cstheme="minorBidi"/>
                <w:szCs w:val="21"/>
              </w:rPr>
            </w:pPr>
            <w:r>
              <w:rPr>
                <w:rFonts w:hint="eastAsia" w:ascii="宋体" w:hAnsi="宋体" w:eastAsia="宋体" w:cs="宋体"/>
                <w:szCs w:val="21"/>
                <w:lang w:val="zh-TW" w:eastAsia="zh-TW" w:bidi="zh-TW"/>
              </w:rPr>
              <w:t>支持查看任意时间段内任意科室、任意指标的变化趋势、同比和环比情况，并以左侧趋势图，右侧数据表格的形式进行展示，在表格中同时显示指标本期值、环比增长率、同期值、同比增长率。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Merge w:val="continue"/>
            <w:shd w:val="clear" w:color="auto" w:fill="auto"/>
            <w:vAlign w:val="center"/>
          </w:tcPr>
          <w:p>
            <w:pPr>
              <w:spacing w:line="276" w:lineRule="auto"/>
              <w:ind w:right="63"/>
              <w:jc w:val="left"/>
              <w:rPr>
                <w:rFonts w:ascii="宋体" w:hAnsi="宋体" w:eastAsia="宋体" w:cs="仿宋"/>
                <w:bCs/>
                <w:szCs w:val="21"/>
              </w:rPr>
            </w:pPr>
          </w:p>
        </w:tc>
        <w:tc>
          <w:tcPr>
            <w:tcW w:w="1330" w:type="pct"/>
            <w:shd w:val="clear" w:color="auto" w:fill="auto"/>
            <w:vAlign w:val="center"/>
          </w:tcPr>
          <w:p>
            <w:pPr>
              <w:spacing w:line="276" w:lineRule="auto"/>
              <w:ind w:right="63"/>
              <w:rPr>
                <w:rFonts w:ascii="宋体" w:hAnsi="宋体" w:eastAsia="宋体" w:cs="仿宋"/>
                <w:bCs/>
                <w:szCs w:val="21"/>
              </w:rPr>
            </w:pPr>
            <w:r>
              <w:rPr>
                <w:rFonts w:hint="eastAsia" w:ascii="宋体" w:hAnsi="宋体" w:eastAsia="宋体" w:cs="Calibri"/>
                <w:color w:val="000000"/>
                <w:sz w:val="22"/>
                <w:szCs w:val="22"/>
              </w:rPr>
              <w:t>4.2.5科室病历区间分布</w:t>
            </w:r>
          </w:p>
        </w:tc>
        <w:tc>
          <w:tcPr>
            <w:tcW w:w="2734" w:type="pct"/>
          </w:tcPr>
          <w:p>
            <w:pPr>
              <w:spacing w:line="276" w:lineRule="auto"/>
              <w:ind w:right="63"/>
              <w:rPr>
                <w:rFonts w:ascii="宋体" w:hAnsi="宋体" w:eastAsia="宋体" w:cs="仿宋"/>
                <w:bCs/>
                <w:szCs w:val="21"/>
                <w:lang w:eastAsia="zh-TW"/>
              </w:rPr>
            </w:pPr>
            <w:r>
              <w:rPr>
                <w:rFonts w:hint="eastAsia" w:ascii="宋体" w:hAnsi="宋体" w:eastAsia="宋体" w:cs="仿宋"/>
                <w:bCs/>
                <w:szCs w:val="21"/>
              </w:rPr>
              <w:t xml:space="preserve"> </w:t>
            </w:r>
            <w:r>
              <w:rPr>
                <w:rFonts w:ascii="宋体" w:hAnsi="宋体" w:eastAsia="宋体" w:cs="仿宋"/>
                <w:bCs/>
                <w:szCs w:val="21"/>
              </w:rPr>
              <w:t xml:space="preserve">   </w:t>
            </w:r>
            <w:r>
              <w:rPr>
                <w:rFonts w:hint="eastAsia" w:ascii="宋体" w:hAnsi="宋体" w:eastAsia="宋体" w:cs="仿宋"/>
                <w:bCs/>
                <w:szCs w:val="21"/>
                <w:lang w:eastAsia="zh-TW"/>
              </w:rPr>
              <w:t>系统支持选取反应医疗服务整体技术难度CMI，监测各科室不同权重区间范围内DRG病组数、病例数分布、占比情况等。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Merge w:val="continue"/>
            <w:shd w:val="clear" w:color="auto" w:fill="auto"/>
            <w:vAlign w:val="center"/>
          </w:tcPr>
          <w:p>
            <w:pPr>
              <w:spacing w:line="276" w:lineRule="auto"/>
              <w:ind w:right="63"/>
              <w:jc w:val="left"/>
              <w:rPr>
                <w:rFonts w:ascii="宋体" w:hAnsi="宋体" w:eastAsia="宋体" w:cs="仿宋"/>
                <w:bCs/>
                <w:szCs w:val="21"/>
              </w:rPr>
            </w:pPr>
          </w:p>
        </w:tc>
        <w:tc>
          <w:tcPr>
            <w:tcW w:w="1330" w:type="pct"/>
            <w:shd w:val="clear" w:color="auto" w:fill="auto"/>
            <w:vAlign w:val="center"/>
          </w:tcPr>
          <w:p>
            <w:pPr>
              <w:spacing w:line="276" w:lineRule="auto"/>
              <w:ind w:right="63"/>
              <w:rPr>
                <w:rFonts w:ascii="宋体" w:hAnsi="宋体" w:eastAsia="宋体" w:cs="仿宋"/>
                <w:bCs/>
                <w:szCs w:val="21"/>
              </w:rPr>
            </w:pPr>
            <w:r>
              <w:rPr>
                <w:rFonts w:hint="eastAsia" w:ascii="宋体" w:hAnsi="宋体" w:eastAsia="宋体" w:cs="Calibri"/>
                <w:color w:val="000000"/>
                <w:sz w:val="22"/>
                <w:szCs w:val="22"/>
              </w:rPr>
              <w:t>4.2.6科室指标象限分析</w:t>
            </w:r>
          </w:p>
        </w:tc>
        <w:tc>
          <w:tcPr>
            <w:tcW w:w="2734" w:type="pct"/>
          </w:tcPr>
          <w:p>
            <w:pPr>
              <w:spacing w:line="276" w:lineRule="auto"/>
              <w:ind w:right="63"/>
              <w:rPr>
                <w:rFonts w:ascii="宋体" w:hAnsi="宋体" w:eastAsia="宋体" w:cs="仿宋"/>
                <w:bCs/>
                <w:szCs w:val="21"/>
              </w:rPr>
            </w:pPr>
            <w:r>
              <w:rPr>
                <w:rFonts w:hint="eastAsia" w:ascii="宋体" w:hAnsi="宋体" w:eastAsia="宋体" w:cs="仿宋"/>
                <w:bCs/>
                <w:szCs w:val="21"/>
              </w:rPr>
              <w:t xml:space="preserve"> </w:t>
            </w:r>
            <w:r>
              <w:rPr>
                <w:rFonts w:ascii="宋体" w:hAnsi="宋体" w:eastAsia="宋体" w:cs="仿宋"/>
                <w:bCs/>
                <w:szCs w:val="21"/>
              </w:rPr>
              <w:t xml:space="preserve">   </w:t>
            </w:r>
            <w:r>
              <w:rPr>
                <w:rFonts w:hint="eastAsia" w:ascii="宋体" w:hAnsi="宋体" w:eastAsia="宋体" w:cs="仿宋"/>
                <w:bCs/>
                <w:szCs w:val="21"/>
              </w:rPr>
              <w:t>支持双指标对的监测，以双指标四象限图分布的形式对各科室次均费用、住院日、药占比、DRG组数、CMI、消耗指数等指标对与各自比较对象的差异的象限分布情况，帮助管理者了解各科室次均费用、平均住院日等指标在不同比较类型时的象限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Merge w:val="continue"/>
            <w:shd w:val="clear" w:color="auto" w:fill="auto"/>
            <w:vAlign w:val="center"/>
          </w:tcPr>
          <w:p>
            <w:pPr>
              <w:spacing w:line="276" w:lineRule="auto"/>
              <w:ind w:right="63"/>
              <w:jc w:val="left"/>
              <w:rPr>
                <w:rFonts w:ascii="宋体" w:hAnsi="宋体" w:eastAsia="宋体" w:cs="仿宋"/>
                <w:bCs/>
                <w:szCs w:val="21"/>
              </w:rPr>
            </w:pPr>
          </w:p>
        </w:tc>
        <w:tc>
          <w:tcPr>
            <w:tcW w:w="1330" w:type="pct"/>
            <w:shd w:val="clear" w:color="auto" w:fill="auto"/>
            <w:vAlign w:val="center"/>
          </w:tcPr>
          <w:p>
            <w:pPr>
              <w:spacing w:line="276" w:lineRule="auto"/>
              <w:ind w:right="63"/>
              <w:rPr>
                <w:rFonts w:ascii="宋体" w:hAnsi="宋体" w:eastAsia="宋体" w:cs="仿宋"/>
                <w:bCs/>
                <w:szCs w:val="21"/>
              </w:rPr>
            </w:pPr>
            <w:r>
              <w:rPr>
                <w:rFonts w:hint="eastAsia" w:ascii="宋体" w:hAnsi="宋体" w:eastAsia="宋体" w:cs="Calibri"/>
                <w:color w:val="000000"/>
                <w:sz w:val="22"/>
                <w:szCs w:val="22"/>
              </w:rPr>
              <w:t>4.2.7科室费用构成</w:t>
            </w:r>
          </w:p>
        </w:tc>
        <w:tc>
          <w:tcPr>
            <w:tcW w:w="2734" w:type="pct"/>
          </w:tcPr>
          <w:p>
            <w:pPr>
              <w:spacing w:line="276" w:lineRule="auto"/>
              <w:ind w:right="63"/>
              <w:rPr>
                <w:rFonts w:ascii="宋体" w:hAnsi="宋体" w:eastAsia="宋体" w:cs="仿宋"/>
                <w:bCs/>
                <w:szCs w:val="21"/>
              </w:rPr>
            </w:pPr>
            <w:r>
              <w:rPr>
                <w:rFonts w:hint="eastAsia" w:ascii="宋体" w:hAnsi="宋体" w:eastAsia="宋体" w:cs="仿宋"/>
                <w:bCs/>
                <w:szCs w:val="21"/>
              </w:rPr>
              <w:t xml:space="preserve"> </w:t>
            </w:r>
            <w:r>
              <w:rPr>
                <w:rFonts w:ascii="宋体" w:hAnsi="宋体" w:eastAsia="宋体" w:cs="仿宋"/>
                <w:bCs/>
                <w:szCs w:val="21"/>
              </w:rPr>
              <w:t xml:space="preserve">   </w:t>
            </w:r>
            <w:r>
              <w:rPr>
                <w:rFonts w:hint="eastAsia" w:ascii="宋体" w:hAnsi="宋体" w:eastAsia="宋体" w:cs="仿宋"/>
                <w:bCs/>
                <w:szCs w:val="21"/>
              </w:rPr>
              <w:t>科室费用基于分类对医院、科室、主诊组以及DRG病组各个层级费用平均值的构成进行监测分析。通过与标杆数据的对比，标识出超标的费用类别，可查看费用超标的患者、对费用超标的患者与费用未超标的患者进行费用差异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Merge w:val="restart"/>
            <w:shd w:val="clear" w:color="auto" w:fill="auto"/>
            <w:vAlign w:val="center"/>
          </w:tcPr>
          <w:p>
            <w:pPr>
              <w:spacing w:line="276" w:lineRule="auto"/>
              <w:ind w:right="63"/>
              <w:jc w:val="left"/>
              <w:rPr>
                <w:rFonts w:ascii="宋体" w:hAnsi="宋体" w:eastAsia="宋体" w:cs="仿宋"/>
                <w:bCs/>
                <w:szCs w:val="21"/>
              </w:rPr>
            </w:pPr>
            <w:r>
              <w:rPr>
                <w:rFonts w:hint="eastAsia" w:ascii="宋体" w:hAnsi="宋体" w:eastAsia="宋体" w:cs="仿宋"/>
                <w:bCs/>
                <w:szCs w:val="21"/>
              </w:rPr>
              <w:t>4.3病组管理</w:t>
            </w:r>
          </w:p>
        </w:tc>
        <w:tc>
          <w:tcPr>
            <w:tcW w:w="1330" w:type="pct"/>
            <w:shd w:val="clear" w:color="auto" w:fill="auto"/>
            <w:vAlign w:val="center"/>
          </w:tcPr>
          <w:p>
            <w:pPr>
              <w:spacing w:line="276" w:lineRule="auto"/>
              <w:ind w:right="63"/>
              <w:rPr>
                <w:rFonts w:ascii="宋体" w:hAnsi="宋体" w:eastAsia="宋体" w:cs="仿宋"/>
                <w:bCs/>
                <w:szCs w:val="21"/>
              </w:rPr>
            </w:pPr>
            <w:r>
              <w:rPr>
                <w:rFonts w:hint="eastAsia" w:ascii="宋体" w:hAnsi="宋体" w:eastAsia="宋体" w:cs="Calibri"/>
                <w:color w:val="000000"/>
                <w:sz w:val="22"/>
                <w:szCs w:val="22"/>
              </w:rPr>
              <w:t>4.3.1病组指标监测</w:t>
            </w:r>
          </w:p>
        </w:tc>
        <w:tc>
          <w:tcPr>
            <w:tcW w:w="2734" w:type="pct"/>
          </w:tcPr>
          <w:p>
            <w:pPr>
              <w:spacing w:line="276" w:lineRule="auto"/>
              <w:ind w:right="63"/>
              <w:rPr>
                <w:rFonts w:ascii="宋体" w:hAnsi="宋体" w:eastAsia="宋体" w:cs="仿宋"/>
                <w:bCs/>
                <w:szCs w:val="21"/>
              </w:rPr>
            </w:pPr>
            <w:r>
              <w:rPr>
                <w:rFonts w:hint="eastAsia" w:ascii="宋体" w:hAnsi="宋体" w:eastAsia="宋体" w:cs="仿宋"/>
                <w:bCs/>
                <w:szCs w:val="21"/>
              </w:rPr>
              <w:t xml:space="preserve"> </w:t>
            </w:r>
            <w:r>
              <w:rPr>
                <w:rFonts w:ascii="宋体" w:hAnsi="宋体" w:eastAsia="宋体" w:cs="仿宋"/>
                <w:bCs/>
                <w:szCs w:val="21"/>
              </w:rPr>
              <w:t xml:space="preserve">   </w:t>
            </w:r>
            <w:r>
              <w:rPr>
                <w:rFonts w:hint="eastAsia" w:ascii="宋体" w:hAnsi="宋体" w:eastAsia="宋体" w:cs="仿宋"/>
                <w:bCs/>
                <w:szCs w:val="21"/>
              </w:rPr>
              <w:t>系统可以查看指标结果及与同期值、上期值、标杆值、绩效值等不同类型比较值的差距比较变化情况，指标分为常规指标和DRG指标，通过切换页签的方式分别展示这两类指标。可以实现病组与科室间的交互查询，查看科室所覆盖的DRG病组指标分析以及从病组到科室的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Merge w:val="continue"/>
            <w:shd w:val="clear" w:color="auto" w:fill="auto"/>
            <w:vAlign w:val="center"/>
          </w:tcPr>
          <w:p>
            <w:pPr>
              <w:spacing w:line="276" w:lineRule="auto"/>
              <w:ind w:right="63"/>
              <w:jc w:val="left"/>
              <w:rPr>
                <w:rFonts w:ascii="宋体" w:hAnsi="宋体" w:eastAsia="宋体" w:cs="仿宋"/>
                <w:bCs/>
                <w:szCs w:val="21"/>
              </w:rPr>
            </w:pPr>
          </w:p>
        </w:tc>
        <w:tc>
          <w:tcPr>
            <w:tcW w:w="1330" w:type="pct"/>
            <w:shd w:val="clear" w:color="auto" w:fill="auto"/>
            <w:vAlign w:val="center"/>
          </w:tcPr>
          <w:p>
            <w:pPr>
              <w:spacing w:line="276" w:lineRule="auto"/>
              <w:ind w:right="63"/>
              <w:rPr>
                <w:rFonts w:ascii="宋体" w:hAnsi="宋体" w:eastAsia="宋体" w:cs="仿宋"/>
                <w:bCs/>
                <w:szCs w:val="21"/>
              </w:rPr>
            </w:pPr>
            <w:r>
              <w:rPr>
                <w:rFonts w:hint="eastAsia" w:ascii="宋体" w:hAnsi="宋体" w:eastAsia="宋体" w:cs="Calibri"/>
                <w:color w:val="000000"/>
                <w:sz w:val="22"/>
                <w:szCs w:val="22"/>
              </w:rPr>
              <w:t>4.3.2病组指标象限分析</w:t>
            </w:r>
          </w:p>
        </w:tc>
        <w:tc>
          <w:tcPr>
            <w:tcW w:w="2734" w:type="pct"/>
          </w:tcPr>
          <w:p>
            <w:pPr>
              <w:spacing w:line="276" w:lineRule="auto"/>
              <w:ind w:right="63"/>
              <w:rPr>
                <w:rFonts w:ascii="宋体" w:hAnsi="宋体" w:eastAsia="宋体" w:cs="仿宋"/>
                <w:bCs/>
                <w:szCs w:val="21"/>
              </w:rPr>
            </w:pPr>
            <w:r>
              <w:rPr>
                <w:rFonts w:hint="eastAsia" w:ascii="宋体" w:hAnsi="宋体" w:eastAsia="宋体" w:cs="仿宋"/>
                <w:bCs/>
                <w:szCs w:val="21"/>
              </w:rPr>
              <w:t xml:space="preserve"> </w:t>
            </w:r>
            <w:r>
              <w:rPr>
                <w:rFonts w:ascii="宋体" w:hAnsi="宋体" w:eastAsia="宋体" w:cs="仿宋"/>
                <w:bCs/>
                <w:szCs w:val="21"/>
              </w:rPr>
              <w:t xml:space="preserve">   </w:t>
            </w:r>
            <w:r>
              <w:rPr>
                <w:rFonts w:hint="eastAsia" w:ascii="宋体" w:hAnsi="宋体" w:eastAsia="宋体" w:cs="仿宋"/>
                <w:bCs/>
                <w:szCs w:val="21"/>
              </w:rPr>
              <w:t>对于全体病人，系统能够支持常规的平均住院日和次均费用、次均费用和药占比以指标对的形式了解各个DRG病组的象限分布，便于管理者通过对比分析的方法了解各个病组之间的差异，为管理者提供一种在图中快速筛选病组的工具，便于管理者了解各个病组下不同比较对象时各个病组的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Merge w:val="continue"/>
            <w:shd w:val="clear" w:color="auto" w:fill="auto"/>
            <w:vAlign w:val="center"/>
          </w:tcPr>
          <w:p>
            <w:pPr>
              <w:spacing w:line="276" w:lineRule="auto"/>
              <w:ind w:right="63"/>
              <w:jc w:val="left"/>
              <w:rPr>
                <w:rFonts w:ascii="宋体" w:hAnsi="宋体" w:eastAsia="宋体" w:cs="仿宋"/>
                <w:bCs/>
                <w:szCs w:val="21"/>
              </w:rPr>
            </w:pPr>
          </w:p>
        </w:tc>
        <w:tc>
          <w:tcPr>
            <w:tcW w:w="1330" w:type="pct"/>
            <w:shd w:val="clear" w:color="auto" w:fill="auto"/>
            <w:vAlign w:val="center"/>
          </w:tcPr>
          <w:p>
            <w:pPr>
              <w:spacing w:line="276" w:lineRule="auto"/>
              <w:ind w:right="63"/>
              <w:rPr>
                <w:rFonts w:ascii="宋体" w:hAnsi="宋体" w:eastAsia="宋体" w:cs="Calibri"/>
                <w:color w:val="000000"/>
                <w:sz w:val="22"/>
                <w:szCs w:val="22"/>
              </w:rPr>
            </w:pPr>
            <w:r>
              <w:rPr>
                <w:rFonts w:hint="eastAsia" w:ascii="宋体" w:hAnsi="宋体" w:eastAsia="宋体" w:cs="Calibri"/>
                <w:color w:val="000000"/>
                <w:sz w:val="22"/>
                <w:szCs w:val="22"/>
              </w:rPr>
              <w:t>4.3.3病组结构分析</w:t>
            </w:r>
          </w:p>
        </w:tc>
        <w:tc>
          <w:tcPr>
            <w:tcW w:w="2734" w:type="pct"/>
          </w:tcPr>
          <w:p>
            <w:pPr>
              <w:spacing w:line="276" w:lineRule="auto"/>
              <w:ind w:right="63"/>
              <w:rPr>
                <w:rFonts w:ascii="宋体" w:hAnsi="宋体" w:eastAsia="宋体" w:cs="仿宋"/>
                <w:bCs/>
                <w:szCs w:val="21"/>
                <w:lang w:eastAsia="zh-TW"/>
              </w:rPr>
            </w:pPr>
            <w:r>
              <w:rPr>
                <w:rFonts w:hint="eastAsia" w:ascii="宋体" w:hAnsi="宋体" w:eastAsia="宋体" w:cs="仿宋"/>
                <w:bCs/>
                <w:szCs w:val="21"/>
              </w:rPr>
              <w:t xml:space="preserve"> </w:t>
            </w:r>
            <w:r>
              <w:rPr>
                <w:rFonts w:ascii="宋体" w:hAnsi="宋体" w:eastAsia="宋体" w:cs="仿宋"/>
                <w:bCs/>
                <w:szCs w:val="21"/>
              </w:rPr>
              <w:t xml:space="preserve">   </w:t>
            </w:r>
            <w:r>
              <w:rPr>
                <w:rFonts w:hint="eastAsia" w:ascii="宋体" w:hAnsi="宋体" w:eastAsia="宋体" w:cs="仿宋"/>
                <w:bCs/>
                <w:szCs w:val="21"/>
                <w:lang w:eastAsia="zh-TW"/>
              </w:rPr>
              <w:t>通过分析医院收治病例DRG病组结构和同期相比，统计出差异。分多个角度分析：本期覆盖但同期未覆盖的DRG病组及费用分布情况；同期覆盖的DRG病组及费用情况；本期较同期新增的DRG病组及费用情况。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Merge w:val="continue"/>
            <w:shd w:val="clear" w:color="auto" w:fill="auto"/>
            <w:vAlign w:val="center"/>
          </w:tcPr>
          <w:p>
            <w:pPr>
              <w:spacing w:line="276" w:lineRule="auto"/>
              <w:ind w:right="63"/>
              <w:jc w:val="left"/>
              <w:rPr>
                <w:rFonts w:ascii="宋体" w:hAnsi="宋体" w:eastAsia="宋体" w:cs="仿宋"/>
                <w:bCs/>
                <w:szCs w:val="21"/>
              </w:rPr>
            </w:pPr>
          </w:p>
        </w:tc>
        <w:tc>
          <w:tcPr>
            <w:tcW w:w="1330" w:type="pct"/>
            <w:shd w:val="clear" w:color="auto" w:fill="auto"/>
            <w:vAlign w:val="center"/>
          </w:tcPr>
          <w:p>
            <w:pPr>
              <w:spacing w:line="276" w:lineRule="auto"/>
              <w:ind w:right="63"/>
              <w:rPr>
                <w:rFonts w:ascii="宋体" w:hAnsi="宋体" w:eastAsia="宋体" w:cs="Calibri"/>
                <w:color w:val="000000"/>
                <w:sz w:val="22"/>
                <w:szCs w:val="22"/>
              </w:rPr>
            </w:pPr>
            <w:r>
              <w:rPr>
                <w:rFonts w:hint="eastAsia" w:ascii="宋体" w:hAnsi="宋体" w:eastAsia="宋体" w:cs="Calibri"/>
                <w:color w:val="000000"/>
                <w:sz w:val="22"/>
                <w:szCs w:val="22"/>
              </w:rPr>
              <w:t>4.3.4重点病组分析</w:t>
            </w:r>
          </w:p>
        </w:tc>
        <w:tc>
          <w:tcPr>
            <w:tcW w:w="2734" w:type="pct"/>
          </w:tcPr>
          <w:p>
            <w:pPr>
              <w:spacing w:line="276" w:lineRule="auto"/>
              <w:ind w:right="63" w:firstLine="420"/>
              <w:rPr>
                <w:rFonts w:ascii="宋体" w:hAnsi="宋体" w:eastAsia="宋体" w:cs="仿宋"/>
                <w:bCs/>
                <w:szCs w:val="21"/>
                <w:lang w:eastAsia="zh-TW"/>
              </w:rPr>
            </w:pPr>
            <w:r>
              <w:rPr>
                <w:rFonts w:hint="eastAsia" w:ascii="宋体" w:hAnsi="宋体" w:eastAsia="宋体" w:cs="仿宋"/>
                <w:bCs/>
                <w:szCs w:val="21"/>
                <w:lang w:eastAsia="zh-TW"/>
              </w:rPr>
              <w:t>筛选出出院病例数较多、权重较大和CMI较高的重点病种进行重点管理，支持对全院各科室外科病组、内科病组、操作病组的重点监测，并对其DRG病种设置各自的平均住院日、次均费用和药占比的标杆值，系统对特定DRG病种的平均住院日、次均费用和药占比和对应标杆值等象限分布进行监测，经由上述重点病种监测，对监测数据进一步分析，得出哪些病组住院日和次均费用均低于标杆值，哪些病组两个指标值均高于标杆值，及超标病种的科室分布，反应效率有待提高的病组是哪些等问题。</w:t>
            </w:r>
          </w:p>
          <w:p>
            <w:pPr>
              <w:spacing w:line="276" w:lineRule="auto"/>
              <w:ind w:right="63" w:firstLine="420"/>
              <w:rPr>
                <w:rFonts w:ascii="宋体" w:hAnsi="宋体" w:eastAsia="宋体" w:cs="仿宋"/>
                <w:bCs/>
                <w:szCs w:val="21"/>
                <w:lang w:eastAsia="zh-TW"/>
              </w:rPr>
            </w:pPr>
            <w:r>
              <w:rPr>
                <w:rFonts w:hint="eastAsia" w:ascii="宋体" w:hAnsi="宋体" w:eastAsia="宋体" w:cs="仿宋"/>
                <w:bCs/>
                <w:szCs w:val="21"/>
                <w:lang w:eastAsia="zh-TW"/>
              </w:rPr>
              <w:t>针对每个临床科室通过对科室所属临床专业的划分，了解科室应该覆盖的DRG病组，通过对比科室实际覆盖的DRG病组对比分析。同时支持按任意时间段内、全院、科室、诊疗组之间的同期对比和上期的环比。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Merge w:val="continue"/>
            <w:shd w:val="clear" w:color="auto" w:fill="auto"/>
            <w:vAlign w:val="center"/>
          </w:tcPr>
          <w:p>
            <w:pPr>
              <w:spacing w:line="276" w:lineRule="auto"/>
              <w:ind w:right="63"/>
              <w:jc w:val="left"/>
              <w:rPr>
                <w:rFonts w:ascii="宋体" w:hAnsi="宋体" w:eastAsia="宋体" w:cs="仿宋"/>
                <w:bCs/>
                <w:szCs w:val="21"/>
              </w:rPr>
            </w:pPr>
          </w:p>
        </w:tc>
        <w:tc>
          <w:tcPr>
            <w:tcW w:w="1330" w:type="pct"/>
            <w:shd w:val="clear" w:color="auto" w:fill="auto"/>
            <w:vAlign w:val="center"/>
          </w:tcPr>
          <w:p>
            <w:pPr>
              <w:spacing w:line="276" w:lineRule="auto"/>
              <w:ind w:right="63"/>
              <w:rPr>
                <w:rFonts w:ascii="宋体" w:hAnsi="宋体" w:eastAsia="宋体" w:cs="Calibri"/>
                <w:color w:val="000000"/>
                <w:sz w:val="22"/>
                <w:szCs w:val="22"/>
              </w:rPr>
            </w:pPr>
            <w:r>
              <w:rPr>
                <w:rFonts w:hint="eastAsia" w:ascii="宋体" w:hAnsi="宋体" w:eastAsia="宋体" w:cs="Calibri"/>
                <w:color w:val="000000"/>
                <w:sz w:val="22"/>
                <w:szCs w:val="22"/>
              </w:rPr>
              <w:t>4.3.5疑难病组分析</w:t>
            </w:r>
          </w:p>
        </w:tc>
        <w:tc>
          <w:tcPr>
            <w:tcW w:w="2734" w:type="pct"/>
          </w:tcPr>
          <w:p>
            <w:pPr>
              <w:tabs>
                <w:tab w:val="left" w:pos="1130"/>
              </w:tabs>
              <w:spacing w:line="276" w:lineRule="auto"/>
              <w:ind w:right="63"/>
              <w:rPr>
                <w:rFonts w:ascii="宋体" w:hAnsi="宋体" w:eastAsia="宋体" w:cs="仿宋"/>
                <w:bCs/>
                <w:szCs w:val="21"/>
              </w:rPr>
            </w:pPr>
            <w:r>
              <w:rPr>
                <w:rFonts w:hint="eastAsia" w:ascii="宋体" w:hAnsi="宋体" w:eastAsia="宋体" w:cs="仿宋"/>
                <w:bCs/>
                <w:szCs w:val="21"/>
              </w:rPr>
              <w:t xml:space="preserve"> </w:t>
            </w:r>
            <w:r>
              <w:rPr>
                <w:rFonts w:ascii="宋体" w:hAnsi="宋体" w:eastAsia="宋体" w:cs="仿宋"/>
                <w:bCs/>
                <w:szCs w:val="21"/>
              </w:rPr>
              <w:t xml:space="preserve">   </w:t>
            </w:r>
            <w:r>
              <w:rPr>
                <w:rFonts w:hint="eastAsia" w:ascii="宋体" w:hAnsi="宋体" w:eastAsia="宋体" w:cs="仿宋"/>
                <w:bCs/>
                <w:szCs w:val="21"/>
              </w:rPr>
              <w:t>系统根据用户设置的疑难高权重病组的筛选条件，从医院病例分组入组的DRG病组范围内筛选出符合条件的病组作为疑难病组。针对这些疑难病组，系统通过分析其平均住院日、次均费用和药品耗材费用等指标对疑难病组进行监测。可实现基于本院历年数据高权重DRG病组出院病例人次情况及排名变化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Merge w:val="restart"/>
            <w:shd w:val="clear" w:color="auto" w:fill="auto"/>
            <w:vAlign w:val="center"/>
          </w:tcPr>
          <w:p>
            <w:pPr>
              <w:spacing w:line="276" w:lineRule="auto"/>
              <w:ind w:right="63"/>
              <w:jc w:val="left"/>
              <w:rPr>
                <w:rFonts w:ascii="宋体" w:hAnsi="宋体" w:eastAsia="宋体" w:cs="仿宋"/>
                <w:bCs/>
                <w:szCs w:val="21"/>
              </w:rPr>
            </w:pPr>
            <w:r>
              <w:rPr>
                <w:rFonts w:hint="eastAsia" w:ascii="宋体" w:hAnsi="宋体" w:eastAsia="宋体" w:cs="仿宋"/>
                <w:bCs/>
                <w:szCs w:val="21"/>
              </w:rPr>
              <w:t>4.4医师管理</w:t>
            </w:r>
          </w:p>
        </w:tc>
        <w:tc>
          <w:tcPr>
            <w:tcW w:w="1330" w:type="pct"/>
            <w:shd w:val="clear" w:color="auto" w:fill="auto"/>
            <w:vAlign w:val="center"/>
          </w:tcPr>
          <w:p>
            <w:pPr>
              <w:spacing w:line="276" w:lineRule="auto"/>
              <w:ind w:right="63"/>
              <w:rPr>
                <w:rFonts w:ascii="宋体" w:hAnsi="宋体" w:eastAsia="宋体" w:cs="Calibri"/>
                <w:color w:val="000000"/>
                <w:sz w:val="22"/>
                <w:szCs w:val="22"/>
              </w:rPr>
            </w:pPr>
            <w:r>
              <w:rPr>
                <w:rFonts w:hint="eastAsia" w:ascii="宋体" w:hAnsi="宋体" w:eastAsia="宋体" w:cs="Calibri"/>
                <w:color w:val="000000"/>
                <w:sz w:val="22"/>
                <w:szCs w:val="22"/>
              </w:rPr>
              <w:t>4.4.1医师绩效评价</w:t>
            </w:r>
          </w:p>
        </w:tc>
        <w:tc>
          <w:tcPr>
            <w:tcW w:w="2734" w:type="pct"/>
          </w:tcPr>
          <w:p>
            <w:pPr>
              <w:pStyle w:val="77"/>
              <w:spacing w:line="360" w:lineRule="auto"/>
              <w:ind w:firstLine="420"/>
              <w:rPr>
                <w:rFonts w:ascii="宋体" w:hAnsi="宋体" w:eastAsia="宋体" w:cs="仿宋"/>
                <w:bCs/>
                <w:sz w:val="21"/>
                <w:szCs w:val="21"/>
              </w:rPr>
            </w:pPr>
            <w:r>
              <w:rPr>
                <w:rFonts w:hint="eastAsia" w:ascii="宋体" w:hAnsi="宋体" w:eastAsia="宋体" w:cs="仿宋"/>
                <w:bCs/>
                <w:sz w:val="21"/>
                <w:szCs w:val="21"/>
              </w:rPr>
              <w:t>将DRG相关指标引入科室内医师绩效考核指标中，为奖金二次分配提供数据支撑。引入医师综合得分，科室内部根据医师级别，可对比同级别医师的综合得分，根据得分进行排名。引入产能和效率和安全指标，加入医院现有绩效考核指标体系中。引入医师“总权重”用于衡量科室内医师工作量，根据科室内医师总权重进行奖金二次分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Merge w:val="continue"/>
            <w:shd w:val="clear" w:color="auto" w:fill="auto"/>
            <w:vAlign w:val="center"/>
          </w:tcPr>
          <w:p>
            <w:pPr>
              <w:spacing w:line="276" w:lineRule="auto"/>
              <w:ind w:right="63"/>
              <w:jc w:val="left"/>
              <w:rPr>
                <w:rFonts w:ascii="宋体" w:hAnsi="宋体" w:eastAsia="宋体" w:cs="仿宋"/>
                <w:bCs/>
                <w:szCs w:val="21"/>
              </w:rPr>
            </w:pPr>
          </w:p>
        </w:tc>
        <w:tc>
          <w:tcPr>
            <w:tcW w:w="1330" w:type="pct"/>
            <w:shd w:val="clear" w:color="auto" w:fill="auto"/>
            <w:vAlign w:val="center"/>
          </w:tcPr>
          <w:p>
            <w:pPr>
              <w:spacing w:line="276" w:lineRule="auto"/>
              <w:ind w:right="63"/>
              <w:rPr>
                <w:rFonts w:ascii="宋体" w:hAnsi="宋体" w:eastAsia="宋体" w:cs="Calibri"/>
                <w:color w:val="000000"/>
                <w:sz w:val="22"/>
                <w:szCs w:val="22"/>
              </w:rPr>
            </w:pPr>
            <w:r>
              <w:rPr>
                <w:rFonts w:hint="eastAsia" w:ascii="宋体" w:hAnsi="宋体" w:eastAsia="宋体" w:cs="Calibri"/>
                <w:color w:val="000000"/>
                <w:sz w:val="22"/>
                <w:szCs w:val="22"/>
              </w:rPr>
              <w:t>4.4.2医生晋升</w:t>
            </w:r>
          </w:p>
        </w:tc>
        <w:tc>
          <w:tcPr>
            <w:tcW w:w="2734" w:type="pct"/>
          </w:tcPr>
          <w:p>
            <w:pPr>
              <w:spacing w:line="276" w:lineRule="auto"/>
              <w:ind w:right="63"/>
              <w:rPr>
                <w:rFonts w:ascii="宋体" w:hAnsi="宋体" w:eastAsia="宋体" w:cs="仿宋"/>
                <w:bCs/>
                <w:szCs w:val="21"/>
              </w:rPr>
            </w:pPr>
            <w:r>
              <w:rPr>
                <w:rFonts w:hint="eastAsia" w:ascii="宋体" w:hAnsi="宋体" w:eastAsia="宋体" w:cs="仿宋"/>
                <w:bCs/>
                <w:szCs w:val="21"/>
              </w:rPr>
              <w:t xml:space="preserve"> </w:t>
            </w:r>
            <w:r>
              <w:rPr>
                <w:rFonts w:ascii="宋体" w:hAnsi="宋体" w:eastAsia="宋体" w:cs="仿宋"/>
                <w:bCs/>
                <w:szCs w:val="21"/>
              </w:rPr>
              <w:t xml:space="preserve">   </w:t>
            </w:r>
            <w:r>
              <w:rPr>
                <w:rFonts w:hint="eastAsia" w:ascii="宋体" w:hAnsi="宋体" w:eastAsia="宋体" w:cs="仿宋"/>
                <w:bCs/>
                <w:szCs w:val="21"/>
              </w:rPr>
              <w:t>在医师晋升考核体系中引入CMI指标作为医师技术能力的考量、用“总权重”来评估医师的工作量、用“时间和费用消耗指数”做为诊疗效率方面的评估等。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Merge w:val="restart"/>
            <w:shd w:val="clear" w:color="auto" w:fill="auto"/>
            <w:vAlign w:val="center"/>
          </w:tcPr>
          <w:p>
            <w:pPr>
              <w:spacing w:line="276" w:lineRule="auto"/>
              <w:ind w:right="63"/>
              <w:jc w:val="left"/>
              <w:rPr>
                <w:rFonts w:ascii="宋体" w:hAnsi="宋体" w:eastAsia="宋体" w:cs="仿宋"/>
                <w:bCs/>
                <w:szCs w:val="21"/>
              </w:rPr>
            </w:pPr>
            <w:r>
              <w:rPr>
                <w:rFonts w:hint="eastAsia" w:ascii="宋体" w:hAnsi="宋体" w:eastAsia="宋体" w:cs="仿宋"/>
                <w:bCs/>
                <w:szCs w:val="21"/>
              </w:rPr>
              <w:t>4.5学科建设</w:t>
            </w:r>
          </w:p>
        </w:tc>
        <w:tc>
          <w:tcPr>
            <w:tcW w:w="1330" w:type="pct"/>
            <w:shd w:val="clear" w:color="auto" w:fill="auto"/>
            <w:vAlign w:val="center"/>
          </w:tcPr>
          <w:p>
            <w:pPr>
              <w:spacing w:line="276" w:lineRule="auto"/>
              <w:ind w:right="63"/>
              <w:rPr>
                <w:rFonts w:ascii="宋体" w:hAnsi="宋体" w:eastAsia="宋体" w:cs="Calibri"/>
                <w:color w:val="000000"/>
                <w:sz w:val="22"/>
                <w:szCs w:val="22"/>
              </w:rPr>
            </w:pPr>
            <w:r>
              <w:rPr>
                <w:rFonts w:hint="eastAsia" w:ascii="宋体" w:hAnsi="宋体" w:eastAsia="宋体" w:cs="Calibri"/>
                <w:color w:val="000000"/>
                <w:sz w:val="22"/>
                <w:szCs w:val="22"/>
              </w:rPr>
              <w:t>4.5.1</w:t>
            </w:r>
            <w:r>
              <w:rPr>
                <w:rFonts w:ascii="宋体" w:hAnsi="宋体" w:eastAsia="宋体" w:cs="Calibri"/>
                <w:color w:val="000000"/>
                <w:sz w:val="22"/>
                <w:szCs w:val="22"/>
              </w:rPr>
              <w:t xml:space="preserve"> </w:t>
            </w:r>
            <w:r>
              <w:rPr>
                <w:rFonts w:hint="eastAsia" w:ascii="宋体" w:hAnsi="宋体" w:eastAsia="宋体" w:cs="Calibri"/>
                <w:color w:val="000000"/>
                <w:sz w:val="22"/>
                <w:szCs w:val="22"/>
              </w:rPr>
              <w:t>MDC监测</w:t>
            </w:r>
          </w:p>
        </w:tc>
        <w:tc>
          <w:tcPr>
            <w:tcW w:w="2734" w:type="pct"/>
          </w:tcPr>
          <w:p>
            <w:pPr>
              <w:spacing w:line="276" w:lineRule="auto"/>
              <w:ind w:right="63"/>
              <w:rPr>
                <w:rFonts w:ascii="宋体" w:hAnsi="宋体" w:eastAsia="宋体" w:cs="仿宋"/>
                <w:bCs/>
                <w:szCs w:val="21"/>
              </w:rPr>
            </w:pPr>
            <w:r>
              <w:rPr>
                <w:rFonts w:hint="eastAsia" w:ascii="宋体" w:hAnsi="宋体" w:eastAsia="宋体" w:cs="仿宋"/>
                <w:bCs/>
                <w:szCs w:val="21"/>
              </w:rPr>
              <w:t xml:space="preserve"> </w:t>
            </w:r>
            <w:r>
              <w:rPr>
                <w:rFonts w:ascii="宋体" w:hAnsi="宋体" w:eastAsia="宋体" w:cs="仿宋"/>
                <w:bCs/>
                <w:szCs w:val="21"/>
              </w:rPr>
              <w:t xml:space="preserve">   </w:t>
            </w:r>
            <w:r>
              <w:rPr>
                <w:rFonts w:hint="eastAsia" w:ascii="宋体" w:hAnsi="宋体" w:eastAsia="宋体" w:cs="仿宋"/>
                <w:bCs/>
                <w:szCs w:val="21"/>
              </w:rPr>
              <w:t>系统的MDC监测包含对MDC的综合评价、根据CMI区间了解疾病治疗难易程度的病例分布、病组覆盖分析、医疗技术难度分析、根据总权重统计MDC的总产出、通过时间消耗指数和费用消耗指数分析MDC的医疗资源使用效率情况、分析MDC的死亡病例分布，分析患者医疗服务安全情况。对MDC的常规指标和DRG指标监测，病组覆盖分析统计了病组理论覆盖、实际覆盖和为覆盖病组的情况。这些维度的分析能综合体现了医疗的疾病覆盖、病例难易程度分布、效率的优劣和患者安全等方面，了解了院内病例的医疗技术难度和同行业平均水平的差异，和死亡病例分布的情况。</w:t>
            </w:r>
          </w:p>
          <w:p>
            <w:pPr>
              <w:spacing w:line="276" w:lineRule="auto"/>
              <w:ind w:right="63"/>
              <w:rPr>
                <w:rFonts w:ascii="宋体" w:hAnsi="宋体" w:eastAsia="宋体" w:cs="仿宋"/>
                <w:bCs/>
                <w:szCs w:val="21"/>
              </w:rPr>
            </w:pPr>
            <w:r>
              <w:rPr>
                <w:rFonts w:hint="eastAsia" w:ascii="宋体" w:hAnsi="宋体" w:eastAsia="宋体" w:cs="仿宋"/>
                <w:bCs/>
                <w:szCs w:val="21"/>
              </w:rPr>
              <w:t xml:space="preserve"> </w:t>
            </w:r>
            <w:r>
              <w:rPr>
                <w:rFonts w:ascii="宋体" w:hAnsi="宋体" w:eastAsia="宋体" w:cs="仿宋"/>
                <w:bCs/>
                <w:szCs w:val="21"/>
              </w:rPr>
              <w:t xml:space="preserve">   </w:t>
            </w:r>
            <w:r>
              <w:rPr>
                <w:rFonts w:hint="eastAsia" w:ascii="宋体" w:hAnsi="宋体" w:eastAsia="宋体" w:cs="仿宋"/>
                <w:bCs/>
                <w:szCs w:val="21"/>
              </w:rPr>
              <w:t>通过对MDC专业的下钻，能展示该MDC专业内缺失的DRG病组，和该MDC专业内高难度病组覆盖情况、高产出低效率DRG病组、死亡并分布情况以及对DRG病组指标变化情况监测。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Merge w:val="continue"/>
            <w:shd w:val="clear" w:color="auto" w:fill="auto"/>
            <w:vAlign w:val="center"/>
          </w:tcPr>
          <w:p>
            <w:pPr>
              <w:spacing w:line="276" w:lineRule="auto"/>
              <w:ind w:right="63"/>
              <w:jc w:val="left"/>
              <w:rPr>
                <w:rFonts w:ascii="宋体" w:hAnsi="宋体" w:eastAsia="宋体" w:cs="仿宋"/>
                <w:bCs/>
                <w:szCs w:val="21"/>
              </w:rPr>
            </w:pPr>
          </w:p>
        </w:tc>
        <w:tc>
          <w:tcPr>
            <w:tcW w:w="1330" w:type="pct"/>
            <w:shd w:val="clear" w:color="auto" w:fill="auto"/>
            <w:vAlign w:val="center"/>
          </w:tcPr>
          <w:p>
            <w:pPr>
              <w:spacing w:line="276" w:lineRule="auto"/>
              <w:ind w:right="63"/>
              <w:rPr>
                <w:rFonts w:ascii="宋体" w:hAnsi="宋体" w:eastAsia="宋体" w:cs="Calibri"/>
                <w:color w:val="000000"/>
                <w:sz w:val="22"/>
                <w:szCs w:val="22"/>
              </w:rPr>
            </w:pPr>
            <w:r>
              <w:rPr>
                <w:rFonts w:hint="eastAsia" w:ascii="宋体" w:hAnsi="宋体" w:eastAsia="宋体" w:cs="Calibri"/>
                <w:color w:val="000000"/>
                <w:sz w:val="22"/>
                <w:szCs w:val="22"/>
              </w:rPr>
              <w:t>4.5.2国家重点专科建设</w:t>
            </w:r>
          </w:p>
        </w:tc>
        <w:tc>
          <w:tcPr>
            <w:tcW w:w="2734" w:type="pct"/>
          </w:tcPr>
          <w:p>
            <w:pPr>
              <w:spacing w:line="276" w:lineRule="auto"/>
              <w:ind w:right="63"/>
              <w:rPr>
                <w:rFonts w:ascii="宋体" w:hAnsi="宋体" w:eastAsia="宋体" w:cs="仿宋"/>
                <w:bCs/>
                <w:szCs w:val="21"/>
                <w:lang w:eastAsia="zh-TW"/>
              </w:rPr>
            </w:pPr>
            <w:r>
              <w:rPr>
                <w:rFonts w:hint="eastAsia" w:ascii="宋体" w:hAnsi="宋体" w:eastAsia="宋体" w:cs="仿宋"/>
                <w:bCs/>
                <w:szCs w:val="21"/>
              </w:rPr>
              <w:t xml:space="preserve"> </w:t>
            </w:r>
            <w:r>
              <w:rPr>
                <w:rFonts w:ascii="宋体" w:hAnsi="宋体" w:eastAsia="宋体" w:cs="仿宋"/>
                <w:bCs/>
                <w:szCs w:val="21"/>
              </w:rPr>
              <w:t xml:space="preserve">   </w:t>
            </w:r>
            <w:r>
              <w:rPr>
                <w:rFonts w:hint="eastAsia" w:ascii="宋体" w:hAnsi="宋体" w:eastAsia="宋体" w:cs="仿宋"/>
                <w:bCs/>
                <w:szCs w:val="21"/>
                <w:lang w:eastAsia="zh-TW"/>
              </w:rPr>
              <w:t>专科建设帮助医院对临床重点专科进行专科定位的划分，从服务产能、服务效率和质量安全三个维度，构建专科建设评价模型，并从专科建设水平、诊疗全面性、病组权重分布、病组科室分布几个方面对每个临床专科进行分析，给出专科发展意见，为医院实现专病专治、择优汰劣、整体规划等措施提供数据支持，帮助医院提升临床重点专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Merge w:val="continue"/>
            <w:shd w:val="clear" w:color="auto" w:fill="auto"/>
            <w:vAlign w:val="center"/>
          </w:tcPr>
          <w:p>
            <w:pPr>
              <w:spacing w:line="276" w:lineRule="auto"/>
              <w:ind w:right="63"/>
              <w:jc w:val="left"/>
              <w:rPr>
                <w:rFonts w:ascii="宋体" w:hAnsi="宋体" w:eastAsia="宋体" w:cs="仿宋"/>
                <w:bCs/>
                <w:szCs w:val="21"/>
              </w:rPr>
            </w:pPr>
          </w:p>
        </w:tc>
        <w:tc>
          <w:tcPr>
            <w:tcW w:w="1330" w:type="pct"/>
            <w:shd w:val="clear" w:color="auto" w:fill="auto"/>
            <w:vAlign w:val="center"/>
          </w:tcPr>
          <w:p>
            <w:pPr>
              <w:spacing w:line="276" w:lineRule="auto"/>
              <w:ind w:right="63"/>
              <w:rPr>
                <w:rFonts w:ascii="宋体" w:hAnsi="宋体" w:eastAsia="宋体" w:cs="Calibri"/>
                <w:color w:val="000000"/>
                <w:sz w:val="22"/>
                <w:szCs w:val="22"/>
              </w:rPr>
            </w:pPr>
            <w:r>
              <w:rPr>
                <w:rFonts w:hint="eastAsia" w:ascii="宋体" w:hAnsi="宋体" w:eastAsia="宋体" w:cs="Calibri"/>
                <w:color w:val="000000"/>
                <w:sz w:val="22"/>
                <w:szCs w:val="22"/>
              </w:rPr>
              <w:t>4.5.3临床科室建设</w:t>
            </w:r>
          </w:p>
        </w:tc>
        <w:tc>
          <w:tcPr>
            <w:tcW w:w="2734" w:type="pct"/>
          </w:tcPr>
          <w:p>
            <w:pPr>
              <w:spacing w:line="276" w:lineRule="auto"/>
              <w:ind w:right="63"/>
              <w:rPr>
                <w:rFonts w:ascii="宋体" w:hAnsi="宋体" w:eastAsia="宋体" w:cs="仿宋"/>
                <w:bCs/>
                <w:szCs w:val="21"/>
                <w:lang w:eastAsia="zh-TW"/>
              </w:rPr>
            </w:pPr>
            <w:r>
              <w:rPr>
                <w:rFonts w:hint="eastAsia" w:ascii="宋体" w:hAnsi="宋体" w:eastAsia="宋体" w:cs="仿宋"/>
                <w:bCs/>
                <w:szCs w:val="21"/>
              </w:rPr>
              <w:t xml:space="preserve"> </w:t>
            </w:r>
            <w:r>
              <w:rPr>
                <w:rFonts w:ascii="宋体" w:hAnsi="宋体" w:eastAsia="宋体" w:cs="仿宋"/>
                <w:bCs/>
                <w:szCs w:val="21"/>
              </w:rPr>
              <w:t xml:space="preserve">   </w:t>
            </w:r>
            <w:r>
              <w:rPr>
                <w:rFonts w:hint="eastAsia" w:ascii="宋体" w:hAnsi="宋体" w:eastAsia="宋体" w:cs="仿宋"/>
                <w:bCs/>
                <w:szCs w:val="21"/>
                <w:lang w:eastAsia="zh-TW"/>
              </w:rPr>
              <w:t>系统提供临床科室层级的学科建设功能，内置各临床重点专科内理论应该覆盖的DRG病组列表，通过维护各临床科室所属的临床专科，以此判断特定时间段内各临床科室内收治病例覆盖的DRG组数、未覆盖DRG组数以及无效覆盖的DRG组数、病组覆盖率及有效覆盖率。从各科室收治病例的权重区间分布、科室难易程度及其与标杆的对比、科室总产出及其理论病组内分布和理论外病组分布、医疗服务效率、死亡病例分布等情况进行汇总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shd w:val="clear" w:color="auto" w:fill="auto"/>
            <w:vAlign w:val="center"/>
          </w:tcPr>
          <w:p>
            <w:pPr>
              <w:spacing w:line="276" w:lineRule="auto"/>
              <w:ind w:right="63"/>
              <w:jc w:val="left"/>
              <w:rPr>
                <w:rFonts w:ascii="宋体" w:hAnsi="宋体" w:eastAsia="宋体" w:cs="仿宋"/>
                <w:bCs/>
                <w:szCs w:val="21"/>
              </w:rPr>
            </w:pPr>
            <w:r>
              <w:rPr>
                <w:rFonts w:hint="eastAsia" w:ascii="宋体" w:hAnsi="宋体" w:eastAsia="宋体" w:cs="Calibri"/>
                <w:color w:val="000000"/>
                <w:sz w:val="22"/>
                <w:szCs w:val="22"/>
              </w:rPr>
              <w:t>4.6多维度分析</w:t>
            </w:r>
          </w:p>
        </w:tc>
        <w:tc>
          <w:tcPr>
            <w:tcW w:w="1330" w:type="pct"/>
            <w:shd w:val="clear" w:color="auto" w:fill="auto"/>
            <w:vAlign w:val="center"/>
          </w:tcPr>
          <w:p>
            <w:pPr>
              <w:spacing w:line="276" w:lineRule="auto"/>
              <w:ind w:right="63"/>
              <w:rPr>
                <w:rFonts w:ascii="宋体" w:hAnsi="宋体" w:eastAsia="宋体" w:cs="Calibri"/>
                <w:color w:val="000000"/>
                <w:sz w:val="22"/>
                <w:szCs w:val="22"/>
              </w:rPr>
            </w:pPr>
            <w:r>
              <w:rPr>
                <w:rFonts w:hint="eastAsia" w:ascii="宋体" w:hAnsi="宋体" w:eastAsia="宋体" w:cs="Calibri"/>
                <w:color w:val="000000"/>
                <w:sz w:val="22"/>
                <w:szCs w:val="22"/>
              </w:rPr>
              <w:t>4.6.1多维度分析</w:t>
            </w:r>
          </w:p>
        </w:tc>
        <w:tc>
          <w:tcPr>
            <w:tcW w:w="2734" w:type="pct"/>
          </w:tcPr>
          <w:p>
            <w:pPr>
              <w:spacing w:line="276" w:lineRule="auto"/>
              <w:ind w:right="63"/>
              <w:rPr>
                <w:rFonts w:ascii="宋体" w:hAnsi="宋体" w:eastAsia="宋体" w:cs="仿宋"/>
                <w:bCs/>
                <w:szCs w:val="21"/>
              </w:rPr>
            </w:pPr>
            <w:r>
              <w:rPr>
                <w:rFonts w:hint="eastAsia" w:ascii="宋体" w:hAnsi="宋体" w:eastAsia="宋体" w:cs="仿宋"/>
                <w:bCs/>
                <w:szCs w:val="21"/>
              </w:rPr>
              <w:t xml:space="preserve"> </w:t>
            </w:r>
            <w:r>
              <w:rPr>
                <w:rFonts w:ascii="宋体" w:hAnsi="宋体" w:eastAsia="宋体" w:cs="仿宋"/>
                <w:bCs/>
                <w:szCs w:val="21"/>
              </w:rPr>
              <w:t xml:space="preserve">   </w:t>
            </w:r>
            <w:r>
              <w:rPr>
                <w:rFonts w:hint="eastAsia" w:ascii="宋体" w:hAnsi="宋体" w:eastAsia="宋体" w:cs="仿宋"/>
                <w:bCs/>
                <w:szCs w:val="21"/>
              </w:rPr>
              <w:t>提供自定义报表，可以自行设置报表标题、表头、表体格式、数据来源，制作报表过程完全以鼠标拖动，灵活定义过滤条件和显示，支持打印导出方式的自定义查询报表工具。可根据医院管理要求设置内部管理重新构建分析模型，在新模型中设置分析的指标、年份、组织对象、时间维护等，也可根据医院需求对报表进行个性化调整，如添加监测指标、监测维度、时间维度、组织机构维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shd w:val="clear" w:color="auto" w:fill="auto"/>
            <w:vAlign w:val="center"/>
          </w:tcPr>
          <w:p>
            <w:pPr>
              <w:spacing w:line="276" w:lineRule="auto"/>
              <w:ind w:right="63"/>
              <w:jc w:val="left"/>
              <w:rPr>
                <w:rFonts w:ascii="宋体" w:hAnsi="宋体" w:eastAsia="宋体" w:cs="仿宋"/>
                <w:bCs/>
                <w:szCs w:val="21"/>
              </w:rPr>
            </w:pPr>
            <w:r>
              <w:rPr>
                <w:rFonts w:hint="eastAsia" w:ascii="宋体" w:hAnsi="宋体" w:eastAsia="宋体" w:cs="Calibri"/>
                <w:color w:val="000000"/>
                <w:sz w:val="22"/>
                <w:szCs w:val="22"/>
              </w:rPr>
              <w:t>4.7全局病例查询</w:t>
            </w:r>
          </w:p>
        </w:tc>
        <w:tc>
          <w:tcPr>
            <w:tcW w:w="1330" w:type="pct"/>
            <w:shd w:val="clear" w:color="auto" w:fill="auto"/>
            <w:vAlign w:val="center"/>
          </w:tcPr>
          <w:p>
            <w:pPr>
              <w:spacing w:line="276" w:lineRule="auto"/>
              <w:ind w:right="63"/>
              <w:rPr>
                <w:rFonts w:ascii="宋体" w:hAnsi="宋体" w:eastAsia="宋体" w:cs="Calibri"/>
                <w:color w:val="000000"/>
                <w:sz w:val="22"/>
                <w:szCs w:val="22"/>
              </w:rPr>
            </w:pPr>
            <w:r>
              <w:rPr>
                <w:rFonts w:hint="eastAsia" w:ascii="宋体" w:hAnsi="宋体" w:eastAsia="宋体" w:cs="Calibri"/>
                <w:color w:val="000000"/>
                <w:sz w:val="22"/>
                <w:szCs w:val="22"/>
              </w:rPr>
              <w:t>4.7.1全局病例查询</w:t>
            </w:r>
          </w:p>
        </w:tc>
        <w:tc>
          <w:tcPr>
            <w:tcW w:w="2734" w:type="pct"/>
          </w:tcPr>
          <w:p>
            <w:pPr>
              <w:spacing w:line="276" w:lineRule="auto"/>
              <w:ind w:right="63"/>
              <w:rPr>
                <w:rFonts w:ascii="宋体" w:hAnsi="宋体" w:eastAsia="宋体" w:cs="仿宋"/>
                <w:bCs/>
                <w:szCs w:val="21"/>
              </w:rPr>
            </w:pPr>
            <w:r>
              <w:rPr>
                <w:rFonts w:ascii="宋体" w:hAnsi="宋体" w:eastAsia="宋体" w:cs="仿宋"/>
                <w:bCs/>
                <w:szCs w:val="21"/>
              </w:rPr>
              <w:t xml:space="preserve">    </w:t>
            </w:r>
            <w:r>
              <w:rPr>
                <w:rFonts w:hint="eastAsia" w:ascii="宋体" w:hAnsi="宋体" w:eastAsia="宋体" w:cs="仿宋"/>
                <w:bCs/>
                <w:szCs w:val="21"/>
              </w:rPr>
              <w:t>能够快速高效地查询院内所有出院病例，支持按患者姓名、出院科室、主任医师、疾病诊断名称、DRG代码等关键字段进行全局搜索查询，可以查看病例的入组结果、住院天数、费用以及标杆值等相关信息，通过钻取病案号查看病例的病案首页信息。支持模糊查询和精准查询以及高亮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shd w:val="clear" w:color="auto" w:fill="auto"/>
            <w:vAlign w:val="center"/>
          </w:tcPr>
          <w:p>
            <w:pPr>
              <w:spacing w:line="276" w:lineRule="auto"/>
              <w:ind w:right="63"/>
              <w:jc w:val="left"/>
              <w:rPr>
                <w:rFonts w:ascii="宋体" w:hAnsi="宋体" w:eastAsia="宋体" w:cs="仿宋"/>
                <w:bCs/>
                <w:szCs w:val="21"/>
              </w:rPr>
            </w:pPr>
            <w:r>
              <w:rPr>
                <w:rFonts w:hint="eastAsia" w:ascii="宋体" w:hAnsi="宋体" w:eastAsia="宋体" w:cs="Calibri"/>
                <w:color w:val="000000"/>
                <w:sz w:val="22"/>
                <w:szCs w:val="22"/>
              </w:rPr>
              <w:t>4.8管理目标值测算</w:t>
            </w:r>
          </w:p>
        </w:tc>
        <w:tc>
          <w:tcPr>
            <w:tcW w:w="1330" w:type="pct"/>
            <w:shd w:val="clear" w:color="auto" w:fill="auto"/>
            <w:vAlign w:val="center"/>
          </w:tcPr>
          <w:p>
            <w:pPr>
              <w:spacing w:line="276" w:lineRule="auto"/>
              <w:ind w:right="63"/>
              <w:rPr>
                <w:rFonts w:ascii="宋体" w:hAnsi="宋体" w:eastAsia="宋体" w:cs="Calibri"/>
                <w:color w:val="000000"/>
                <w:sz w:val="22"/>
                <w:szCs w:val="22"/>
              </w:rPr>
            </w:pPr>
            <w:r>
              <w:rPr>
                <w:rFonts w:hint="eastAsia" w:ascii="宋体" w:hAnsi="宋体" w:eastAsia="宋体" w:cs="Calibri"/>
                <w:color w:val="000000"/>
                <w:sz w:val="22"/>
                <w:szCs w:val="22"/>
              </w:rPr>
              <w:t>4.8.1管理目标值测算</w:t>
            </w:r>
          </w:p>
        </w:tc>
        <w:tc>
          <w:tcPr>
            <w:tcW w:w="2734" w:type="pct"/>
          </w:tcPr>
          <w:p>
            <w:pPr>
              <w:spacing w:line="276" w:lineRule="auto"/>
              <w:ind w:right="63"/>
              <w:rPr>
                <w:rFonts w:ascii="宋体" w:hAnsi="宋体" w:eastAsia="宋体" w:cs="仿宋"/>
                <w:bCs/>
                <w:szCs w:val="21"/>
              </w:rPr>
            </w:pPr>
            <w:r>
              <w:rPr>
                <w:rFonts w:hint="eastAsia" w:ascii="宋体" w:hAnsi="宋体" w:eastAsia="宋体" w:cs="仿宋"/>
                <w:bCs/>
                <w:szCs w:val="21"/>
              </w:rPr>
              <w:t xml:space="preserve"> </w:t>
            </w:r>
            <w:r>
              <w:rPr>
                <w:rFonts w:ascii="宋体" w:hAnsi="宋体" w:eastAsia="宋体" w:cs="仿宋"/>
                <w:bCs/>
                <w:szCs w:val="21"/>
              </w:rPr>
              <w:t xml:space="preserve">   </w:t>
            </w:r>
            <w:r>
              <w:rPr>
                <w:rFonts w:hint="eastAsia" w:ascii="宋体" w:hAnsi="宋体" w:eastAsia="宋体" w:cs="仿宋"/>
                <w:bCs/>
                <w:szCs w:val="21"/>
              </w:rPr>
              <w:t>系统根据上一年的全院和科室的分组数据，和绩效指标完成情况做相应的参数调整，测算出下一年的年度管理目标值，包含全院、科室组、科室的出院病例、CMI、平均住院日、次均费用等相关指标的预测值，该测算结果为这一年院内管理的发展提供理论和数据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Merge w:val="restart"/>
            <w:shd w:val="clear" w:color="auto" w:fill="auto"/>
            <w:vAlign w:val="center"/>
          </w:tcPr>
          <w:p>
            <w:pPr>
              <w:spacing w:line="276" w:lineRule="auto"/>
              <w:ind w:right="63"/>
              <w:jc w:val="left"/>
              <w:rPr>
                <w:rFonts w:ascii="宋体" w:hAnsi="宋体" w:eastAsia="宋体" w:cs="仿宋"/>
                <w:bCs/>
                <w:szCs w:val="21"/>
              </w:rPr>
            </w:pPr>
            <w:r>
              <w:rPr>
                <w:rFonts w:hint="eastAsia" w:ascii="宋体" w:hAnsi="宋体" w:eastAsia="宋体" w:cs="仿宋"/>
                <w:bCs/>
                <w:szCs w:val="21"/>
              </w:rPr>
              <w:t>4.9报表统计</w:t>
            </w:r>
          </w:p>
        </w:tc>
        <w:tc>
          <w:tcPr>
            <w:tcW w:w="1330" w:type="pct"/>
            <w:shd w:val="clear" w:color="auto" w:fill="auto"/>
            <w:vAlign w:val="center"/>
          </w:tcPr>
          <w:p>
            <w:pPr>
              <w:spacing w:line="276" w:lineRule="auto"/>
              <w:ind w:right="63"/>
              <w:rPr>
                <w:rFonts w:ascii="宋体" w:hAnsi="宋体" w:eastAsia="宋体" w:cs="Calibri"/>
                <w:color w:val="000000"/>
                <w:sz w:val="22"/>
                <w:szCs w:val="22"/>
              </w:rPr>
            </w:pPr>
            <w:r>
              <w:rPr>
                <w:rFonts w:hint="eastAsia" w:ascii="宋体" w:hAnsi="宋体" w:eastAsia="宋体" w:cs="Calibri"/>
                <w:color w:val="000000"/>
                <w:sz w:val="22"/>
                <w:szCs w:val="22"/>
              </w:rPr>
              <w:t>4.9.1全院指标统计</w:t>
            </w:r>
          </w:p>
        </w:tc>
        <w:tc>
          <w:tcPr>
            <w:tcW w:w="2734" w:type="pct"/>
          </w:tcPr>
          <w:p>
            <w:pPr>
              <w:spacing w:line="276" w:lineRule="auto"/>
              <w:ind w:right="63"/>
              <w:rPr>
                <w:rFonts w:ascii="宋体" w:hAnsi="宋体" w:eastAsia="宋体" w:cs="仿宋"/>
                <w:bCs/>
                <w:szCs w:val="21"/>
              </w:rPr>
            </w:pPr>
            <w:r>
              <w:rPr>
                <w:rFonts w:hint="eastAsia" w:ascii="宋体" w:hAnsi="宋体" w:eastAsia="宋体" w:cs="仿宋"/>
                <w:bCs/>
                <w:szCs w:val="21"/>
              </w:rPr>
              <w:t xml:space="preserve"> </w:t>
            </w:r>
            <w:r>
              <w:rPr>
                <w:rFonts w:ascii="宋体" w:hAnsi="宋体" w:eastAsia="宋体" w:cs="仿宋"/>
                <w:bCs/>
                <w:szCs w:val="21"/>
              </w:rPr>
              <w:t xml:space="preserve">   </w:t>
            </w:r>
            <w:r>
              <w:rPr>
                <w:rFonts w:hint="eastAsia" w:ascii="宋体" w:hAnsi="宋体" w:eastAsia="宋体" w:cs="仿宋"/>
                <w:bCs/>
                <w:szCs w:val="21"/>
              </w:rPr>
              <w:t>系统内置常规固定内容的报表，对医院的医疗服务能力、效率、安全等各项指标评价，以报表形式可视化展示并支持导出。对医疗质量数据进行全面、具体、及时的掌握，实施持续性的医疗质量评价监测，快速地应对医疗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Merge w:val="continue"/>
            <w:shd w:val="clear" w:color="auto" w:fill="auto"/>
            <w:vAlign w:val="center"/>
          </w:tcPr>
          <w:p>
            <w:pPr>
              <w:spacing w:line="276" w:lineRule="auto"/>
              <w:ind w:right="63"/>
              <w:jc w:val="left"/>
              <w:rPr>
                <w:rFonts w:ascii="宋体" w:hAnsi="宋体" w:eastAsia="宋体" w:cs="仿宋"/>
                <w:bCs/>
                <w:szCs w:val="21"/>
              </w:rPr>
            </w:pPr>
          </w:p>
        </w:tc>
        <w:tc>
          <w:tcPr>
            <w:tcW w:w="1330" w:type="pct"/>
            <w:shd w:val="clear" w:color="auto" w:fill="auto"/>
            <w:vAlign w:val="center"/>
          </w:tcPr>
          <w:p>
            <w:pPr>
              <w:spacing w:line="276" w:lineRule="auto"/>
              <w:ind w:right="63"/>
              <w:rPr>
                <w:rFonts w:ascii="宋体" w:hAnsi="宋体" w:eastAsia="宋体" w:cs="Calibri"/>
                <w:color w:val="000000"/>
                <w:sz w:val="22"/>
                <w:szCs w:val="22"/>
              </w:rPr>
            </w:pPr>
            <w:r>
              <w:rPr>
                <w:rFonts w:hint="eastAsia" w:ascii="宋体" w:hAnsi="宋体" w:eastAsia="宋体" w:cs="Calibri"/>
                <w:color w:val="000000"/>
                <w:sz w:val="22"/>
                <w:szCs w:val="22"/>
              </w:rPr>
              <w:t>4.9.2科室指标统计</w:t>
            </w:r>
          </w:p>
        </w:tc>
        <w:tc>
          <w:tcPr>
            <w:tcW w:w="2734" w:type="pct"/>
          </w:tcPr>
          <w:p>
            <w:pPr>
              <w:spacing w:line="276" w:lineRule="auto"/>
              <w:ind w:right="63"/>
              <w:rPr>
                <w:rFonts w:ascii="宋体" w:hAnsi="宋体" w:eastAsia="宋体" w:cs="仿宋"/>
                <w:bCs/>
                <w:szCs w:val="21"/>
              </w:rPr>
            </w:pPr>
            <w:r>
              <w:rPr>
                <w:rFonts w:hint="eastAsia" w:ascii="宋体" w:hAnsi="宋体" w:eastAsia="宋体" w:cs="仿宋"/>
                <w:bCs/>
                <w:szCs w:val="21"/>
              </w:rPr>
              <w:t xml:space="preserve"> </w:t>
            </w:r>
            <w:r>
              <w:rPr>
                <w:rFonts w:ascii="宋体" w:hAnsi="宋体" w:eastAsia="宋体" w:cs="仿宋"/>
                <w:bCs/>
                <w:szCs w:val="21"/>
              </w:rPr>
              <w:t xml:space="preserve">   </w:t>
            </w:r>
            <w:r>
              <w:rPr>
                <w:rFonts w:hint="eastAsia" w:ascii="宋体" w:hAnsi="宋体" w:eastAsia="宋体" w:cs="仿宋"/>
                <w:bCs/>
                <w:szCs w:val="21"/>
              </w:rPr>
              <w:t>对科室</w:t>
            </w:r>
            <w:r>
              <w:rPr>
                <w:rFonts w:hint="eastAsia" w:ascii="宋体" w:hAnsi="宋体" w:eastAsia="宋体" w:cstheme="minorBidi"/>
              </w:rPr>
              <w:t>医保费用使用信息、医保超标、医疗总费用、收治人次、平均住院日、自费费用、药费比例等信息进行总结分析。</w:t>
            </w:r>
            <w:r>
              <w:rPr>
                <w:rFonts w:hint="eastAsia" w:ascii="宋体" w:hAnsi="宋体" w:eastAsia="宋体" w:cs="仿宋"/>
                <w:bCs/>
                <w:szCs w:val="21"/>
              </w:rPr>
              <w:t>为本科室制定计划、检查、总结工作，为提高医疗质量、工作效率和管理水平提供准确的数字依据。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Merge w:val="continue"/>
            <w:shd w:val="clear" w:color="auto" w:fill="auto"/>
            <w:vAlign w:val="center"/>
          </w:tcPr>
          <w:p>
            <w:pPr>
              <w:spacing w:line="276" w:lineRule="auto"/>
              <w:ind w:right="63"/>
              <w:jc w:val="left"/>
              <w:rPr>
                <w:rFonts w:ascii="宋体" w:hAnsi="宋体" w:eastAsia="宋体" w:cs="仿宋"/>
                <w:bCs/>
                <w:szCs w:val="21"/>
              </w:rPr>
            </w:pPr>
          </w:p>
        </w:tc>
        <w:tc>
          <w:tcPr>
            <w:tcW w:w="1330" w:type="pct"/>
            <w:shd w:val="clear" w:color="auto" w:fill="auto"/>
            <w:vAlign w:val="center"/>
          </w:tcPr>
          <w:p>
            <w:pPr>
              <w:spacing w:line="276" w:lineRule="auto"/>
              <w:ind w:right="63"/>
              <w:rPr>
                <w:rFonts w:ascii="宋体" w:hAnsi="宋体" w:eastAsia="宋体" w:cs="Calibri"/>
                <w:color w:val="000000"/>
                <w:sz w:val="22"/>
                <w:szCs w:val="22"/>
              </w:rPr>
            </w:pPr>
            <w:r>
              <w:rPr>
                <w:rFonts w:hint="eastAsia" w:ascii="宋体" w:hAnsi="宋体" w:eastAsia="宋体" w:cs="Calibri"/>
                <w:color w:val="000000"/>
                <w:sz w:val="22"/>
                <w:szCs w:val="22"/>
              </w:rPr>
              <w:t>4.9.3医疗服务统计</w:t>
            </w:r>
          </w:p>
        </w:tc>
        <w:tc>
          <w:tcPr>
            <w:tcW w:w="2734" w:type="pct"/>
          </w:tcPr>
          <w:p>
            <w:pPr>
              <w:spacing w:line="276" w:lineRule="auto"/>
              <w:ind w:right="63"/>
              <w:rPr>
                <w:rFonts w:ascii="宋体" w:hAnsi="宋体" w:eastAsia="宋体" w:cs="仿宋"/>
                <w:bCs/>
                <w:szCs w:val="21"/>
              </w:rPr>
            </w:pPr>
            <w:r>
              <w:rPr>
                <w:rFonts w:hint="eastAsia" w:ascii="宋体" w:hAnsi="宋体" w:eastAsia="宋体" w:cs="仿宋"/>
                <w:bCs/>
                <w:szCs w:val="21"/>
              </w:rPr>
              <w:t xml:space="preserve"> </w:t>
            </w:r>
            <w:r>
              <w:rPr>
                <w:rFonts w:ascii="宋体" w:hAnsi="宋体" w:eastAsia="宋体" w:cs="仿宋"/>
                <w:bCs/>
                <w:szCs w:val="21"/>
              </w:rPr>
              <w:t xml:space="preserve">   </w:t>
            </w:r>
            <w:r>
              <w:rPr>
                <w:rFonts w:hint="eastAsia" w:ascii="宋体" w:hAnsi="宋体" w:eastAsia="宋体" w:cs="仿宋"/>
                <w:bCs/>
                <w:szCs w:val="21"/>
              </w:rPr>
              <w:t>从产能、效率、安全三个层面，建立DRG住院医疗服务绩效综合评价数学模型，实现从医院-科室-主诊组-医师四层钻取，建立以DRG为驱动的病种管理体系，实现医院内部医疗服务绩效和医疗质量的精细化管理。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Merge w:val="continue"/>
            <w:shd w:val="clear" w:color="auto" w:fill="auto"/>
            <w:vAlign w:val="center"/>
          </w:tcPr>
          <w:p>
            <w:pPr>
              <w:spacing w:line="276" w:lineRule="auto"/>
              <w:ind w:right="63"/>
              <w:jc w:val="left"/>
              <w:rPr>
                <w:rFonts w:ascii="宋体" w:hAnsi="宋体" w:eastAsia="宋体" w:cs="仿宋"/>
                <w:bCs/>
                <w:szCs w:val="21"/>
              </w:rPr>
            </w:pPr>
          </w:p>
        </w:tc>
        <w:tc>
          <w:tcPr>
            <w:tcW w:w="1330" w:type="pct"/>
            <w:shd w:val="clear" w:color="auto" w:fill="auto"/>
            <w:vAlign w:val="center"/>
          </w:tcPr>
          <w:p>
            <w:pPr>
              <w:spacing w:line="276" w:lineRule="auto"/>
              <w:ind w:right="63"/>
              <w:rPr>
                <w:rFonts w:ascii="宋体" w:hAnsi="宋体" w:eastAsia="宋体" w:cs="Calibri"/>
                <w:color w:val="000000"/>
                <w:sz w:val="22"/>
                <w:szCs w:val="22"/>
              </w:rPr>
            </w:pPr>
            <w:r>
              <w:rPr>
                <w:rFonts w:hint="eastAsia" w:ascii="宋体" w:hAnsi="宋体" w:eastAsia="宋体" w:cs="Calibri"/>
                <w:color w:val="000000"/>
                <w:sz w:val="22"/>
                <w:szCs w:val="22"/>
              </w:rPr>
              <w:t>4.9.4病组医疗服务统计</w:t>
            </w:r>
          </w:p>
        </w:tc>
        <w:tc>
          <w:tcPr>
            <w:tcW w:w="2734" w:type="pct"/>
          </w:tcPr>
          <w:p>
            <w:pPr>
              <w:spacing w:line="276" w:lineRule="auto"/>
              <w:ind w:right="63"/>
              <w:rPr>
                <w:rFonts w:ascii="宋体" w:hAnsi="宋体" w:eastAsia="宋体" w:cs="仿宋"/>
                <w:bCs/>
                <w:szCs w:val="21"/>
              </w:rPr>
            </w:pPr>
            <w:r>
              <w:rPr>
                <w:rFonts w:hint="eastAsia" w:ascii="宋体" w:hAnsi="宋体" w:eastAsia="宋体" w:cs="仿宋"/>
                <w:bCs/>
                <w:szCs w:val="21"/>
              </w:rPr>
              <w:t xml:space="preserve"> </w:t>
            </w:r>
            <w:r>
              <w:rPr>
                <w:rFonts w:ascii="宋体" w:hAnsi="宋体" w:eastAsia="宋体" w:cs="仿宋"/>
                <w:bCs/>
                <w:szCs w:val="21"/>
              </w:rPr>
              <w:t xml:space="preserve">   </w:t>
            </w:r>
            <w:r>
              <w:rPr>
                <w:rFonts w:ascii="宋体" w:hAnsi="宋体" w:eastAsia="宋体" w:cstheme="minorBidi"/>
              </w:rPr>
              <w:t>通过</w:t>
            </w:r>
            <w:r>
              <w:rPr>
                <w:rFonts w:hint="eastAsia" w:ascii="宋体" w:hAnsi="宋体" w:eastAsia="宋体" w:cstheme="minorBidi"/>
              </w:rPr>
              <w:t>重点病组监测及服务效率标杆对比、病组结构分析</w:t>
            </w:r>
            <w:r>
              <w:rPr>
                <w:rFonts w:ascii="宋体" w:hAnsi="宋体" w:eastAsia="宋体" w:cstheme="minorBidi"/>
              </w:rPr>
              <w:t>、DRG付费监控等科学流程实现院内整体费用的控制</w:t>
            </w:r>
            <w:r>
              <w:rPr>
                <w:rFonts w:hint="eastAsia" w:ascii="宋体" w:hAnsi="宋体" w:eastAsia="宋体" w:cstheme="minorBid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Merge w:val="continue"/>
            <w:shd w:val="clear" w:color="auto" w:fill="auto"/>
            <w:vAlign w:val="center"/>
          </w:tcPr>
          <w:p>
            <w:pPr>
              <w:spacing w:line="276" w:lineRule="auto"/>
              <w:ind w:right="63"/>
              <w:jc w:val="left"/>
              <w:rPr>
                <w:rFonts w:ascii="宋体" w:hAnsi="宋体" w:eastAsia="宋体" w:cs="仿宋"/>
                <w:bCs/>
                <w:szCs w:val="21"/>
              </w:rPr>
            </w:pPr>
          </w:p>
        </w:tc>
        <w:tc>
          <w:tcPr>
            <w:tcW w:w="1330" w:type="pct"/>
            <w:shd w:val="clear" w:color="auto" w:fill="auto"/>
            <w:vAlign w:val="center"/>
          </w:tcPr>
          <w:p>
            <w:pPr>
              <w:spacing w:line="276" w:lineRule="auto"/>
              <w:ind w:right="63"/>
              <w:rPr>
                <w:rFonts w:ascii="宋体" w:hAnsi="宋体" w:eastAsia="宋体" w:cs="Calibri"/>
                <w:color w:val="000000"/>
                <w:sz w:val="22"/>
                <w:szCs w:val="22"/>
              </w:rPr>
            </w:pPr>
            <w:r>
              <w:rPr>
                <w:rFonts w:hint="eastAsia" w:ascii="宋体" w:hAnsi="宋体" w:eastAsia="宋体" w:cs="Calibri"/>
                <w:color w:val="000000"/>
                <w:sz w:val="22"/>
                <w:szCs w:val="22"/>
              </w:rPr>
              <w:t>4.9.5手术、操作指标统计</w:t>
            </w:r>
          </w:p>
        </w:tc>
        <w:tc>
          <w:tcPr>
            <w:tcW w:w="2734" w:type="pct"/>
          </w:tcPr>
          <w:p>
            <w:pPr>
              <w:spacing w:line="276" w:lineRule="auto"/>
              <w:ind w:right="63"/>
              <w:rPr>
                <w:rFonts w:ascii="宋体" w:hAnsi="宋体" w:eastAsia="宋体" w:cs="仿宋"/>
                <w:bCs/>
                <w:szCs w:val="21"/>
              </w:rPr>
            </w:pPr>
            <w:r>
              <w:rPr>
                <w:rFonts w:hint="eastAsia" w:ascii="宋体" w:hAnsi="宋体" w:eastAsia="宋体" w:cs="仿宋"/>
                <w:bCs/>
                <w:szCs w:val="21"/>
              </w:rPr>
              <w:t xml:space="preserve"> </w:t>
            </w:r>
            <w:r>
              <w:rPr>
                <w:rFonts w:ascii="宋体" w:hAnsi="宋体" w:eastAsia="宋体" w:cs="仿宋"/>
                <w:bCs/>
                <w:szCs w:val="21"/>
              </w:rPr>
              <w:t xml:space="preserve">   </w:t>
            </w:r>
            <w:r>
              <w:rPr>
                <w:rFonts w:hint="eastAsia" w:ascii="宋体" w:hAnsi="宋体" w:eastAsia="宋体" w:cs="仿宋"/>
                <w:bCs/>
                <w:szCs w:val="21"/>
              </w:rPr>
              <w:t>统计出院患者手术占比、出院患者微创手术占比、出院患者四级手术占比、手术患者并发症发生率等手术指标，监控医院医疗技术、医疗能力和医疗质量安全管理状态。</w:t>
            </w:r>
          </w:p>
        </w:tc>
      </w:tr>
    </w:tbl>
    <w:p>
      <w:pPr>
        <w:pStyle w:val="2"/>
        <w:numPr>
          <w:ilvl w:val="0"/>
          <w:numId w:val="3"/>
        </w:numPr>
        <w:spacing w:before="0" w:after="0"/>
        <w:rPr>
          <w:rFonts w:ascii="宋体" w:hAnsi="宋体"/>
          <w:sz w:val="21"/>
          <w:szCs w:val="21"/>
        </w:rPr>
      </w:pPr>
      <w:r>
        <w:rPr>
          <w:rFonts w:hint="eastAsia" w:ascii="宋体" w:hAnsi="宋体"/>
          <w:sz w:val="32"/>
          <w:szCs w:val="32"/>
        </w:rPr>
        <w:t>项目工期</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rPr>
        <w:t>自合同签订日起，须在</w:t>
      </w:r>
      <w:r>
        <w:rPr>
          <w:rFonts w:hint="eastAsia" w:ascii="宋体" w:hAnsi="宋体"/>
          <w:lang w:val="en-US" w:eastAsia="zh-CN"/>
        </w:rPr>
        <w:t>60</w:t>
      </w:r>
      <w:r>
        <w:rPr>
          <w:rFonts w:hint="eastAsia" w:ascii="宋体" w:hAnsi="宋体"/>
        </w:rPr>
        <w:t>个工作日内完成系统安装，实施期间</w:t>
      </w:r>
      <w:r>
        <w:rPr>
          <w:rFonts w:hint="eastAsia" w:ascii="宋体" w:hAnsi="宋体"/>
          <w:lang w:val="en-US" w:eastAsia="zh-CN"/>
        </w:rPr>
        <w:t>至少</w:t>
      </w:r>
      <w:r>
        <w:rPr>
          <w:rFonts w:hint="eastAsia" w:ascii="宋体" w:hAnsi="宋体" w:cs="宋体"/>
          <w:szCs w:val="21"/>
        </w:rPr>
        <w:t>提供专职工程师</w:t>
      </w:r>
      <w:r>
        <w:rPr>
          <w:rFonts w:hint="eastAsia" w:ascii="宋体" w:hAnsi="宋体"/>
          <w:lang w:val="en-US" w:eastAsia="zh-CN"/>
        </w:rPr>
        <w:t>1</w:t>
      </w:r>
      <w:r>
        <w:rPr>
          <w:rFonts w:hint="eastAsia" w:ascii="宋体" w:hAnsi="宋体" w:cs="宋体"/>
          <w:szCs w:val="21"/>
        </w:rPr>
        <w:t>名驻扎本院，工作时间与院方工作时间一致，并且提供7*24小时响应服务</w:t>
      </w:r>
      <w:r>
        <w:rPr>
          <w:rFonts w:hint="eastAsia" w:ascii="宋体" w:hAnsi="宋体"/>
        </w:rPr>
        <w:t>。</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pPr>
        <w:spacing w:before="156" w:beforeLines="50" w:line="360" w:lineRule="auto"/>
        <w:ind w:firstLine="420"/>
        <w:outlineLvl w:val="0"/>
        <w:rPr>
          <w:rFonts w:ascii="宋体" w:hAnsi="宋体"/>
        </w:rPr>
      </w:pPr>
      <w:r>
        <w:rPr>
          <w:rFonts w:hint="eastAsia" w:ascii="宋体" w:hAnsi="宋体" w:cs="宋体"/>
          <w:szCs w:val="21"/>
        </w:rPr>
        <w:t>完成软件实施后</w:t>
      </w:r>
      <w:r>
        <w:rPr>
          <w:rFonts w:hint="eastAsia" w:ascii="宋体" w:hAnsi="宋体" w:cs="宋体"/>
          <w:szCs w:val="21"/>
          <w:lang w:val="en-US" w:eastAsia="zh-CN"/>
        </w:rPr>
        <w:t>至少</w:t>
      </w:r>
      <w:r>
        <w:rPr>
          <w:rFonts w:hint="eastAsia" w:ascii="宋体" w:hAnsi="宋体" w:cs="宋体"/>
          <w:szCs w:val="21"/>
        </w:rPr>
        <w:t>派</w:t>
      </w:r>
      <w:r>
        <w:rPr>
          <w:rFonts w:hint="eastAsia" w:ascii="宋体" w:hAnsi="宋体"/>
          <w:lang w:val="en-US" w:eastAsia="zh-CN"/>
        </w:rPr>
        <w:t>1</w:t>
      </w:r>
      <w:r>
        <w:rPr>
          <w:rFonts w:hint="eastAsia" w:ascii="宋体" w:hAnsi="宋体" w:cs="宋体"/>
          <w:szCs w:val="21"/>
        </w:rPr>
        <w:t>名技术专员进行为期</w:t>
      </w:r>
      <w:r>
        <w:rPr>
          <w:rFonts w:hint="eastAsia" w:ascii="宋体" w:hAnsi="宋体" w:cs="宋体"/>
          <w:szCs w:val="21"/>
          <w:lang w:val="en-US" w:eastAsia="zh-CN"/>
        </w:rPr>
        <w:t>至少3</w:t>
      </w:r>
      <w:r>
        <w:rPr>
          <w:rFonts w:hint="eastAsia" w:ascii="宋体" w:hAnsi="宋体" w:cs="宋体"/>
          <w:szCs w:val="21"/>
        </w:rPr>
        <w:t>天的现场培训，系统运行</w:t>
      </w:r>
      <w:r>
        <w:rPr>
          <w:rFonts w:hint="eastAsia" w:ascii="宋体" w:hAnsi="宋体"/>
          <w:lang w:val="en-US" w:eastAsia="zh-CN"/>
        </w:rPr>
        <w:t>3</w:t>
      </w:r>
      <w:r>
        <w:rPr>
          <w:rFonts w:hint="eastAsia" w:ascii="宋体" w:hAnsi="宋体" w:cs="宋体"/>
          <w:szCs w:val="21"/>
        </w:rPr>
        <w:t>个月以上无软件故障出现，则向院方申请验收。</w:t>
      </w:r>
    </w:p>
    <w:p>
      <w:pPr>
        <w:pStyle w:val="2"/>
        <w:numPr>
          <w:ilvl w:val="0"/>
          <w:numId w:val="3"/>
        </w:numPr>
        <w:spacing w:before="0" w:after="0"/>
        <w:rPr>
          <w:rFonts w:ascii="宋体" w:hAnsi="宋体"/>
          <w:color w:val="FF0000"/>
          <w:sz w:val="32"/>
          <w:szCs w:val="32"/>
        </w:rPr>
      </w:pPr>
      <w:r>
        <w:rPr>
          <w:rFonts w:hint="eastAsia" w:ascii="宋体" w:hAnsi="宋体"/>
          <w:sz w:val="32"/>
          <w:szCs w:val="32"/>
        </w:rPr>
        <w:t>后续</w:t>
      </w:r>
      <w:r>
        <w:rPr>
          <w:rFonts w:ascii="宋体" w:hAnsi="宋体"/>
          <w:sz w:val="32"/>
          <w:szCs w:val="32"/>
        </w:rPr>
        <w:t>服务要求</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软件免费维护期从合同标的验收合格之日算起，期限为</w:t>
      </w:r>
      <w:r>
        <w:rPr>
          <w:rFonts w:hint="eastAsia" w:ascii="宋体" w:hAnsi="宋体" w:cs="宋体"/>
          <w:szCs w:val="21"/>
          <w:lang w:val="en-US" w:eastAsia="zh-CN"/>
        </w:rPr>
        <w:t>至少12</w:t>
      </w:r>
      <w:r>
        <w:rPr>
          <w:rFonts w:hint="eastAsia" w:ascii="宋体" w:hAnsi="宋体" w:cs="宋体"/>
          <w:szCs w:val="21"/>
        </w:rPr>
        <w:t>个月。在免费维护期内，承建商提供技术支持和</w:t>
      </w:r>
      <w:r>
        <w:t>升级服务</w:t>
      </w:r>
      <w:r>
        <w:rPr>
          <w:rFonts w:hint="eastAsia" w:ascii="宋体" w:hAnsi="宋体" w:cs="宋体"/>
          <w:szCs w:val="21"/>
        </w:rPr>
        <w:t>，需要提供完整的操作手册。</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免费维保期内承建商为院方提供维护及服务的部门及固定的专职技术人员</w:t>
      </w:r>
      <w:r>
        <w:rPr>
          <w:rFonts w:hint="eastAsia" w:ascii="宋体" w:hAnsi="宋体" w:cs="宋体"/>
          <w:szCs w:val="21"/>
          <w:lang w:val="en-US" w:eastAsia="zh-CN"/>
        </w:rPr>
        <w:t>至少1名</w:t>
      </w:r>
      <w:r>
        <w:rPr>
          <w:rFonts w:hint="eastAsia" w:ascii="宋体" w:hAnsi="宋体" w:cs="宋体"/>
          <w:szCs w:val="21"/>
        </w:rPr>
        <w:t>，工作时间与院方工作时间一致，并且提供7*24小时响应服务。</w:t>
      </w:r>
      <w:bookmarkStart w:id="2" w:name="_GoBack"/>
      <w:bookmarkEnd w:id="2"/>
    </w:p>
    <w:p>
      <w:pPr>
        <w:pStyle w:val="2"/>
        <w:numPr>
          <w:ilvl w:val="0"/>
          <w:numId w:val="3"/>
        </w:numPr>
        <w:spacing w:before="0" w:after="0"/>
        <w:rPr>
          <w:rFonts w:ascii="宋体" w:hAnsi="宋体"/>
          <w:color w:val="FF0000"/>
          <w:sz w:val="32"/>
          <w:szCs w:val="32"/>
        </w:rPr>
      </w:pPr>
      <w:r>
        <w:rPr>
          <w:rFonts w:hint="eastAsia" w:ascii="宋体" w:hAnsi="宋体"/>
          <w:sz w:val="32"/>
          <w:szCs w:val="32"/>
        </w:rPr>
        <w:t>合同款支付方式</w:t>
      </w:r>
    </w:p>
    <w:p>
      <w:pPr>
        <w:spacing w:line="360" w:lineRule="auto"/>
        <w:ind w:firstLine="420"/>
        <w:rPr>
          <w:rFonts w:ascii="宋体" w:hAnsi="宋体" w:cs="宋体"/>
          <w:szCs w:val="21"/>
        </w:rPr>
      </w:pPr>
      <w:r>
        <w:rPr>
          <w:rFonts w:hint="eastAsia" w:ascii="宋体" w:hAnsi="宋体" w:cs="宋体"/>
          <w:szCs w:val="21"/>
        </w:rPr>
        <w:t>(一)合同签订后，在收到承建商开具相应金额正式发票后，支付合同总金额的30%。</w:t>
      </w:r>
    </w:p>
    <w:p>
      <w:pPr>
        <w:spacing w:line="360" w:lineRule="auto"/>
        <w:ind w:firstLine="420"/>
        <w:rPr>
          <w:rFonts w:ascii="宋体" w:hAnsi="宋体" w:cs="宋体"/>
          <w:szCs w:val="21"/>
        </w:rPr>
      </w:pPr>
      <w:r>
        <w:rPr>
          <w:rFonts w:hint="eastAsia" w:ascii="宋体" w:hAnsi="宋体" w:cs="宋体"/>
          <w:szCs w:val="21"/>
        </w:rPr>
        <w:t>(二)软件验收通过后，在收到承建商开具相应金额正式发票后，支付合同总金额的65%。</w:t>
      </w:r>
    </w:p>
    <w:p>
      <w:pPr>
        <w:spacing w:line="360" w:lineRule="auto"/>
        <w:ind w:firstLine="420"/>
        <w:rPr>
          <w:rFonts w:ascii="宋体" w:hAnsi="宋体" w:cs="宋体"/>
          <w:szCs w:val="21"/>
        </w:rPr>
      </w:pPr>
      <w:r>
        <w:rPr>
          <w:rFonts w:hint="eastAsia" w:ascii="宋体" w:hAnsi="宋体" w:cs="宋体"/>
          <w:szCs w:val="21"/>
        </w:rPr>
        <w:t>(三)维护期结束后，由院方对承建商在服务期内应完成任务进行确认并通过后1个月内，支付最后一笔尾款。</w:t>
      </w:r>
    </w:p>
    <w:sectPr>
      <w:footerReference r:id="rId5" w:type="default"/>
      <w:pgSz w:w="11906" w:h="16838"/>
      <w:pgMar w:top="1021" w:right="1418" w:bottom="1021"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6</w:t>
    </w:r>
    <w:r>
      <w:rPr>
        <w:caps/>
        <w:color w:val="5B9BD5"/>
      </w:rPr>
      <w:fldChar w:fldCharType="end"/>
    </w:r>
  </w:p>
  <w:p>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F21BC2"/>
    <w:multiLevelType w:val="multilevel"/>
    <w:tmpl w:val="1CF21BC2"/>
    <w:lvl w:ilvl="0" w:tentative="0">
      <w:start w:val="1"/>
      <w:numFmt w:val="decimal"/>
      <w:pStyle w:val="78"/>
      <w:lvlText w:val="%1)"/>
      <w:lvlJc w:val="left"/>
      <w:pPr>
        <w:ind w:left="480" w:hanging="480"/>
      </w:pPr>
      <w:rPr>
        <w:rFonts w:hint="default" w:ascii="Arial" w:hAnsi="Arial" w:eastAsia="宋体"/>
      </w:rPr>
    </w:lvl>
    <w:lvl w:ilvl="1" w:tentative="0">
      <w:start w:val="1"/>
      <w:numFmt w:val="lowerLetter"/>
      <w:lvlText w:val="%2)"/>
      <w:lvlJc w:val="left"/>
      <w:pPr>
        <w:ind w:left="1440" w:hanging="480"/>
      </w:pPr>
      <w:rPr>
        <w:rFonts w:hint="eastAsia"/>
      </w:rPr>
    </w:lvl>
    <w:lvl w:ilvl="2" w:tentative="0">
      <w:start w:val="1"/>
      <w:numFmt w:val="lowerRoman"/>
      <w:lvlText w:val="%3."/>
      <w:lvlJc w:val="right"/>
      <w:pPr>
        <w:ind w:left="1920" w:hanging="480"/>
      </w:pPr>
      <w:rPr>
        <w:rFonts w:hint="eastAsia"/>
      </w:rPr>
    </w:lvl>
    <w:lvl w:ilvl="3" w:tentative="0">
      <w:start w:val="1"/>
      <w:numFmt w:val="decimal"/>
      <w:lvlText w:val="%4."/>
      <w:lvlJc w:val="left"/>
      <w:pPr>
        <w:ind w:left="2400" w:hanging="480"/>
      </w:pPr>
      <w:rPr>
        <w:rFonts w:hint="eastAsia"/>
      </w:rPr>
    </w:lvl>
    <w:lvl w:ilvl="4" w:tentative="0">
      <w:start w:val="1"/>
      <w:numFmt w:val="lowerLetter"/>
      <w:lvlText w:val="%5)"/>
      <w:lvlJc w:val="left"/>
      <w:pPr>
        <w:ind w:left="2880" w:hanging="480"/>
      </w:pPr>
      <w:rPr>
        <w:rFonts w:hint="eastAsia"/>
      </w:rPr>
    </w:lvl>
    <w:lvl w:ilvl="5" w:tentative="0">
      <w:start w:val="1"/>
      <w:numFmt w:val="lowerRoman"/>
      <w:lvlText w:val="%6."/>
      <w:lvlJc w:val="right"/>
      <w:pPr>
        <w:ind w:left="3360" w:hanging="480"/>
      </w:pPr>
      <w:rPr>
        <w:rFonts w:hint="eastAsia"/>
      </w:rPr>
    </w:lvl>
    <w:lvl w:ilvl="6" w:tentative="0">
      <w:start w:val="1"/>
      <w:numFmt w:val="decimal"/>
      <w:lvlText w:val="%7."/>
      <w:lvlJc w:val="left"/>
      <w:pPr>
        <w:ind w:left="3840" w:hanging="480"/>
      </w:pPr>
      <w:rPr>
        <w:rFonts w:hint="eastAsia"/>
      </w:rPr>
    </w:lvl>
    <w:lvl w:ilvl="7" w:tentative="0">
      <w:start w:val="1"/>
      <w:numFmt w:val="lowerLetter"/>
      <w:lvlText w:val="%8)"/>
      <w:lvlJc w:val="left"/>
      <w:pPr>
        <w:ind w:left="4320" w:hanging="480"/>
      </w:pPr>
      <w:rPr>
        <w:rFonts w:hint="eastAsia"/>
      </w:rPr>
    </w:lvl>
    <w:lvl w:ilvl="8" w:tentative="0">
      <w:start w:val="1"/>
      <w:numFmt w:val="lowerRoman"/>
      <w:lvlText w:val="%9."/>
      <w:lvlJc w:val="right"/>
      <w:pPr>
        <w:ind w:left="4800" w:hanging="480"/>
      </w:pPr>
      <w:rPr>
        <w:rFonts w:hint="eastAsia"/>
      </w:r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lvlText w:val="5.1.1.%4"/>
      <w:lvlJc w:val="left"/>
      <w:pPr>
        <w:ind w:left="864" w:hanging="864"/>
      </w:pPr>
      <w:rPr>
        <w:rFonts w:hint="eastAsia"/>
      </w:rPr>
    </w:lvl>
    <w:lvl w:ilvl="4" w:tentative="0">
      <w:start w:val="1"/>
      <w:numFmt w:val="decimal"/>
      <w:lvlText w:val="5.1.1.1.%5"/>
      <w:lvlJc w:val="left"/>
      <w:pPr>
        <w:ind w:left="2142"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xY2Q2MGM5MDcwNTczZThmMmNjZDA4NTZlMDVmNGMifQ=="/>
    <w:docVar w:name="KSO_WPS_MARK_KEY" w:val="e9a7c2b1-b6cb-42b3-8a27-79708d26672f"/>
  </w:docVars>
  <w:rsids>
    <w:rsidRoot w:val="00303343"/>
    <w:rsid w:val="000051D2"/>
    <w:rsid w:val="000066C3"/>
    <w:rsid w:val="000079DD"/>
    <w:rsid w:val="00012DCC"/>
    <w:rsid w:val="00016B63"/>
    <w:rsid w:val="000213F4"/>
    <w:rsid w:val="000345E2"/>
    <w:rsid w:val="00042DAC"/>
    <w:rsid w:val="0004334E"/>
    <w:rsid w:val="00046B39"/>
    <w:rsid w:val="00054706"/>
    <w:rsid w:val="00062A42"/>
    <w:rsid w:val="00066DE7"/>
    <w:rsid w:val="00067096"/>
    <w:rsid w:val="00074EDD"/>
    <w:rsid w:val="000757C1"/>
    <w:rsid w:val="000758B4"/>
    <w:rsid w:val="00086AE0"/>
    <w:rsid w:val="0009064D"/>
    <w:rsid w:val="00090A18"/>
    <w:rsid w:val="000922D7"/>
    <w:rsid w:val="00092449"/>
    <w:rsid w:val="000957A2"/>
    <w:rsid w:val="000A105A"/>
    <w:rsid w:val="000B41B7"/>
    <w:rsid w:val="000B5140"/>
    <w:rsid w:val="000C43DA"/>
    <w:rsid w:val="000C4507"/>
    <w:rsid w:val="000C6796"/>
    <w:rsid w:val="000C6F14"/>
    <w:rsid w:val="000D1030"/>
    <w:rsid w:val="000D5317"/>
    <w:rsid w:val="000E276C"/>
    <w:rsid w:val="000F2EB8"/>
    <w:rsid w:val="000F4B02"/>
    <w:rsid w:val="000F76AD"/>
    <w:rsid w:val="000F7757"/>
    <w:rsid w:val="000F7F7B"/>
    <w:rsid w:val="00106D68"/>
    <w:rsid w:val="001106CE"/>
    <w:rsid w:val="001107F8"/>
    <w:rsid w:val="001116F6"/>
    <w:rsid w:val="00115944"/>
    <w:rsid w:val="001161EB"/>
    <w:rsid w:val="00116C11"/>
    <w:rsid w:val="00121E40"/>
    <w:rsid w:val="0012322D"/>
    <w:rsid w:val="00123CDF"/>
    <w:rsid w:val="00123FCC"/>
    <w:rsid w:val="00127709"/>
    <w:rsid w:val="00133B96"/>
    <w:rsid w:val="00135BF9"/>
    <w:rsid w:val="001365DD"/>
    <w:rsid w:val="00136606"/>
    <w:rsid w:val="00140E0C"/>
    <w:rsid w:val="001419B5"/>
    <w:rsid w:val="00143C41"/>
    <w:rsid w:val="0014437A"/>
    <w:rsid w:val="00144FC7"/>
    <w:rsid w:val="00147B36"/>
    <w:rsid w:val="001501FD"/>
    <w:rsid w:val="001510F0"/>
    <w:rsid w:val="0015278B"/>
    <w:rsid w:val="00153AB3"/>
    <w:rsid w:val="00156B1F"/>
    <w:rsid w:val="00156C96"/>
    <w:rsid w:val="00162D29"/>
    <w:rsid w:val="00164878"/>
    <w:rsid w:val="00165091"/>
    <w:rsid w:val="00171903"/>
    <w:rsid w:val="00176E5D"/>
    <w:rsid w:val="0018200C"/>
    <w:rsid w:val="001833B6"/>
    <w:rsid w:val="00184014"/>
    <w:rsid w:val="00190CD2"/>
    <w:rsid w:val="00194BFE"/>
    <w:rsid w:val="001951A2"/>
    <w:rsid w:val="001968C9"/>
    <w:rsid w:val="00197B45"/>
    <w:rsid w:val="001A22A1"/>
    <w:rsid w:val="001A4535"/>
    <w:rsid w:val="001B0279"/>
    <w:rsid w:val="001B32F6"/>
    <w:rsid w:val="001B4850"/>
    <w:rsid w:val="001B7966"/>
    <w:rsid w:val="001B7D79"/>
    <w:rsid w:val="001C23B3"/>
    <w:rsid w:val="001C53C9"/>
    <w:rsid w:val="001C6B93"/>
    <w:rsid w:val="001C7BC6"/>
    <w:rsid w:val="001D4A68"/>
    <w:rsid w:val="001D7749"/>
    <w:rsid w:val="001E1AC8"/>
    <w:rsid w:val="001E3B38"/>
    <w:rsid w:val="001E3C9F"/>
    <w:rsid w:val="001E4247"/>
    <w:rsid w:val="001E666F"/>
    <w:rsid w:val="001E671F"/>
    <w:rsid w:val="001F1AC8"/>
    <w:rsid w:val="00200054"/>
    <w:rsid w:val="002000DE"/>
    <w:rsid w:val="00202EFF"/>
    <w:rsid w:val="0020509F"/>
    <w:rsid w:val="00207A96"/>
    <w:rsid w:val="002138AB"/>
    <w:rsid w:val="00214A6F"/>
    <w:rsid w:val="002177E3"/>
    <w:rsid w:val="00221F1F"/>
    <w:rsid w:val="00223E47"/>
    <w:rsid w:val="00233E4E"/>
    <w:rsid w:val="00240194"/>
    <w:rsid w:val="00240D3B"/>
    <w:rsid w:val="00241D77"/>
    <w:rsid w:val="002509F5"/>
    <w:rsid w:val="002510C3"/>
    <w:rsid w:val="002535AA"/>
    <w:rsid w:val="00255C2E"/>
    <w:rsid w:val="00261CBC"/>
    <w:rsid w:val="00265DE7"/>
    <w:rsid w:val="00267862"/>
    <w:rsid w:val="00270260"/>
    <w:rsid w:val="002722CA"/>
    <w:rsid w:val="002776CA"/>
    <w:rsid w:val="00280B9C"/>
    <w:rsid w:val="002834D3"/>
    <w:rsid w:val="002853BF"/>
    <w:rsid w:val="0028699D"/>
    <w:rsid w:val="00292528"/>
    <w:rsid w:val="002948B1"/>
    <w:rsid w:val="002A01D6"/>
    <w:rsid w:val="002A25EB"/>
    <w:rsid w:val="002A4778"/>
    <w:rsid w:val="002A5CA7"/>
    <w:rsid w:val="002A6C66"/>
    <w:rsid w:val="002B1BFB"/>
    <w:rsid w:val="002B4A9C"/>
    <w:rsid w:val="002B5B72"/>
    <w:rsid w:val="002C53D1"/>
    <w:rsid w:val="002D0058"/>
    <w:rsid w:val="002D6BE1"/>
    <w:rsid w:val="002E180E"/>
    <w:rsid w:val="002E3653"/>
    <w:rsid w:val="002F04A5"/>
    <w:rsid w:val="002F31F1"/>
    <w:rsid w:val="002F4D74"/>
    <w:rsid w:val="002F52B1"/>
    <w:rsid w:val="0030154D"/>
    <w:rsid w:val="003024F8"/>
    <w:rsid w:val="00303343"/>
    <w:rsid w:val="00303CAB"/>
    <w:rsid w:val="003042A2"/>
    <w:rsid w:val="00304636"/>
    <w:rsid w:val="00307A4E"/>
    <w:rsid w:val="00310116"/>
    <w:rsid w:val="0031083C"/>
    <w:rsid w:val="00311322"/>
    <w:rsid w:val="00314487"/>
    <w:rsid w:val="00314A5A"/>
    <w:rsid w:val="00316A2A"/>
    <w:rsid w:val="00322973"/>
    <w:rsid w:val="00330A49"/>
    <w:rsid w:val="003325F0"/>
    <w:rsid w:val="00341038"/>
    <w:rsid w:val="00341DE5"/>
    <w:rsid w:val="00343CDE"/>
    <w:rsid w:val="00352E7C"/>
    <w:rsid w:val="00353276"/>
    <w:rsid w:val="003533C1"/>
    <w:rsid w:val="00356F95"/>
    <w:rsid w:val="00360458"/>
    <w:rsid w:val="00366980"/>
    <w:rsid w:val="00370A5D"/>
    <w:rsid w:val="003802E2"/>
    <w:rsid w:val="00385E95"/>
    <w:rsid w:val="00385FED"/>
    <w:rsid w:val="00397B7E"/>
    <w:rsid w:val="003A06F6"/>
    <w:rsid w:val="003A6FEA"/>
    <w:rsid w:val="003A7269"/>
    <w:rsid w:val="003B08E0"/>
    <w:rsid w:val="003B0D0A"/>
    <w:rsid w:val="003C0FB7"/>
    <w:rsid w:val="003C6D81"/>
    <w:rsid w:val="003D0F80"/>
    <w:rsid w:val="003D2595"/>
    <w:rsid w:val="003D34FC"/>
    <w:rsid w:val="003D70AC"/>
    <w:rsid w:val="003E009C"/>
    <w:rsid w:val="003E3B11"/>
    <w:rsid w:val="003E63CD"/>
    <w:rsid w:val="003E7083"/>
    <w:rsid w:val="003F3286"/>
    <w:rsid w:val="003F51E8"/>
    <w:rsid w:val="003F629F"/>
    <w:rsid w:val="00403938"/>
    <w:rsid w:val="004046D4"/>
    <w:rsid w:val="00406F87"/>
    <w:rsid w:val="00413DA3"/>
    <w:rsid w:val="00414171"/>
    <w:rsid w:val="00415C5E"/>
    <w:rsid w:val="0041787F"/>
    <w:rsid w:val="00423450"/>
    <w:rsid w:val="004258F8"/>
    <w:rsid w:val="0042702D"/>
    <w:rsid w:val="00427D3C"/>
    <w:rsid w:val="00435C81"/>
    <w:rsid w:val="0044060A"/>
    <w:rsid w:val="00440F72"/>
    <w:rsid w:val="00447DD9"/>
    <w:rsid w:val="004565AA"/>
    <w:rsid w:val="00456A2C"/>
    <w:rsid w:val="004625DD"/>
    <w:rsid w:val="004630DC"/>
    <w:rsid w:val="00474AE0"/>
    <w:rsid w:val="0047796F"/>
    <w:rsid w:val="00480B00"/>
    <w:rsid w:val="0048165D"/>
    <w:rsid w:val="00482931"/>
    <w:rsid w:val="004843AD"/>
    <w:rsid w:val="004900AE"/>
    <w:rsid w:val="00490CC4"/>
    <w:rsid w:val="004920B2"/>
    <w:rsid w:val="00495574"/>
    <w:rsid w:val="004A44FF"/>
    <w:rsid w:val="004A4846"/>
    <w:rsid w:val="004A7C3C"/>
    <w:rsid w:val="004B6B12"/>
    <w:rsid w:val="004B71A3"/>
    <w:rsid w:val="004B7B71"/>
    <w:rsid w:val="004C09E0"/>
    <w:rsid w:val="004C2C5B"/>
    <w:rsid w:val="004C5D6F"/>
    <w:rsid w:val="004D643B"/>
    <w:rsid w:val="004E2D8F"/>
    <w:rsid w:val="004E5E61"/>
    <w:rsid w:val="004F05D0"/>
    <w:rsid w:val="004F1410"/>
    <w:rsid w:val="004F4A66"/>
    <w:rsid w:val="004F6228"/>
    <w:rsid w:val="00500264"/>
    <w:rsid w:val="00501952"/>
    <w:rsid w:val="00502BFE"/>
    <w:rsid w:val="0050658F"/>
    <w:rsid w:val="00506850"/>
    <w:rsid w:val="00510B1E"/>
    <w:rsid w:val="00511C38"/>
    <w:rsid w:val="005120A9"/>
    <w:rsid w:val="0051558E"/>
    <w:rsid w:val="00515887"/>
    <w:rsid w:val="00517D7C"/>
    <w:rsid w:val="00520646"/>
    <w:rsid w:val="0052176F"/>
    <w:rsid w:val="00524EB8"/>
    <w:rsid w:val="0052604B"/>
    <w:rsid w:val="0053088D"/>
    <w:rsid w:val="00534BF6"/>
    <w:rsid w:val="00537CDE"/>
    <w:rsid w:val="005409FC"/>
    <w:rsid w:val="00540C64"/>
    <w:rsid w:val="00540DC7"/>
    <w:rsid w:val="0055111E"/>
    <w:rsid w:val="00551F48"/>
    <w:rsid w:val="005542B2"/>
    <w:rsid w:val="005563D3"/>
    <w:rsid w:val="00575827"/>
    <w:rsid w:val="00575F76"/>
    <w:rsid w:val="005766CE"/>
    <w:rsid w:val="00576E99"/>
    <w:rsid w:val="00580F0E"/>
    <w:rsid w:val="005848B0"/>
    <w:rsid w:val="005901A7"/>
    <w:rsid w:val="00591388"/>
    <w:rsid w:val="0059358B"/>
    <w:rsid w:val="005944F9"/>
    <w:rsid w:val="00595754"/>
    <w:rsid w:val="00596428"/>
    <w:rsid w:val="00596CC5"/>
    <w:rsid w:val="005A3DC5"/>
    <w:rsid w:val="005A4D1C"/>
    <w:rsid w:val="005A649D"/>
    <w:rsid w:val="005B046D"/>
    <w:rsid w:val="005B33AE"/>
    <w:rsid w:val="005B4225"/>
    <w:rsid w:val="005B7318"/>
    <w:rsid w:val="005C055A"/>
    <w:rsid w:val="005C49D7"/>
    <w:rsid w:val="005C503E"/>
    <w:rsid w:val="005C5598"/>
    <w:rsid w:val="005C60FB"/>
    <w:rsid w:val="005C7EF5"/>
    <w:rsid w:val="005D1C7F"/>
    <w:rsid w:val="005D20B9"/>
    <w:rsid w:val="005D2402"/>
    <w:rsid w:val="005D2BF6"/>
    <w:rsid w:val="005D2F0B"/>
    <w:rsid w:val="005D3A60"/>
    <w:rsid w:val="005D42CD"/>
    <w:rsid w:val="005D59A2"/>
    <w:rsid w:val="005D6B7D"/>
    <w:rsid w:val="005E13B1"/>
    <w:rsid w:val="005E4894"/>
    <w:rsid w:val="005E7C53"/>
    <w:rsid w:val="005F0356"/>
    <w:rsid w:val="005F5BFE"/>
    <w:rsid w:val="005F73BC"/>
    <w:rsid w:val="00600923"/>
    <w:rsid w:val="00601AA8"/>
    <w:rsid w:val="006053FC"/>
    <w:rsid w:val="00610864"/>
    <w:rsid w:val="00612F3F"/>
    <w:rsid w:val="00620E68"/>
    <w:rsid w:val="00623637"/>
    <w:rsid w:val="006279C6"/>
    <w:rsid w:val="00630DB3"/>
    <w:rsid w:val="0063486F"/>
    <w:rsid w:val="0063555E"/>
    <w:rsid w:val="00642733"/>
    <w:rsid w:val="00644F1D"/>
    <w:rsid w:val="0064558D"/>
    <w:rsid w:val="00646B59"/>
    <w:rsid w:val="00647BBF"/>
    <w:rsid w:val="006540FC"/>
    <w:rsid w:val="00655EC4"/>
    <w:rsid w:val="006571CD"/>
    <w:rsid w:val="006604C2"/>
    <w:rsid w:val="0067328F"/>
    <w:rsid w:val="00682A1B"/>
    <w:rsid w:val="00683A36"/>
    <w:rsid w:val="006861F5"/>
    <w:rsid w:val="006862A5"/>
    <w:rsid w:val="00697FBB"/>
    <w:rsid w:val="006A0E29"/>
    <w:rsid w:val="006A4C9D"/>
    <w:rsid w:val="006B2085"/>
    <w:rsid w:val="006B21B8"/>
    <w:rsid w:val="006B7B58"/>
    <w:rsid w:val="006C2640"/>
    <w:rsid w:val="006C36EB"/>
    <w:rsid w:val="006D1C45"/>
    <w:rsid w:val="006D203C"/>
    <w:rsid w:val="006D4B15"/>
    <w:rsid w:val="006D5968"/>
    <w:rsid w:val="006D59F7"/>
    <w:rsid w:val="006D7F47"/>
    <w:rsid w:val="006E1055"/>
    <w:rsid w:val="006E5E07"/>
    <w:rsid w:val="006E6EB0"/>
    <w:rsid w:val="006F0434"/>
    <w:rsid w:val="006F3A6A"/>
    <w:rsid w:val="006F50BD"/>
    <w:rsid w:val="006F7E36"/>
    <w:rsid w:val="00701444"/>
    <w:rsid w:val="00701D12"/>
    <w:rsid w:val="00701EA2"/>
    <w:rsid w:val="0070239F"/>
    <w:rsid w:val="0070527D"/>
    <w:rsid w:val="007120D7"/>
    <w:rsid w:val="00712BA4"/>
    <w:rsid w:val="00713963"/>
    <w:rsid w:val="00713A95"/>
    <w:rsid w:val="00721602"/>
    <w:rsid w:val="0072309C"/>
    <w:rsid w:val="00723B9A"/>
    <w:rsid w:val="00723F4B"/>
    <w:rsid w:val="0072695B"/>
    <w:rsid w:val="0073068C"/>
    <w:rsid w:val="00736170"/>
    <w:rsid w:val="00736F82"/>
    <w:rsid w:val="0074224C"/>
    <w:rsid w:val="0074334B"/>
    <w:rsid w:val="00745BBA"/>
    <w:rsid w:val="00746E81"/>
    <w:rsid w:val="00750A70"/>
    <w:rsid w:val="00750DC0"/>
    <w:rsid w:val="00751BDF"/>
    <w:rsid w:val="00752595"/>
    <w:rsid w:val="00752912"/>
    <w:rsid w:val="00754C51"/>
    <w:rsid w:val="007556BE"/>
    <w:rsid w:val="00756CA3"/>
    <w:rsid w:val="007621CC"/>
    <w:rsid w:val="0076599F"/>
    <w:rsid w:val="0076668A"/>
    <w:rsid w:val="007669DA"/>
    <w:rsid w:val="00766AF1"/>
    <w:rsid w:val="00770221"/>
    <w:rsid w:val="007744CD"/>
    <w:rsid w:val="00781A63"/>
    <w:rsid w:val="00782722"/>
    <w:rsid w:val="00783A65"/>
    <w:rsid w:val="00784C08"/>
    <w:rsid w:val="00785EDF"/>
    <w:rsid w:val="00786A29"/>
    <w:rsid w:val="007879E0"/>
    <w:rsid w:val="00791A35"/>
    <w:rsid w:val="007953FE"/>
    <w:rsid w:val="00795F59"/>
    <w:rsid w:val="00796053"/>
    <w:rsid w:val="00796260"/>
    <w:rsid w:val="00796267"/>
    <w:rsid w:val="007B2726"/>
    <w:rsid w:val="007C0A5B"/>
    <w:rsid w:val="007C5C2B"/>
    <w:rsid w:val="007D1CE6"/>
    <w:rsid w:val="007D22AB"/>
    <w:rsid w:val="007E0955"/>
    <w:rsid w:val="007E1B88"/>
    <w:rsid w:val="007E42DC"/>
    <w:rsid w:val="007E46C9"/>
    <w:rsid w:val="007E6952"/>
    <w:rsid w:val="007E71E6"/>
    <w:rsid w:val="007F1DC0"/>
    <w:rsid w:val="007F23FA"/>
    <w:rsid w:val="007F38D2"/>
    <w:rsid w:val="007F5726"/>
    <w:rsid w:val="008010AD"/>
    <w:rsid w:val="008168FB"/>
    <w:rsid w:val="00820855"/>
    <w:rsid w:val="00822BA6"/>
    <w:rsid w:val="00823955"/>
    <w:rsid w:val="008245CF"/>
    <w:rsid w:val="008301B1"/>
    <w:rsid w:val="008419E9"/>
    <w:rsid w:val="00842EB8"/>
    <w:rsid w:val="00843DDB"/>
    <w:rsid w:val="008453B7"/>
    <w:rsid w:val="008470A2"/>
    <w:rsid w:val="00850518"/>
    <w:rsid w:val="008522A5"/>
    <w:rsid w:val="0085377F"/>
    <w:rsid w:val="008548FB"/>
    <w:rsid w:val="00861DB9"/>
    <w:rsid w:val="008623FD"/>
    <w:rsid w:val="00866774"/>
    <w:rsid w:val="00867609"/>
    <w:rsid w:val="00873467"/>
    <w:rsid w:val="00873B97"/>
    <w:rsid w:val="00874F57"/>
    <w:rsid w:val="008867FE"/>
    <w:rsid w:val="00886F08"/>
    <w:rsid w:val="0089787E"/>
    <w:rsid w:val="008A62AC"/>
    <w:rsid w:val="008A7FF9"/>
    <w:rsid w:val="008B0C7F"/>
    <w:rsid w:val="008B1117"/>
    <w:rsid w:val="008B2206"/>
    <w:rsid w:val="008B2807"/>
    <w:rsid w:val="008B5345"/>
    <w:rsid w:val="008C0962"/>
    <w:rsid w:val="008C1617"/>
    <w:rsid w:val="008C255D"/>
    <w:rsid w:val="008D1D66"/>
    <w:rsid w:val="008D3291"/>
    <w:rsid w:val="008D4874"/>
    <w:rsid w:val="008D49B0"/>
    <w:rsid w:val="008D59AA"/>
    <w:rsid w:val="008E045F"/>
    <w:rsid w:val="008E145D"/>
    <w:rsid w:val="008E1925"/>
    <w:rsid w:val="008E267A"/>
    <w:rsid w:val="008E2B56"/>
    <w:rsid w:val="008E69C8"/>
    <w:rsid w:val="008E6CB2"/>
    <w:rsid w:val="008E7A23"/>
    <w:rsid w:val="00900232"/>
    <w:rsid w:val="00900BAA"/>
    <w:rsid w:val="00903734"/>
    <w:rsid w:val="00903878"/>
    <w:rsid w:val="00903CF6"/>
    <w:rsid w:val="009048E5"/>
    <w:rsid w:val="00904DC5"/>
    <w:rsid w:val="009052C7"/>
    <w:rsid w:val="00905FFA"/>
    <w:rsid w:val="0091327D"/>
    <w:rsid w:val="00914925"/>
    <w:rsid w:val="00914A3A"/>
    <w:rsid w:val="009169A6"/>
    <w:rsid w:val="0092017A"/>
    <w:rsid w:val="0092185A"/>
    <w:rsid w:val="00922032"/>
    <w:rsid w:val="00925C23"/>
    <w:rsid w:val="0092787E"/>
    <w:rsid w:val="00927E08"/>
    <w:rsid w:val="009303FA"/>
    <w:rsid w:val="00941F0C"/>
    <w:rsid w:val="00943004"/>
    <w:rsid w:val="00945C7E"/>
    <w:rsid w:val="00953130"/>
    <w:rsid w:val="00954523"/>
    <w:rsid w:val="00961884"/>
    <w:rsid w:val="00961916"/>
    <w:rsid w:val="00963A22"/>
    <w:rsid w:val="00966A88"/>
    <w:rsid w:val="00973A47"/>
    <w:rsid w:val="00981ED8"/>
    <w:rsid w:val="009821A7"/>
    <w:rsid w:val="009822C7"/>
    <w:rsid w:val="00982AA3"/>
    <w:rsid w:val="009848EF"/>
    <w:rsid w:val="009863EF"/>
    <w:rsid w:val="00986A41"/>
    <w:rsid w:val="0098719A"/>
    <w:rsid w:val="00991FF2"/>
    <w:rsid w:val="0099315B"/>
    <w:rsid w:val="00995BA7"/>
    <w:rsid w:val="00995DD9"/>
    <w:rsid w:val="009A1005"/>
    <w:rsid w:val="009A1CB6"/>
    <w:rsid w:val="009B40CF"/>
    <w:rsid w:val="009B4476"/>
    <w:rsid w:val="009B6ACF"/>
    <w:rsid w:val="009C1F02"/>
    <w:rsid w:val="009C3783"/>
    <w:rsid w:val="009C3B24"/>
    <w:rsid w:val="009C4E7E"/>
    <w:rsid w:val="009D3033"/>
    <w:rsid w:val="009D6951"/>
    <w:rsid w:val="009D7DD1"/>
    <w:rsid w:val="009E0351"/>
    <w:rsid w:val="009E0896"/>
    <w:rsid w:val="009E214B"/>
    <w:rsid w:val="009E53AF"/>
    <w:rsid w:val="009E5622"/>
    <w:rsid w:val="009F0270"/>
    <w:rsid w:val="009F475D"/>
    <w:rsid w:val="009F6070"/>
    <w:rsid w:val="009F61FA"/>
    <w:rsid w:val="009F718D"/>
    <w:rsid w:val="00A01D73"/>
    <w:rsid w:val="00A04052"/>
    <w:rsid w:val="00A05796"/>
    <w:rsid w:val="00A11C0E"/>
    <w:rsid w:val="00A12352"/>
    <w:rsid w:val="00A13CB0"/>
    <w:rsid w:val="00A14FD8"/>
    <w:rsid w:val="00A15D53"/>
    <w:rsid w:val="00A22CA1"/>
    <w:rsid w:val="00A249CC"/>
    <w:rsid w:val="00A33A19"/>
    <w:rsid w:val="00A34D46"/>
    <w:rsid w:val="00A35A56"/>
    <w:rsid w:val="00A37B9E"/>
    <w:rsid w:val="00A4169F"/>
    <w:rsid w:val="00A4595D"/>
    <w:rsid w:val="00A51146"/>
    <w:rsid w:val="00A54422"/>
    <w:rsid w:val="00A564B2"/>
    <w:rsid w:val="00A61D3A"/>
    <w:rsid w:val="00A6581B"/>
    <w:rsid w:val="00A66833"/>
    <w:rsid w:val="00A70B4C"/>
    <w:rsid w:val="00A70DCF"/>
    <w:rsid w:val="00A72437"/>
    <w:rsid w:val="00A73FDF"/>
    <w:rsid w:val="00A76CE0"/>
    <w:rsid w:val="00A824B9"/>
    <w:rsid w:val="00A82905"/>
    <w:rsid w:val="00A85EE4"/>
    <w:rsid w:val="00A8654B"/>
    <w:rsid w:val="00A86786"/>
    <w:rsid w:val="00A870DD"/>
    <w:rsid w:val="00A94FD3"/>
    <w:rsid w:val="00A96157"/>
    <w:rsid w:val="00A969AF"/>
    <w:rsid w:val="00A9729E"/>
    <w:rsid w:val="00AA0C31"/>
    <w:rsid w:val="00AA1F69"/>
    <w:rsid w:val="00AA2D2D"/>
    <w:rsid w:val="00AA5B9B"/>
    <w:rsid w:val="00AA6357"/>
    <w:rsid w:val="00AA71BA"/>
    <w:rsid w:val="00AB0F02"/>
    <w:rsid w:val="00AB1A67"/>
    <w:rsid w:val="00AB2C0B"/>
    <w:rsid w:val="00AB348F"/>
    <w:rsid w:val="00AB3ED0"/>
    <w:rsid w:val="00AB7D36"/>
    <w:rsid w:val="00AC1390"/>
    <w:rsid w:val="00AC4663"/>
    <w:rsid w:val="00AD6E01"/>
    <w:rsid w:val="00AE0408"/>
    <w:rsid w:val="00AE1C37"/>
    <w:rsid w:val="00AE1DD2"/>
    <w:rsid w:val="00AE2A4C"/>
    <w:rsid w:val="00AE4106"/>
    <w:rsid w:val="00AF414E"/>
    <w:rsid w:val="00B00CAF"/>
    <w:rsid w:val="00B07850"/>
    <w:rsid w:val="00B11AE2"/>
    <w:rsid w:val="00B12138"/>
    <w:rsid w:val="00B13991"/>
    <w:rsid w:val="00B17749"/>
    <w:rsid w:val="00B17AE9"/>
    <w:rsid w:val="00B17C05"/>
    <w:rsid w:val="00B20334"/>
    <w:rsid w:val="00B20819"/>
    <w:rsid w:val="00B225B9"/>
    <w:rsid w:val="00B24AB1"/>
    <w:rsid w:val="00B262EB"/>
    <w:rsid w:val="00B2728D"/>
    <w:rsid w:val="00B36BD9"/>
    <w:rsid w:val="00B41A4C"/>
    <w:rsid w:val="00B43095"/>
    <w:rsid w:val="00B446CA"/>
    <w:rsid w:val="00B460A9"/>
    <w:rsid w:val="00B4632F"/>
    <w:rsid w:val="00B5093C"/>
    <w:rsid w:val="00B54356"/>
    <w:rsid w:val="00B55FE5"/>
    <w:rsid w:val="00B6134B"/>
    <w:rsid w:val="00B62917"/>
    <w:rsid w:val="00B6380B"/>
    <w:rsid w:val="00B719D4"/>
    <w:rsid w:val="00B74609"/>
    <w:rsid w:val="00B7496A"/>
    <w:rsid w:val="00B752B2"/>
    <w:rsid w:val="00B777C4"/>
    <w:rsid w:val="00B80E39"/>
    <w:rsid w:val="00B824A5"/>
    <w:rsid w:val="00B8588F"/>
    <w:rsid w:val="00B858F1"/>
    <w:rsid w:val="00B8684C"/>
    <w:rsid w:val="00B9271F"/>
    <w:rsid w:val="00B96ED6"/>
    <w:rsid w:val="00BA322E"/>
    <w:rsid w:val="00BA5A2D"/>
    <w:rsid w:val="00BA5B8F"/>
    <w:rsid w:val="00BB2B54"/>
    <w:rsid w:val="00BC1B06"/>
    <w:rsid w:val="00BC20B7"/>
    <w:rsid w:val="00BC2866"/>
    <w:rsid w:val="00BC3CA1"/>
    <w:rsid w:val="00BC49E5"/>
    <w:rsid w:val="00BC6DB1"/>
    <w:rsid w:val="00BD3194"/>
    <w:rsid w:val="00BD5FA8"/>
    <w:rsid w:val="00BE1C1F"/>
    <w:rsid w:val="00BE23E5"/>
    <w:rsid w:val="00BE31E6"/>
    <w:rsid w:val="00BE4C60"/>
    <w:rsid w:val="00BF7376"/>
    <w:rsid w:val="00BF757E"/>
    <w:rsid w:val="00BF7C0E"/>
    <w:rsid w:val="00BF7F5A"/>
    <w:rsid w:val="00C06612"/>
    <w:rsid w:val="00C13B4B"/>
    <w:rsid w:val="00C14680"/>
    <w:rsid w:val="00C17286"/>
    <w:rsid w:val="00C17719"/>
    <w:rsid w:val="00C20730"/>
    <w:rsid w:val="00C214C4"/>
    <w:rsid w:val="00C2470A"/>
    <w:rsid w:val="00C25F47"/>
    <w:rsid w:val="00C26A7D"/>
    <w:rsid w:val="00C30135"/>
    <w:rsid w:val="00C308D6"/>
    <w:rsid w:val="00C308ED"/>
    <w:rsid w:val="00C30DFA"/>
    <w:rsid w:val="00C335D8"/>
    <w:rsid w:val="00C37C3C"/>
    <w:rsid w:val="00C50E12"/>
    <w:rsid w:val="00C54491"/>
    <w:rsid w:val="00C5450D"/>
    <w:rsid w:val="00C54A96"/>
    <w:rsid w:val="00C56026"/>
    <w:rsid w:val="00C56841"/>
    <w:rsid w:val="00C57B2F"/>
    <w:rsid w:val="00C64276"/>
    <w:rsid w:val="00C705C7"/>
    <w:rsid w:val="00C71B43"/>
    <w:rsid w:val="00C72253"/>
    <w:rsid w:val="00C74D8F"/>
    <w:rsid w:val="00C751A9"/>
    <w:rsid w:val="00C754FF"/>
    <w:rsid w:val="00C766DD"/>
    <w:rsid w:val="00C76ABE"/>
    <w:rsid w:val="00C76BDF"/>
    <w:rsid w:val="00C775CE"/>
    <w:rsid w:val="00C8030E"/>
    <w:rsid w:val="00C837E5"/>
    <w:rsid w:val="00C8535E"/>
    <w:rsid w:val="00C86C9E"/>
    <w:rsid w:val="00C91697"/>
    <w:rsid w:val="00C92EAA"/>
    <w:rsid w:val="00CA148F"/>
    <w:rsid w:val="00CA29F9"/>
    <w:rsid w:val="00CA7B4E"/>
    <w:rsid w:val="00CA7D3D"/>
    <w:rsid w:val="00CB0116"/>
    <w:rsid w:val="00CB6B73"/>
    <w:rsid w:val="00CB7F3F"/>
    <w:rsid w:val="00CC218D"/>
    <w:rsid w:val="00CC6334"/>
    <w:rsid w:val="00CC677A"/>
    <w:rsid w:val="00CD008E"/>
    <w:rsid w:val="00CD49B4"/>
    <w:rsid w:val="00CD6EDC"/>
    <w:rsid w:val="00CE2D1F"/>
    <w:rsid w:val="00CE78D5"/>
    <w:rsid w:val="00CF1561"/>
    <w:rsid w:val="00CF1A40"/>
    <w:rsid w:val="00CF2F9D"/>
    <w:rsid w:val="00CF36EF"/>
    <w:rsid w:val="00CF4AE2"/>
    <w:rsid w:val="00CF5BC0"/>
    <w:rsid w:val="00D010CE"/>
    <w:rsid w:val="00D037E1"/>
    <w:rsid w:val="00D1110F"/>
    <w:rsid w:val="00D11A79"/>
    <w:rsid w:val="00D12828"/>
    <w:rsid w:val="00D15B10"/>
    <w:rsid w:val="00D20296"/>
    <w:rsid w:val="00D23E20"/>
    <w:rsid w:val="00D26878"/>
    <w:rsid w:val="00D30FA6"/>
    <w:rsid w:val="00D32842"/>
    <w:rsid w:val="00D341E7"/>
    <w:rsid w:val="00D3588D"/>
    <w:rsid w:val="00D407EB"/>
    <w:rsid w:val="00D40EF8"/>
    <w:rsid w:val="00D41EFE"/>
    <w:rsid w:val="00D42F2A"/>
    <w:rsid w:val="00D454AB"/>
    <w:rsid w:val="00D47DBA"/>
    <w:rsid w:val="00D5319F"/>
    <w:rsid w:val="00D536AB"/>
    <w:rsid w:val="00D54E0C"/>
    <w:rsid w:val="00D5537A"/>
    <w:rsid w:val="00D62314"/>
    <w:rsid w:val="00D62AEC"/>
    <w:rsid w:val="00D70CF0"/>
    <w:rsid w:val="00D71136"/>
    <w:rsid w:val="00D77F36"/>
    <w:rsid w:val="00D86954"/>
    <w:rsid w:val="00D87649"/>
    <w:rsid w:val="00D876C0"/>
    <w:rsid w:val="00D9057D"/>
    <w:rsid w:val="00D9732E"/>
    <w:rsid w:val="00DA026E"/>
    <w:rsid w:val="00DA2BAE"/>
    <w:rsid w:val="00DA4083"/>
    <w:rsid w:val="00DA576E"/>
    <w:rsid w:val="00DB0A86"/>
    <w:rsid w:val="00DB0D3E"/>
    <w:rsid w:val="00DB57B7"/>
    <w:rsid w:val="00DC084B"/>
    <w:rsid w:val="00DC33CF"/>
    <w:rsid w:val="00DC3415"/>
    <w:rsid w:val="00DC46A2"/>
    <w:rsid w:val="00DD26C9"/>
    <w:rsid w:val="00DD2B87"/>
    <w:rsid w:val="00DD3DE6"/>
    <w:rsid w:val="00DD5886"/>
    <w:rsid w:val="00DD7DA4"/>
    <w:rsid w:val="00DE4534"/>
    <w:rsid w:val="00DF0264"/>
    <w:rsid w:val="00DF1565"/>
    <w:rsid w:val="00DF3D3A"/>
    <w:rsid w:val="00DF4228"/>
    <w:rsid w:val="00E02627"/>
    <w:rsid w:val="00E06670"/>
    <w:rsid w:val="00E17266"/>
    <w:rsid w:val="00E2273F"/>
    <w:rsid w:val="00E270DC"/>
    <w:rsid w:val="00E300D0"/>
    <w:rsid w:val="00E47752"/>
    <w:rsid w:val="00E52801"/>
    <w:rsid w:val="00E53030"/>
    <w:rsid w:val="00E55AA8"/>
    <w:rsid w:val="00E56652"/>
    <w:rsid w:val="00E616E0"/>
    <w:rsid w:val="00E62C9E"/>
    <w:rsid w:val="00E63369"/>
    <w:rsid w:val="00E63569"/>
    <w:rsid w:val="00E742F1"/>
    <w:rsid w:val="00E77A64"/>
    <w:rsid w:val="00E80756"/>
    <w:rsid w:val="00E81F96"/>
    <w:rsid w:val="00E8302B"/>
    <w:rsid w:val="00E83E34"/>
    <w:rsid w:val="00E847A3"/>
    <w:rsid w:val="00E84E34"/>
    <w:rsid w:val="00E84F8C"/>
    <w:rsid w:val="00E85360"/>
    <w:rsid w:val="00E85641"/>
    <w:rsid w:val="00E85DA4"/>
    <w:rsid w:val="00E86B42"/>
    <w:rsid w:val="00E86E92"/>
    <w:rsid w:val="00E94940"/>
    <w:rsid w:val="00E95892"/>
    <w:rsid w:val="00E97354"/>
    <w:rsid w:val="00EA3385"/>
    <w:rsid w:val="00EA6273"/>
    <w:rsid w:val="00EA6408"/>
    <w:rsid w:val="00EB330C"/>
    <w:rsid w:val="00EB3F02"/>
    <w:rsid w:val="00EB64B7"/>
    <w:rsid w:val="00EC0483"/>
    <w:rsid w:val="00EC1211"/>
    <w:rsid w:val="00EC33A4"/>
    <w:rsid w:val="00EC428C"/>
    <w:rsid w:val="00ED0897"/>
    <w:rsid w:val="00ED15BE"/>
    <w:rsid w:val="00ED24E7"/>
    <w:rsid w:val="00ED476D"/>
    <w:rsid w:val="00ED73FF"/>
    <w:rsid w:val="00ED7F01"/>
    <w:rsid w:val="00EE0CA1"/>
    <w:rsid w:val="00EE19F4"/>
    <w:rsid w:val="00EE4612"/>
    <w:rsid w:val="00EE51DE"/>
    <w:rsid w:val="00EE53B5"/>
    <w:rsid w:val="00EE609F"/>
    <w:rsid w:val="00EE798A"/>
    <w:rsid w:val="00EF19BF"/>
    <w:rsid w:val="00EF5E01"/>
    <w:rsid w:val="00EF6EC0"/>
    <w:rsid w:val="00EF7BB5"/>
    <w:rsid w:val="00F0114C"/>
    <w:rsid w:val="00F02058"/>
    <w:rsid w:val="00F0343C"/>
    <w:rsid w:val="00F04CE5"/>
    <w:rsid w:val="00F05B0F"/>
    <w:rsid w:val="00F13395"/>
    <w:rsid w:val="00F13514"/>
    <w:rsid w:val="00F1360F"/>
    <w:rsid w:val="00F16AA8"/>
    <w:rsid w:val="00F213AB"/>
    <w:rsid w:val="00F21791"/>
    <w:rsid w:val="00F3226A"/>
    <w:rsid w:val="00F33DB0"/>
    <w:rsid w:val="00F37975"/>
    <w:rsid w:val="00F413B1"/>
    <w:rsid w:val="00F432D0"/>
    <w:rsid w:val="00F449F2"/>
    <w:rsid w:val="00F45DB8"/>
    <w:rsid w:val="00F47043"/>
    <w:rsid w:val="00F54D29"/>
    <w:rsid w:val="00F62BCD"/>
    <w:rsid w:val="00F6782B"/>
    <w:rsid w:val="00F7237E"/>
    <w:rsid w:val="00F72F9F"/>
    <w:rsid w:val="00F74B77"/>
    <w:rsid w:val="00F764FE"/>
    <w:rsid w:val="00F80625"/>
    <w:rsid w:val="00F827B6"/>
    <w:rsid w:val="00F8359D"/>
    <w:rsid w:val="00F840E7"/>
    <w:rsid w:val="00F87E2D"/>
    <w:rsid w:val="00F92BE5"/>
    <w:rsid w:val="00FA0574"/>
    <w:rsid w:val="00FA16A6"/>
    <w:rsid w:val="00FA47D5"/>
    <w:rsid w:val="00FB3A89"/>
    <w:rsid w:val="00FB4C5A"/>
    <w:rsid w:val="00FB68D3"/>
    <w:rsid w:val="00FC3A84"/>
    <w:rsid w:val="00FC4B75"/>
    <w:rsid w:val="00FD56F6"/>
    <w:rsid w:val="00FE0FCA"/>
    <w:rsid w:val="00FE7554"/>
    <w:rsid w:val="00FF17FE"/>
    <w:rsid w:val="111545E4"/>
    <w:rsid w:val="2C2C2AAF"/>
    <w:rsid w:val="36ED4A64"/>
    <w:rsid w:val="42200080"/>
    <w:rsid w:val="42E14901"/>
    <w:rsid w:val="488C513A"/>
    <w:rsid w:val="55410F72"/>
    <w:rsid w:val="6B5B4551"/>
    <w:rsid w:val="736019CA"/>
    <w:rsid w:val="FDFF8D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8"/>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9"/>
    <w:qFormat/>
    <w:uiPriority w:val="0"/>
    <w:pPr>
      <w:keepNext/>
      <w:keepLines/>
      <w:spacing w:before="260" w:after="260" w:line="416" w:lineRule="auto"/>
      <w:outlineLvl w:val="2"/>
    </w:pPr>
    <w:rPr>
      <w:b/>
      <w:bCs/>
      <w:sz w:val="30"/>
      <w:szCs w:val="30"/>
    </w:rPr>
  </w:style>
  <w:style w:type="paragraph" w:styleId="5">
    <w:name w:val="heading 4"/>
    <w:basedOn w:val="1"/>
    <w:next w:val="1"/>
    <w:link w:val="30"/>
    <w:qFormat/>
    <w:uiPriority w:val="0"/>
    <w:pPr>
      <w:keepNext/>
      <w:keepLines/>
      <w:spacing w:before="280" w:after="290" w:line="376" w:lineRule="auto"/>
      <w:ind w:left="864" w:hanging="864"/>
      <w:outlineLvl w:val="3"/>
    </w:pPr>
    <w:rPr>
      <w:rFonts w:ascii="宋体" w:hAnsi="宋体"/>
      <w:b/>
      <w:bCs/>
      <w:sz w:val="28"/>
      <w:szCs w:val="28"/>
    </w:rPr>
  </w:style>
  <w:style w:type="paragraph" w:styleId="6">
    <w:name w:val="heading 5"/>
    <w:basedOn w:val="1"/>
    <w:next w:val="1"/>
    <w:link w:val="31"/>
    <w:qFormat/>
    <w:uiPriority w:val="0"/>
    <w:pPr>
      <w:keepNext/>
      <w:keepLines/>
      <w:spacing w:before="280" w:after="290" w:line="376" w:lineRule="auto"/>
      <w:ind w:left="2142" w:hanging="1008"/>
      <w:outlineLvl w:val="4"/>
    </w:pPr>
    <w:rPr>
      <w:b/>
      <w:bCs/>
      <w:sz w:val="28"/>
      <w:szCs w:val="28"/>
    </w:rPr>
  </w:style>
  <w:style w:type="paragraph" w:styleId="7">
    <w:name w:val="heading 6"/>
    <w:basedOn w:val="1"/>
    <w:next w:val="1"/>
    <w:link w:val="32"/>
    <w:qFormat/>
    <w:uiPriority w:val="0"/>
    <w:pPr>
      <w:keepNext/>
      <w:keepLines/>
      <w:spacing w:before="240" w:after="64" w:line="320" w:lineRule="auto"/>
      <w:ind w:left="1152" w:hanging="1152"/>
      <w:outlineLvl w:val="5"/>
    </w:pPr>
    <w:rPr>
      <w:rFonts w:ascii="等线 Light" w:hAnsi="等线 Light" w:eastAsia="等线 Light"/>
      <w:b/>
      <w:bCs/>
      <w:sz w:val="24"/>
    </w:rPr>
  </w:style>
  <w:style w:type="paragraph" w:styleId="8">
    <w:name w:val="heading 7"/>
    <w:basedOn w:val="1"/>
    <w:next w:val="1"/>
    <w:link w:val="33"/>
    <w:qFormat/>
    <w:uiPriority w:val="0"/>
    <w:pPr>
      <w:keepNext/>
      <w:keepLines/>
      <w:spacing w:before="240" w:after="64" w:line="320" w:lineRule="auto"/>
      <w:ind w:left="1296" w:hanging="1296"/>
      <w:outlineLvl w:val="6"/>
    </w:pPr>
    <w:rPr>
      <w:b/>
      <w:bCs/>
      <w:sz w:val="24"/>
    </w:rPr>
  </w:style>
  <w:style w:type="paragraph" w:styleId="9">
    <w:name w:val="heading 8"/>
    <w:basedOn w:val="1"/>
    <w:next w:val="1"/>
    <w:link w:val="34"/>
    <w:qFormat/>
    <w:uiPriority w:val="0"/>
    <w:pPr>
      <w:keepNext/>
      <w:keepLines/>
      <w:spacing w:before="240" w:after="64" w:line="320" w:lineRule="auto"/>
      <w:ind w:left="1440" w:hanging="1440"/>
      <w:outlineLvl w:val="7"/>
    </w:pPr>
    <w:rPr>
      <w:rFonts w:ascii="等线 Light" w:hAnsi="等线 Light" w:eastAsia="等线 Light"/>
      <w:sz w:val="24"/>
    </w:rPr>
  </w:style>
  <w:style w:type="paragraph" w:styleId="10">
    <w:name w:val="heading 9"/>
    <w:basedOn w:val="1"/>
    <w:next w:val="1"/>
    <w:link w:val="35"/>
    <w:qFormat/>
    <w:uiPriority w:val="0"/>
    <w:pPr>
      <w:keepNext/>
      <w:keepLines/>
      <w:spacing w:before="240" w:after="64" w:line="320" w:lineRule="auto"/>
      <w:ind w:left="1584" w:hanging="1584"/>
      <w:outlineLvl w:val="8"/>
    </w:pPr>
    <w:rPr>
      <w:rFonts w:ascii="等线 Light" w:hAnsi="等线 Light" w:eastAsia="等线 Light"/>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6"/>
    <w:qFormat/>
    <w:uiPriority w:val="99"/>
    <w:pPr>
      <w:spacing w:beforeLines="50" w:line="360" w:lineRule="auto"/>
      <w:ind w:firstLine="512" w:firstLineChars="200"/>
    </w:pPr>
    <w:rPr>
      <w:spacing w:val="8"/>
      <w:sz w:val="24"/>
      <w:szCs w:val="20"/>
    </w:rPr>
  </w:style>
  <w:style w:type="paragraph" w:styleId="12">
    <w:name w:val="annotation text"/>
    <w:basedOn w:val="1"/>
    <w:link w:val="37"/>
    <w:unhideWhenUsed/>
    <w:qFormat/>
    <w:uiPriority w:val="0"/>
    <w:pPr>
      <w:jc w:val="left"/>
    </w:pPr>
    <w:rPr>
      <w:kern w:val="0"/>
      <w:sz w:val="20"/>
    </w:rPr>
  </w:style>
  <w:style w:type="paragraph" w:styleId="13">
    <w:name w:val="Body Text"/>
    <w:basedOn w:val="1"/>
    <w:link w:val="75"/>
    <w:unhideWhenUsed/>
    <w:qFormat/>
    <w:uiPriority w:val="99"/>
    <w:pPr>
      <w:widowControl/>
      <w:snapToGrid w:val="0"/>
      <w:spacing w:after="80" w:line="240" w:lineRule="auto"/>
    </w:pPr>
    <w:rPr>
      <w:rFonts w:asciiTheme="minorHAnsi" w:hAnsiTheme="minorHAnsi" w:eastAsiaTheme="minorEastAsia" w:cstheme="minorBidi"/>
      <w:kern w:val="0"/>
      <w:sz w:val="20"/>
      <w:szCs w:val="22"/>
      <w:lang w:val="en-SG"/>
    </w:rPr>
  </w:style>
  <w:style w:type="paragraph" w:styleId="14">
    <w:name w:val="Plain Text"/>
    <w:basedOn w:val="1"/>
    <w:link w:val="38"/>
    <w:qFormat/>
    <w:uiPriority w:val="0"/>
    <w:rPr>
      <w:rFonts w:ascii="Calibri" w:hAnsi="Courier New"/>
      <w:szCs w:val="20"/>
    </w:rPr>
  </w:style>
  <w:style w:type="paragraph" w:styleId="15">
    <w:name w:val="Balloon Text"/>
    <w:basedOn w:val="1"/>
    <w:link w:val="39"/>
    <w:qFormat/>
    <w:uiPriority w:val="0"/>
    <w:rPr>
      <w:sz w:val="18"/>
      <w:szCs w:val="18"/>
    </w:rPr>
  </w:style>
  <w:style w:type="paragraph" w:styleId="16">
    <w:name w:val="footer"/>
    <w:basedOn w:val="1"/>
    <w:link w:val="40"/>
    <w:qFormat/>
    <w:uiPriority w:val="0"/>
    <w:pPr>
      <w:tabs>
        <w:tab w:val="center" w:pos="4153"/>
        <w:tab w:val="right" w:pos="8306"/>
      </w:tabs>
      <w:snapToGrid w:val="0"/>
      <w:jc w:val="left"/>
    </w:pPr>
    <w:rPr>
      <w:sz w:val="18"/>
      <w:szCs w:val="18"/>
    </w:rPr>
  </w:style>
  <w:style w:type="paragraph" w:styleId="17">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8">
    <w:name w:val="Subtitle"/>
    <w:basedOn w:val="1"/>
    <w:next w:val="1"/>
    <w:link w:val="65"/>
    <w:qFormat/>
    <w:uiPriority w:val="0"/>
    <w:pPr>
      <w:spacing w:beforeLines="50" w:after="60" w:line="312" w:lineRule="auto"/>
      <w:ind w:firstLine="200" w:firstLineChars="200"/>
      <w:jc w:val="center"/>
      <w:outlineLvl w:val="1"/>
    </w:pPr>
    <w:rPr>
      <w:rFonts w:ascii="Cambria" w:hAnsi="Cambria"/>
      <w:b/>
      <w:bCs/>
      <w:kern w:val="28"/>
      <w:sz w:val="32"/>
      <w:szCs w:val="32"/>
      <w:lang w:eastAsia="en-US"/>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1">
    <w:name w:val="Table Grid"/>
    <w:basedOn w:val="2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FollowedHyperlink"/>
    <w:qFormat/>
    <w:uiPriority w:val="0"/>
    <w:rPr>
      <w:color w:val="800080"/>
      <w:u w:val="single"/>
    </w:rPr>
  </w:style>
  <w:style w:type="character" w:styleId="24">
    <w:name w:val="Emphasis"/>
    <w:basedOn w:val="22"/>
    <w:qFormat/>
    <w:uiPriority w:val="20"/>
    <w:rPr>
      <w:i/>
      <w:iCs/>
    </w:rPr>
  </w:style>
  <w:style w:type="character" w:styleId="25">
    <w:name w:val="Hyperlink"/>
    <w:qFormat/>
    <w:uiPriority w:val="0"/>
    <w:rPr>
      <w:color w:val="0563C1"/>
      <w:u w:val="single"/>
    </w:rPr>
  </w:style>
  <w:style w:type="character" w:styleId="26">
    <w:name w:val="annotation reference"/>
    <w:unhideWhenUsed/>
    <w:qFormat/>
    <w:uiPriority w:val="99"/>
    <w:rPr>
      <w:sz w:val="21"/>
      <w:szCs w:val="21"/>
    </w:rPr>
  </w:style>
  <w:style w:type="character" w:customStyle="1" w:styleId="27">
    <w:name w:val="标题 1 字符"/>
    <w:link w:val="2"/>
    <w:qFormat/>
    <w:uiPriority w:val="0"/>
    <w:rPr>
      <w:b/>
      <w:bCs/>
      <w:kern w:val="44"/>
      <w:sz w:val="44"/>
      <w:szCs w:val="44"/>
    </w:rPr>
  </w:style>
  <w:style w:type="character" w:customStyle="1" w:styleId="28">
    <w:name w:val="标题 2 字符"/>
    <w:link w:val="3"/>
    <w:qFormat/>
    <w:uiPriority w:val="0"/>
    <w:rPr>
      <w:rFonts w:ascii="等线 Light" w:hAnsi="等线 Light" w:eastAsia="等线 Light" w:cs="Times New Roman"/>
      <w:b/>
      <w:bCs/>
      <w:kern w:val="2"/>
      <w:sz w:val="32"/>
      <w:szCs w:val="32"/>
    </w:rPr>
  </w:style>
  <w:style w:type="character" w:customStyle="1" w:styleId="29">
    <w:name w:val="标题 3 字符"/>
    <w:link w:val="4"/>
    <w:qFormat/>
    <w:uiPriority w:val="0"/>
    <w:rPr>
      <w:b/>
      <w:bCs/>
      <w:kern w:val="2"/>
      <w:sz w:val="30"/>
      <w:szCs w:val="30"/>
    </w:rPr>
  </w:style>
  <w:style w:type="character" w:customStyle="1" w:styleId="30">
    <w:name w:val="标题 4 字符"/>
    <w:link w:val="5"/>
    <w:qFormat/>
    <w:uiPriority w:val="0"/>
    <w:rPr>
      <w:rFonts w:ascii="宋体" w:hAnsi="宋体"/>
      <w:b/>
      <w:bCs/>
      <w:kern w:val="2"/>
      <w:sz w:val="28"/>
      <w:szCs w:val="28"/>
    </w:rPr>
  </w:style>
  <w:style w:type="character" w:customStyle="1" w:styleId="31">
    <w:name w:val="标题 5 字符"/>
    <w:link w:val="6"/>
    <w:qFormat/>
    <w:uiPriority w:val="0"/>
    <w:rPr>
      <w:b/>
      <w:bCs/>
      <w:kern w:val="2"/>
      <w:sz w:val="28"/>
      <w:szCs w:val="28"/>
    </w:rPr>
  </w:style>
  <w:style w:type="character" w:customStyle="1" w:styleId="32">
    <w:name w:val="标题 6 字符"/>
    <w:link w:val="7"/>
    <w:uiPriority w:val="0"/>
    <w:rPr>
      <w:rFonts w:ascii="等线 Light" w:hAnsi="等线 Light" w:eastAsia="等线 Light"/>
      <w:b/>
      <w:bCs/>
      <w:kern w:val="2"/>
      <w:sz w:val="24"/>
      <w:szCs w:val="24"/>
    </w:rPr>
  </w:style>
  <w:style w:type="character" w:customStyle="1" w:styleId="33">
    <w:name w:val="标题 7 字符"/>
    <w:link w:val="8"/>
    <w:qFormat/>
    <w:uiPriority w:val="0"/>
    <w:rPr>
      <w:b/>
      <w:bCs/>
      <w:kern w:val="2"/>
      <w:sz w:val="24"/>
      <w:szCs w:val="24"/>
    </w:rPr>
  </w:style>
  <w:style w:type="character" w:customStyle="1" w:styleId="34">
    <w:name w:val="标题 8 字符"/>
    <w:link w:val="9"/>
    <w:uiPriority w:val="0"/>
    <w:rPr>
      <w:rFonts w:ascii="等线 Light" w:hAnsi="等线 Light" w:eastAsia="等线 Light"/>
      <w:kern w:val="2"/>
      <w:sz w:val="24"/>
      <w:szCs w:val="24"/>
    </w:rPr>
  </w:style>
  <w:style w:type="character" w:customStyle="1" w:styleId="35">
    <w:name w:val="标题 9 字符"/>
    <w:link w:val="10"/>
    <w:uiPriority w:val="0"/>
    <w:rPr>
      <w:rFonts w:ascii="等线 Light" w:hAnsi="等线 Light" w:eastAsia="等线 Light"/>
      <w:kern w:val="2"/>
      <w:sz w:val="21"/>
      <w:szCs w:val="21"/>
    </w:rPr>
  </w:style>
  <w:style w:type="character" w:customStyle="1" w:styleId="36">
    <w:name w:val="正文缩进 字符"/>
    <w:link w:val="11"/>
    <w:qFormat/>
    <w:uiPriority w:val="99"/>
    <w:rPr>
      <w:spacing w:val="8"/>
      <w:kern w:val="2"/>
      <w:sz w:val="24"/>
      <w:lang w:val="en-US" w:eastAsia="zh-CN"/>
    </w:rPr>
  </w:style>
  <w:style w:type="character" w:customStyle="1" w:styleId="37">
    <w:name w:val="批注文字 字符1"/>
    <w:link w:val="12"/>
    <w:uiPriority w:val="0"/>
    <w:rPr>
      <w:szCs w:val="24"/>
    </w:rPr>
  </w:style>
  <w:style w:type="character" w:customStyle="1" w:styleId="38">
    <w:name w:val="纯文本 字符"/>
    <w:link w:val="14"/>
    <w:qFormat/>
    <w:uiPriority w:val="0"/>
    <w:rPr>
      <w:rFonts w:ascii="Calibri" w:hAnsi="Courier New"/>
      <w:kern w:val="2"/>
      <w:sz w:val="21"/>
    </w:rPr>
  </w:style>
  <w:style w:type="character" w:customStyle="1" w:styleId="39">
    <w:name w:val="批注框文本 字符"/>
    <w:link w:val="15"/>
    <w:qFormat/>
    <w:uiPriority w:val="0"/>
    <w:rPr>
      <w:kern w:val="2"/>
      <w:sz w:val="18"/>
      <w:szCs w:val="18"/>
    </w:rPr>
  </w:style>
  <w:style w:type="character" w:customStyle="1" w:styleId="40">
    <w:name w:val="页脚 字符1"/>
    <w:link w:val="16"/>
    <w:qFormat/>
    <w:uiPriority w:val="0"/>
    <w:rPr>
      <w:kern w:val="2"/>
      <w:sz w:val="18"/>
      <w:szCs w:val="18"/>
    </w:rPr>
  </w:style>
  <w:style w:type="character" w:customStyle="1" w:styleId="41">
    <w:name w:val="页眉 字符"/>
    <w:link w:val="17"/>
    <w:qFormat/>
    <w:uiPriority w:val="0"/>
    <w:rPr>
      <w:kern w:val="2"/>
      <w:sz w:val="18"/>
      <w:szCs w:val="18"/>
    </w:rPr>
  </w:style>
  <w:style w:type="character" w:customStyle="1" w:styleId="42">
    <w:name w:val="正文（首行缩进2字符） Char"/>
    <w:link w:val="43"/>
    <w:qFormat/>
    <w:uiPriority w:val="0"/>
    <w:rPr>
      <w:kern w:val="2"/>
      <w:sz w:val="24"/>
      <w:szCs w:val="24"/>
    </w:rPr>
  </w:style>
  <w:style w:type="paragraph" w:customStyle="1" w:styleId="43">
    <w:name w:val="正文（首行缩进2字符）"/>
    <w:basedOn w:val="1"/>
    <w:link w:val="42"/>
    <w:qFormat/>
    <w:uiPriority w:val="0"/>
    <w:pPr>
      <w:spacing w:line="360" w:lineRule="auto"/>
      <w:ind w:firstLine="480" w:firstLineChars="200"/>
    </w:pPr>
    <w:rPr>
      <w:sz w:val="24"/>
    </w:rPr>
  </w:style>
  <w:style w:type="character" w:customStyle="1" w:styleId="44">
    <w:name w:val="段落 Char1"/>
    <w:link w:val="45"/>
    <w:qFormat/>
    <w:uiPriority w:val="0"/>
    <w:rPr>
      <w:rFonts w:eastAsia="仿宋_GB2312"/>
      <w:sz w:val="24"/>
      <w:szCs w:val="24"/>
      <w:lang w:val="en-US" w:eastAsia="zh-CN" w:bidi="ar-SA"/>
    </w:rPr>
  </w:style>
  <w:style w:type="paragraph" w:customStyle="1" w:styleId="45">
    <w:name w:val="段落"/>
    <w:link w:val="44"/>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6">
    <w:name w:val="正文（安华金和） Char"/>
    <w:link w:val="47"/>
    <w:qFormat/>
    <w:uiPriority w:val="0"/>
    <w:rPr>
      <w:rFonts w:ascii="Arial" w:hAnsi="Arial"/>
      <w:sz w:val="21"/>
      <w:szCs w:val="21"/>
      <w:lang w:val="en-US" w:eastAsia="zh-CN" w:bidi="ar-SA"/>
    </w:rPr>
  </w:style>
  <w:style w:type="paragraph" w:customStyle="1" w:styleId="47">
    <w:name w:val="正文（安华金和）"/>
    <w:link w:val="46"/>
    <w:qFormat/>
    <w:uiPriority w:val="0"/>
    <w:pPr>
      <w:widowControl w:val="0"/>
      <w:spacing w:after="160" w:line="360" w:lineRule="auto"/>
      <w:ind w:firstLine="200"/>
    </w:pPr>
    <w:rPr>
      <w:rFonts w:ascii="Arial" w:hAnsi="Arial" w:eastAsia="宋体" w:cs="Times New Roman"/>
      <w:sz w:val="21"/>
      <w:szCs w:val="21"/>
      <w:lang w:val="en-US" w:eastAsia="zh-CN" w:bidi="ar-SA"/>
    </w:rPr>
  </w:style>
  <w:style w:type="character" w:customStyle="1" w:styleId="48">
    <w:name w:val="页脚 字符"/>
    <w:qFormat/>
    <w:uiPriority w:val="99"/>
  </w:style>
  <w:style w:type="character" w:customStyle="1" w:styleId="49">
    <w:name w:val="列表段落 字符"/>
    <w:link w:val="50"/>
    <w:qFormat/>
    <w:uiPriority w:val="99"/>
    <w:rPr>
      <w:rFonts w:ascii="等线" w:hAnsi="等线" w:eastAsia="等线"/>
      <w:kern w:val="2"/>
      <w:sz w:val="21"/>
      <w:szCs w:val="22"/>
    </w:rPr>
  </w:style>
  <w:style w:type="paragraph" w:customStyle="1" w:styleId="50">
    <w:name w:val="列表段落1"/>
    <w:basedOn w:val="1"/>
    <w:link w:val="49"/>
    <w:qFormat/>
    <w:uiPriority w:val="99"/>
    <w:pPr>
      <w:ind w:firstLine="420" w:firstLineChars="200"/>
    </w:pPr>
    <w:rPr>
      <w:rFonts w:ascii="等线" w:hAnsi="等线" w:eastAsia="等线"/>
      <w:szCs w:val="22"/>
    </w:rPr>
  </w:style>
  <w:style w:type="paragraph" w:customStyle="1" w:styleId="51">
    <w:name w:val="插图标注（安华金和）"/>
    <w:next w:val="1"/>
    <w:qFormat/>
    <w:uiPriority w:val="0"/>
    <w:pPr>
      <w:spacing w:after="156" w:line="259" w:lineRule="auto"/>
      <w:jc w:val="center"/>
    </w:pPr>
    <w:rPr>
      <w:rFonts w:ascii="Arial" w:hAnsi="Arial" w:eastAsia="宋体" w:cs="Arial"/>
      <w:sz w:val="21"/>
      <w:szCs w:val="21"/>
      <w:lang w:val="en-US" w:eastAsia="zh-CN" w:bidi="ar-SA"/>
    </w:rPr>
  </w:style>
  <w:style w:type="paragraph" w:customStyle="1" w:styleId="52">
    <w:name w:val="标题 2（DBSec）"/>
    <w:basedOn w:val="3"/>
    <w:next w:val="1"/>
    <w:qFormat/>
    <w:uiPriority w:val="0"/>
    <w:pPr>
      <w:spacing w:line="415" w:lineRule="auto"/>
      <w:ind w:left="794" w:leftChars="200" w:hanging="794"/>
      <w:jc w:val="left"/>
    </w:pPr>
    <w:rPr>
      <w:rFonts w:ascii="Arial" w:hAnsi="Arial" w:eastAsia="黑体"/>
      <w:bCs w:val="0"/>
    </w:rPr>
  </w:style>
  <w:style w:type="paragraph" w:customStyle="1" w:styleId="53">
    <w:name w:val="Default"/>
    <w:qFormat/>
    <w:uiPriority w:val="0"/>
    <w:pPr>
      <w:widowControl w:val="0"/>
      <w:autoSpaceDE w:val="0"/>
      <w:autoSpaceDN w:val="0"/>
      <w:adjustRightInd w:val="0"/>
      <w:spacing w:after="160" w:line="259" w:lineRule="auto"/>
    </w:pPr>
    <w:rPr>
      <w:rFonts w:ascii="微软雅黑" w:hAnsi="Times New Roman" w:eastAsia="微软雅黑" w:cs="微软雅黑"/>
      <w:color w:val="000000"/>
      <w:sz w:val="24"/>
      <w:szCs w:val="24"/>
      <w:lang w:val="en-US" w:eastAsia="zh-CN" w:bidi="ar-SA"/>
    </w:rPr>
  </w:style>
  <w:style w:type="paragraph" w:customStyle="1" w:styleId="54">
    <w:name w:val="_Style 27"/>
    <w:basedOn w:val="1"/>
    <w:next w:val="50"/>
    <w:qFormat/>
    <w:uiPriority w:val="34"/>
    <w:pPr>
      <w:widowControl/>
      <w:spacing w:line="240" w:lineRule="atLeast"/>
      <w:ind w:firstLine="420" w:firstLineChars="200"/>
    </w:pPr>
    <w:rPr>
      <w:rFonts w:ascii="Arial" w:hAnsi="Arial"/>
      <w:kern w:val="0"/>
      <w:szCs w:val="21"/>
    </w:rPr>
  </w:style>
  <w:style w:type="paragraph" w:customStyle="1" w:styleId="55">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6">
    <w:name w:val="标题 6（有编号）（安华金和）"/>
    <w:basedOn w:val="1"/>
    <w:next w:val="1"/>
    <w:qFormat/>
    <w:uiPriority w:val="0"/>
    <w:pPr>
      <w:keepNext/>
      <w:keepLines/>
      <w:spacing w:before="240" w:after="64" w:line="319" w:lineRule="auto"/>
      <w:ind w:hanging="1247"/>
      <w:jc w:val="left"/>
      <w:outlineLvl w:val="5"/>
    </w:pPr>
    <w:rPr>
      <w:rFonts w:ascii="Arial" w:hAnsi="Arial" w:eastAsia="黑体"/>
      <w:b/>
      <w:kern w:val="0"/>
    </w:rPr>
  </w:style>
  <w:style w:type="paragraph" w:customStyle="1" w:styleId="57">
    <w:name w:val="标题 4（DBSec）"/>
    <w:basedOn w:val="5"/>
    <w:next w:val="1"/>
    <w:qFormat/>
    <w:uiPriority w:val="0"/>
    <w:pPr>
      <w:widowControl/>
      <w:spacing w:after="156"/>
      <w:ind w:left="200" w:leftChars="200" w:hanging="420"/>
      <w:jc w:val="left"/>
    </w:pPr>
    <w:rPr>
      <w:rFonts w:ascii="Arial" w:hAnsi="Arial" w:eastAsia="黑体"/>
      <w:bCs w:val="0"/>
      <w:kern w:val="0"/>
    </w:rPr>
  </w:style>
  <w:style w:type="paragraph" w:customStyle="1" w:styleId="58">
    <w:name w:val="标题 3（DBSec）"/>
    <w:basedOn w:val="4"/>
    <w:next w:val="1"/>
    <w:qFormat/>
    <w:uiPriority w:val="0"/>
    <w:pPr>
      <w:tabs>
        <w:tab w:val="left" w:pos="960"/>
      </w:tabs>
      <w:spacing w:line="415" w:lineRule="auto"/>
      <w:ind w:left="200" w:leftChars="200" w:hanging="907"/>
      <w:jc w:val="left"/>
    </w:pPr>
    <w:rPr>
      <w:rFonts w:ascii="Arial" w:hAnsi="Arial" w:eastAsia="黑体"/>
      <w:bCs w:val="0"/>
      <w:kern w:val="0"/>
    </w:rPr>
  </w:style>
  <w:style w:type="paragraph" w:customStyle="1" w:styleId="59">
    <w:name w:val="标题 1（DBSec）"/>
    <w:basedOn w:val="2"/>
    <w:next w:val="1"/>
    <w:qFormat/>
    <w:uiPriority w:val="0"/>
    <w:pPr>
      <w:pageBreakBefore/>
      <w:numPr>
        <w:numId w:val="0"/>
      </w:numPr>
      <w:pBdr>
        <w:bottom w:val="single" w:color="auto" w:sz="48" w:space="1"/>
      </w:pBdr>
      <w:spacing w:before="600" w:line="576" w:lineRule="auto"/>
      <w:ind w:left="200" w:leftChars="200" w:hanging="420"/>
      <w:jc w:val="left"/>
    </w:pPr>
    <w:rPr>
      <w:rFonts w:ascii="Arial" w:hAnsi="Arial" w:eastAsia="黑体"/>
    </w:rPr>
  </w:style>
  <w:style w:type="paragraph" w:customStyle="1" w:styleId="60">
    <w:name w:val="彩色列表 - 着色 11"/>
    <w:basedOn w:val="1"/>
    <w:qFormat/>
    <w:uiPriority w:val="34"/>
    <w:pPr>
      <w:spacing w:line="360" w:lineRule="auto"/>
      <w:ind w:firstLine="420" w:firstLineChars="200"/>
    </w:pPr>
    <w:rPr>
      <w:rFonts w:ascii="Arial" w:hAnsi="Arial"/>
      <w:szCs w:val="21"/>
    </w:rPr>
  </w:style>
  <w:style w:type="paragraph" w:customStyle="1" w:styleId="61">
    <w:name w:val="表格标注（安华金和）"/>
    <w:basedOn w:val="51"/>
    <w:next w:val="1"/>
    <w:qFormat/>
    <w:uiPriority w:val="0"/>
  </w:style>
  <w:style w:type="paragraph" w:customStyle="1" w:styleId="62">
    <w:name w:val="标题 5（有编号）（安华金和）"/>
    <w:basedOn w:val="1"/>
    <w:next w:val="1"/>
    <w:qFormat/>
    <w:uiPriority w:val="0"/>
    <w:pPr>
      <w:keepNext/>
      <w:keepLines/>
      <w:spacing w:before="280" w:after="156" w:line="377" w:lineRule="auto"/>
      <w:ind w:hanging="1134"/>
      <w:jc w:val="left"/>
      <w:outlineLvl w:val="4"/>
    </w:pPr>
    <w:rPr>
      <w:rFonts w:ascii="Arial" w:hAnsi="Arial" w:eastAsia="黑体"/>
      <w:b/>
      <w:kern w:val="0"/>
      <w:sz w:val="24"/>
      <w:szCs w:val="28"/>
    </w:rPr>
  </w:style>
  <w:style w:type="paragraph" w:customStyle="1" w:styleId="63">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4">
    <w:name w:val="批注文字 字符"/>
    <w:qFormat/>
    <w:uiPriority w:val="99"/>
    <w:rPr>
      <w:kern w:val="2"/>
      <w:sz w:val="21"/>
      <w:szCs w:val="24"/>
    </w:rPr>
  </w:style>
  <w:style w:type="character" w:customStyle="1" w:styleId="65">
    <w:name w:val="副标题 字符"/>
    <w:link w:val="18"/>
    <w:qFormat/>
    <w:uiPriority w:val="0"/>
    <w:rPr>
      <w:rFonts w:ascii="Cambria" w:hAnsi="Cambria"/>
      <w:b/>
      <w:bCs/>
      <w:kern w:val="28"/>
      <w:sz w:val="32"/>
      <w:szCs w:val="32"/>
      <w:lang w:eastAsia="en-US"/>
    </w:rPr>
  </w:style>
  <w:style w:type="paragraph" w:customStyle="1" w:styleId="66">
    <w:name w:val="表格文字"/>
    <w:basedOn w:val="1"/>
    <w:qFormat/>
    <w:uiPriority w:val="0"/>
    <w:pPr>
      <w:spacing w:before="25" w:after="25"/>
      <w:jc w:val="left"/>
    </w:pPr>
    <w:rPr>
      <w:rFonts w:asciiTheme="minorHAnsi" w:hAnsiTheme="minorHAnsi" w:eastAsiaTheme="minorEastAsia" w:cstheme="minorBidi"/>
      <w:bCs/>
      <w:spacing w:val="10"/>
      <w:kern w:val="0"/>
      <w:szCs w:val="20"/>
    </w:rPr>
  </w:style>
  <w:style w:type="paragraph" w:customStyle="1" w:styleId="67">
    <w:name w:val="列出段落1"/>
    <w:basedOn w:val="1"/>
    <w:link w:val="68"/>
    <w:qFormat/>
    <w:uiPriority w:val="34"/>
    <w:pPr>
      <w:ind w:firstLine="420" w:firstLineChars="200"/>
    </w:pPr>
    <w:rPr>
      <w:rFonts w:ascii="Calibri" w:hAnsi="Calibri"/>
      <w:szCs w:val="22"/>
      <w:lang w:val="zh-CN"/>
    </w:rPr>
  </w:style>
  <w:style w:type="character" w:customStyle="1" w:styleId="68">
    <w:name w:val="列出段落 字符"/>
    <w:link w:val="67"/>
    <w:qFormat/>
    <w:uiPriority w:val="34"/>
    <w:rPr>
      <w:rFonts w:ascii="Calibri" w:hAnsi="Calibri"/>
      <w:kern w:val="2"/>
      <w:sz w:val="21"/>
      <w:szCs w:val="22"/>
      <w:lang w:val="zh-CN"/>
    </w:rPr>
  </w:style>
  <w:style w:type="table" w:customStyle="1" w:styleId="69">
    <w:name w:val="网格型1"/>
    <w:basedOn w:val="20"/>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0">
    <w:name w:val="Table Paragraph"/>
    <w:basedOn w:val="1"/>
    <w:qFormat/>
    <w:uiPriority w:val="99"/>
    <w:rPr>
      <w:rFonts w:ascii="宋体" w:hAnsi="宋体" w:cs="宋体"/>
      <w:lang w:val="zh-CN" w:bidi="zh-CN"/>
    </w:rPr>
  </w:style>
  <w:style w:type="paragraph" w:customStyle="1" w:styleId="71">
    <w:name w:val="正文 A"/>
    <w:qFormat/>
    <w:uiPriority w:val="0"/>
    <w:pPr>
      <w:widowControl w:val="0"/>
      <w:spacing w:after="160" w:line="360" w:lineRule="atLeast"/>
    </w:pPr>
    <w:rPr>
      <w:rFonts w:hint="eastAsia" w:ascii="Arial Unicode MS" w:hAnsi="Arial Unicode MS" w:eastAsia="Times New Roman" w:cs="Arial Unicode MS"/>
      <w:color w:val="000000"/>
      <w:sz w:val="24"/>
      <w:szCs w:val="24"/>
      <w:u w:color="000000"/>
      <w:lang w:val="en-US" w:eastAsia="zh-CN" w:bidi="ar-SA"/>
    </w:rPr>
  </w:style>
  <w:style w:type="paragraph" w:customStyle="1" w:styleId="72">
    <w:name w:val="列表段落11"/>
    <w:basedOn w:val="1"/>
    <w:unhideWhenUsed/>
    <w:qFormat/>
    <w:uiPriority w:val="99"/>
    <w:pPr>
      <w:spacing w:line="300" w:lineRule="exact"/>
      <w:ind w:firstLine="420" w:firstLineChars="200"/>
    </w:pPr>
    <w:rPr>
      <w:rFonts w:ascii="Calibri" w:hAnsi="Calibri"/>
      <w:szCs w:val="22"/>
    </w:rPr>
  </w:style>
  <w:style w:type="paragraph" w:customStyle="1" w:styleId="73">
    <w:name w:val="p0"/>
    <w:basedOn w:val="1"/>
    <w:qFormat/>
    <w:uiPriority w:val="0"/>
    <w:pPr>
      <w:widowControl/>
      <w:spacing w:before="100" w:beforeAutospacing="1" w:after="100" w:afterAutospacing="1" w:line="300" w:lineRule="exact"/>
      <w:jc w:val="left"/>
    </w:pPr>
    <w:rPr>
      <w:rFonts w:ascii="宋体" w:hAnsi="宋体" w:cs="宋体"/>
      <w:color w:val="000000"/>
      <w:kern w:val="0"/>
      <w:sz w:val="24"/>
    </w:rPr>
  </w:style>
  <w:style w:type="paragraph" w:styleId="74">
    <w:name w:val="List Paragraph"/>
    <w:basedOn w:val="1"/>
    <w:qFormat/>
    <w:uiPriority w:val="34"/>
    <w:pPr>
      <w:ind w:left="720"/>
      <w:contextualSpacing/>
    </w:pPr>
  </w:style>
  <w:style w:type="character" w:customStyle="1" w:styleId="75">
    <w:name w:val="正文文本 字符"/>
    <w:basedOn w:val="22"/>
    <w:link w:val="13"/>
    <w:qFormat/>
    <w:uiPriority w:val="99"/>
    <w:rPr>
      <w:rFonts w:asciiTheme="minorHAnsi" w:hAnsiTheme="minorHAnsi" w:eastAsiaTheme="minorEastAsia" w:cstheme="minorBidi"/>
      <w:szCs w:val="22"/>
      <w:lang w:val="en-SG"/>
    </w:rPr>
  </w:style>
  <w:style w:type="paragraph" w:customStyle="1" w:styleId="76">
    <w:name w:val="Body text|1"/>
    <w:basedOn w:val="1"/>
    <w:qFormat/>
    <w:uiPriority w:val="0"/>
    <w:pPr>
      <w:spacing w:after="156" w:afterLines="50" w:line="480" w:lineRule="auto"/>
    </w:pPr>
    <w:rPr>
      <w:rFonts w:ascii="宋体" w:hAnsi="宋体" w:cs="宋体"/>
      <w:sz w:val="22"/>
      <w:szCs w:val="20"/>
      <w:lang w:val="zh-TW" w:eastAsia="zh-TW" w:bidi="zh-TW"/>
    </w:rPr>
  </w:style>
  <w:style w:type="paragraph" w:customStyle="1" w:styleId="77">
    <w:name w:val="7 正文"/>
    <w:basedOn w:val="11"/>
    <w:qFormat/>
    <w:uiPriority w:val="0"/>
    <w:pPr>
      <w:spacing w:before="100" w:beforeLines="0" w:beforeAutospacing="1" w:after="100" w:afterAutospacing="1" w:line="300" w:lineRule="auto"/>
      <w:ind w:firstLine="480"/>
      <w:jc w:val="left"/>
    </w:pPr>
    <w:rPr>
      <w:rFonts w:ascii="Arial" w:hAnsi="Arial"/>
      <w:spacing w:val="0"/>
      <w:szCs w:val="24"/>
    </w:rPr>
  </w:style>
  <w:style w:type="paragraph" w:customStyle="1" w:styleId="78">
    <w:name w:val="4 四级标题"/>
    <w:basedOn w:val="1"/>
    <w:qFormat/>
    <w:uiPriority w:val="0"/>
    <w:pPr>
      <w:numPr>
        <w:ilvl w:val="0"/>
        <w:numId w:val="2"/>
      </w:numPr>
      <w:tabs>
        <w:tab w:val="left" w:pos="360"/>
      </w:tabs>
      <w:spacing w:before="100" w:beforeAutospacing="1" w:after="100" w:afterAutospacing="1" w:line="300" w:lineRule="auto"/>
    </w:pPr>
    <w:rPr>
      <w:rFonts w:ascii="Arial" w:hAnsi="Arial"/>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661DD-6FAC-490B-B5E8-6AF3D308B7E0}">
  <ds:schemaRefs/>
</ds:datastoreItem>
</file>

<file path=docProps/app.xml><?xml version="1.0" encoding="utf-8"?>
<Properties xmlns="http://schemas.openxmlformats.org/officeDocument/2006/extended-properties" xmlns:vt="http://schemas.openxmlformats.org/officeDocument/2006/docPropsVTypes">
  <Template>Normal.dotm</Template>
  <Pages>9</Pages>
  <Words>5866</Words>
  <Characters>6264</Characters>
  <Lines>47</Lines>
  <Paragraphs>13</Paragraphs>
  <TotalTime>4165</TotalTime>
  <ScaleCrop>false</ScaleCrop>
  <LinksUpToDate>false</LinksUpToDate>
  <CharactersWithSpaces>6390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2023-04-02T00:39:00Z</dcterms:created>
  <dc:creator>yejinqi</dc:creator>
  <cp:lastModifiedBy>晖少</cp:lastModifiedBy>
  <dcterms:modified xsi:type="dcterms:W3CDTF">2023-04-23T08:27:11Z</dcterms:modified>
  <dc:title>1</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BD731A97F4BC442BAF48F26ED9803F88</vt:lpwstr>
  </property>
</Properties>
</file>