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24" w:beforeLines="200" w:after="312" w:afterLines="100" w:line="360" w:lineRule="auto"/>
        <w:jc w:val="center"/>
        <w:rPr>
          <w:rFonts w:hint="eastAsia" w:ascii="宋体" w:hAnsi="宋体"/>
          <w:b/>
          <w:sz w:val="44"/>
          <w:szCs w:val="30"/>
        </w:rPr>
      </w:pPr>
      <w:r>
        <w:rPr>
          <w:rFonts w:hint="eastAsia" w:ascii="宋体" w:hAnsi="宋体"/>
          <w:b/>
          <w:sz w:val="44"/>
          <w:szCs w:val="30"/>
        </w:rPr>
        <w:t>医保智能审核系统升级项目需求</w:t>
      </w:r>
    </w:p>
    <w:p>
      <w:pPr>
        <w:pStyle w:val="3"/>
        <w:numPr>
          <w:ilvl w:val="0"/>
          <w:numId w:val="3"/>
        </w:numPr>
        <w:spacing w:before="0" w:after="0"/>
        <w:rPr>
          <w:rFonts w:ascii="宋体" w:hAnsi="宋体"/>
          <w:sz w:val="32"/>
          <w:szCs w:val="32"/>
        </w:rPr>
      </w:pPr>
      <w:r>
        <w:rPr>
          <w:rFonts w:hint="eastAsia" w:ascii="宋体" w:hAnsi="宋体"/>
          <w:sz w:val="32"/>
          <w:szCs w:val="32"/>
        </w:rPr>
        <w:t>项目名称</w:t>
      </w:r>
    </w:p>
    <w:p>
      <w:pPr>
        <w:spacing w:line="360" w:lineRule="auto"/>
        <w:ind w:left="432"/>
        <w:rPr>
          <w:rFonts w:hint="default" w:ascii="宋体" w:hAnsi="宋体" w:eastAsia="宋体"/>
          <w:sz w:val="22"/>
          <w:lang w:val="en-US" w:eastAsia="zh-CN"/>
        </w:rPr>
      </w:pPr>
      <w:r>
        <w:rPr>
          <w:rFonts w:hint="eastAsia" w:ascii="宋体" w:hAnsi="宋体"/>
          <w:sz w:val="22"/>
        </w:rPr>
        <w:t>项目名称：医保智能审核系统升级项目</w:t>
      </w:r>
      <w:bookmarkStart w:id="5" w:name="_GoBack"/>
      <w:bookmarkEnd w:id="5"/>
    </w:p>
    <w:p>
      <w:pPr>
        <w:spacing w:line="360" w:lineRule="auto"/>
        <w:ind w:left="432"/>
        <w:rPr>
          <w:rFonts w:ascii="宋体" w:hAnsi="宋体"/>
          <w:sz w:val="22"/>
        </w:rPr>
      </w:pPr>
    </w:p>
    <w:p>
      <w:pPr>
        <w:pStyle w:val="3"/>
        <w:numPr>
          <w:ilvl w:val="0"/>
          <w:numId w:val="3"/>
        </w:numPr>
        <w:spacing w:before="0" w:after="0"/>
        <w:rPr>
          <w:rFonts w:hint="eastAsia" w:ascii="宋体" w:hAnsi="宋体"/>
          <w:sz w:val="32"/>
          <w:szCs w:val="32"/>
        </w:rPr>
      </w:pPr>
      <w:r>
        <w:rPr>
          <w:rFonts w:hint="eastAsia" w:ascii="宋体" w:hAnsi="宋体"/>
          <w:sz w:val="32"/>
          <w:szCs w:val="32"/>
          <w:lang w:eastAsia="zh-CN"/>
        </w:rPr>
        <w:t>项目内容</w:t>
      </w:r>
    </w:p>
    <w:p>
      <w:pPr>
        <w:rPr>
          <w:rFonts w:hint="eastAsia"/>
        </w:rPr>
      </w:pPr>
      <w:r>
        <w:rPr>
          <w:rFonts w:hint="eastAsia"/>
        </w:rPr>
        <w:t>项目</w:t>
      </w:r>
      <w:r>
        <w:t>功能</w:t>
      </w:r>
      <w:r>
        <w:rPr>
          <w:rFonts w:hint="eastAsia"/>
        </w:rPr>
        <w:t>如下：</w:t>
      </w:r>
    </w:p>
    <w:p>
      <w:pPr>
        <w:pStyle w:val="49"/>
        <w:keepNext/>
        <w:keepLines/>
        <w:numPr>
          <w:ilvl w:val="0"/>
          <w:numId w:val="1"/>
        </w:numPr>
        <w:spacing w:line="578" w:lineRule="auto"/>
        <w:ind w:firstLineChars="0"/>
        <w:outlineLvl w:val="0"/>
        <w:rPr>
          <w:rFonts w:hint="eastAsia" w:ascii="宋体" w:hAnsi="宋体" w:eastAsia="宋体"/>
          <w:b/>
          <w:bCs/>
          <w:vanish/>
          <w:kern w:val="44"/>
          <w:sz w:val="44"/>
          <w:szCs w:val="44"/>
        </w:rPr>
      </w:pPr>
    </w:p>
    <w:p>
      <w:pPr>
        <w:pStyle w:val="49"/>
        <w:keepNext/>
        <w:keepLines/>
        <w:numPr>
          <w:ilvl w:val="0"/>
          <w:numId w:val="1"/>
        </w:numPr>
        <w:spacing w:line="578" w:lineRule="auto"/>
        <w:ind w:firstLineChars="0"/>
        <w:outlineLvl w:val="0"/>
        <w:rPr>
          <w:rFonts w:hint="eastAsia" w:ascii="宋体" w:hAnsi="宋体" w:eastAsia="宋体"/>
          <w:b/>
          <w:bCs/>
          <w:vanish/>
          <w:kern w:val="44"/>
          <w:sz w:val="44"/>
          <w:szCs w:val="44"/>
        </w:rPr>
      </w:pPr>
    </w:p>
    <w:p>
      <w:pPr>
        <w:pStyle w:val="49"/>
        <w:keepNext/>
        <w:keepLines/>
        <w:numPr>
          <w:ilvl w:val="0"/>
          <w:numId w:val="1"/>
        </w:numPr>
        <w:spacing w:line="578" w:lineRule="auto"/>
        <w:ind w:firstLineChars="0"/>
        <w:outlineLvl w:val="0"/>
        <w:rPr>
          <w:rFonts w:hint="eastAsia" w:ascii="宋体" w:hAnsi="宋体" w:eastAsia="宋体"/>
          <w:b/>
          <w:bCs/>
          <w:vanish/>
          <w:kern w:val="44"/>
          <w:sz w:val="44"/>
          <w:szCs w:val="44"/>
        </w:rPr>
      </w:pPr>
    </w:p>
    <w:p>
      <w:pPr>
        <w:pStyle w:val="49"/>
        <w:keepNext/>
        <w:keepLines/>
        <w:numPr>
          <w:ilvl w:val="1"/>
          <w:numId w:val="1"/>
        </w:numPr>
        <w:spacing w:line="578" w:lineRule="auto"/>
        <w:ind w:firstLineChars="0"/>
        <w:outlineLvl w:val="0"/>
        <w:rPr>
          <w:rFonts w:hint="eastAsia" w:ascii="宋体" w:hAnsi="宋体" w:eastAsia="宋体"/>
          <w:b/>
          <w:bCs/>
          <w:vanish/>
          <w:kern w:val="44"/>
          <w:sz w:val="44"/>
          <w:szCs w:val="44"/>
        </w:rPr>
      </w:pPr>
    </w:p>
    <w:tbl>
      <w:tblPr>
        <w:tblStyle w:val="20"/>
        <w:tblW w:w="52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2075"/>
        <w:gridCol w:w="6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noWrap w:val="0"/>
            <w:vAlign w:val="center"/>
          </w:tcPr>
          <w:p>
            <w:pPr>
              <w:widowControl/>
              <w:spacing w:line="360" w:lineRule="auto"/>
              <w:jc w:val="center"/>
              <w:rPr>
                <w:rFonts w:ascii="宋体" w:hAnsi="宋体" w:cs="仿宋"/>
                <w:color w:val="000000"/>
                <w:kern w:val="0"/>
                <w:szCs w:val="21"/>
              </w:rPr>
            </w:pPr>
            <w:r>
              <w:rPr>
                <w:rFonts w:hint="eastAsia" w:ascii="宋体" w:hAnsi="宋体" w:cs="仿宋"/>
                <w:color w:val="000000"/>
                <w:kern w:val="0"/>
                <w:szCs w:val="21"/>
              </w:rPr>
              <w:t>子模块</w:t>
            </w:r>
          </w:p>
        </w:tc>
        <w:tc>
          <w:tcPr>
            <w:tcW w:w="1059" w:type="pct"/>
            <w:noWrap w:val="0"/>
            <w:vAlign w:val="center"/>
          </w:tcPr>
          <w:p>
            <w:pPr>
              <w:widowControl/>
              <w:spacing w:line="360" w:lineRule="auto"/>
              <w:jc w:val="center"/>
              <w:rPr>
                <w:rFonts w:ascii="宋体" w:hAnsi="宋体" w:cs="仿宋"/>
                <w:color w:val="000000"/>
                <w:kern w:val="0"/>
                <w:szCs w:val="21"/>
              </w:rPr>
            </w:pPr>
            <w:r>
              <w:rPr>
                <w:rFonts w:hint="eastAsia" w:ascii="宋体" w:hAnsi="宋体" w:cs="仿宋"/>
                <w:color w:val="000000"/>
                <w:kern w:val="0"/>
                <w:szCs w:val="21"/>
              </w:rPr>
              <w:t>功能名称</w:t>
            </w:r>
          </w:p>
        </w:tc>
        <w:tc>
          <w:tcPr>
            <w:tcW w:w="3179" w:type="pct"/>
            <w:noWrap w:val="0"/>
            <w:vAlign w:val="center"/>
          </w:tcPr>
          <w:p>
            <w:pPr>
              <w:widowControl/>
              <w:spacing w:line="360" w:lineRule="auto"/>
              <w:jc w:val="center"/>
              <w:rPr>
                <w:rFonts w:ascii="宋体" w:hAnsi="宋体" w:cs="仿宋"/>
                <w:color w:val="000000"/>
                <w:kern w:val="0"/>
                <w:szCs w:val="21"/>
              </w:rPr>
            </w:pPr>
            <w:r>
              <w:rPr>
                <w:rFonts w:hint="eastAsia" w:ascii="宋体" w:hAnsi="宋体" w:cs="仿宋"/>
                <w:color w:val="000000"/>
                <w:kern w:val="0"/>
                <w:szCs w:val="21"/>
              </w:rPr>
              <w:t>详细说明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vMerge w:val="restart"/>
            <w:noWrap w:val="0"/>
            <w:vAlign w:val="center"/>
          </w:tcPr>
          <w:p>
            <w:pPr>
              <w:widowControl/>
              <w:spacing w:line="360" w:lineRule="auto"/>
              <w:jc w:val="center"/>
              <w:rPr>
                <w:rFonts w:ascii="宋体" w:hAnsi="宋体" w:cs="仿宋"/>
                <w:color w:val="000000"/>
                <w:kern w:val="0"/>
                <w:szCs w:val="21"/>
              </w:rPr>
            </w:pPr>
            <w:r>
              <w:rPr>
                <w:rFonts w:hint="eastAsia" w:ascii="宋体" w:hAnsi="宋体" w:cs="宋体"/>
                <w:color w:val="000000"/>
                <w:szCs w:val="21"/>
              </w:rPr>
              <w:t>▲</w:t>
            </w:r>
            <w:r>
              <w:rPr>
                <w:rFonts w:hint="eastAsia" w:ascii="宋体" w:hAnsi="宋体" w:cs="仿宋"/>
                <w:color w:val="000000"/>
                <w:kern w:val="0"/>
                <w:szCs w:val="21"/>
              </w:rPr>
              <w:t>诊间审核服务</w:t>
            </w:r>
          </w:p>
        </w:tc>
        <w:tc>
          <w:tcPr>
            <w:tcW w:w="1059" w:type="pct"/>
            <w:noWrap w:val="0"/>
            <w:vAlign w:val="center"/>
          </w:tcPr>
          <w:p>
            <w:pPr>
              <w:widowControl/>
              <w:spacing w:line="360" w:lineRule="auto"/>
              <w:jc w:val="center"/>
              <w:rPr>
                <w:rFonts w:hint="eastAsia" w:ascii="宋体" w:hAnsi="宋体" w:cs="仿宋"/>
                <w:color w:val="000000"/>
                <w:kern w:val="0"/>
                <w:szCs w:val="21"/>
              </w:rPr>
            </w:pPr>
            <w:r>
              <w:rPr>
                <w:rFonts w:hint="eastAsia" w:ascii="宋体" w:hAnsi="宋体" w:cs="仿宋"/>
                <w:color w:val="000000"/>
                <w:kern w:val="0"/>
                <w:szCs w:val="21"/>
              </w:rPr>
              <w:t>智能审核对接</w:t>
            </w:r>
          </w:p>
        </w:tc>
        <w:tc>
          <w:tcPr>
            <w:tcW w:w="3179" w:type="pct"/>
            <w:noWrap w:val="0"/>
            <w:vAlign w:val="center"/>
          </w:tcPr>
          <w:p>
            <w:pPr>
              <w:widowControl/>
              <w:spacing w:line="360" w:lineRule="auto"/>
              <w:jc w:val="left"/>
              <w:rPr>
                <w:rFonts w:hint="eastAsia" w:ascii="宋体" w:hAnsi="宋体" w:cs="仿宋"/>
                <w:color w:val="000000"/>
                <w:kern w:val="0"/>
                <w:szCs w:val="21"/>
                <w:lang w:val="en-US" w:eastAsia="zh-CN"/>
              </w:rPr>
            </w:pPr>
            <w:r>
              <w:rPr>
                <w:rFonts w:hint="eastAsia" w:ascii="宋体" w:hAnsi="宋体" w:cs="仿宋"/>
                <w:color w:val="000000"/>
                <w:kern w:val="0"/>
                <w:szCs w:val="21"/>
                <w:lang w:val="en-US" w:eastAsia="zh-CN"/>
              </w:rPr>
              <w:t>（1）与客户确认需要审核服务的节点强度；</w:t>
            </w:r>
          </w:p>
          <w:p>
            <w:pPr>
              <w:widowControl/>
              <w:spacing w:line="360" w:lineRule="auto"/>
              <w:jc w:val="left"/>
              <w:rPr>
                <w:rFonts w:hint="eastAsia" w:ascii="宋体" w:hAnsi="宋体" w:cs="仿宋"/>
                <w:color w:val="000000"/>
                <w:kern w:val="0"/>
                <w:szCs w:val="21"/>
                <w:lang w:val="en-US" w:eastAsia="zh-CN"/>
              </w:rPr>
            </w:pPr>
            <w:r>
              <w:rPr>
                <w:rFonts w:hint="eastAsia" w:ascii="宋体" w:hAnsi="宋体" w:cs="仿宋"/>
                <w:color w:val="000000"/>
                <w:kern w:val="0"/>
                <w:szCs w:val="21"/>
                <w:lang w:val="en-US" w:eastAsia="zh-CN"/>
              </w:rPr>
              <w:t>（2）与相关厂商智能审核对接；</w:t>
            </w:r>
          </w:p>
          <w:p>
            <w:pPr>
              <w:widowControl/>
              <w:spacing w:line="360" w:lineRule="auto"/>
              <w:jc w:val="left"/>
              <w:rPr>
                <w:rFonts w:hint="eastAsia" w:ascii="宋体" w:hAnsi="宋体" w:cs="仿宋"/>
                <w:color w:val="000000"/>
                <w:kern w:val="0"/>
                <w:szCs w:val="21"/>
                <w:lang w:val="en-US" w:eastAsia="zh-CN"/>
              </w:rPr>
            </w:pPr>
            <w:r>
              <w:rPr>
                <w:rFonts w:hint="eastAsia" w:ascii="宋体" w:hAnsi="宋体" w:cs="仿宋"/>
                <w:color w:val="000000"/>
                <w:kern w:val="0"/>
                <w:szCs w:val="21"/>
                <w:lang w:val="en-US" w:eastAsia="zh-CN"/>
              </w:rPr>
              <w:t>（3）可根据客户需求，对医保/自费单据进行审核。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vMerge w:val="continue"/>
            <w:noWrap w:val="0"/>
            <w:vAlign w:val="center"/>
          </w:tcPr>
          <w:p>
            <w:pPr>
              <w:widowControl/>
              <w:spacing w:line="360" w:lineRule="auto"/>
              <w:jc w:val="left"/>
              <w:rPr>
                <w:rFonts w:ascii="宋体" w:hAnsi="宋体" w:cs="仿宋"/>
                <w:color w:val="000000"/>
                <w:kern w:val="0"/>
                <w:szCs w:val="21"/>
              </w:rPr>
            </w:pPr>
          </w:p>
        </w:tc>
        <w:tc>
          <w:tcPr>
            <w:tcW w:w="1059" w:type="pct"/>
            <w:noWrap w:val="0"/>
            <w:vAlign w:val="center"/>
          </w:tcPr>
          <w:p>
            <w:pPr>
              <w:widowControl/>
              <w:spacing w:line="360" w:lineRule="auto"/>
              <w:jc w:val="center"/>
              <w:rPr>
                <w:rFonts w:ascii="宋体" w:hAnsi="宋体" w:cs="仿宋"/>
                <w:color w:val="000000"/>
                <w:kern w:val="0"/>
                <w:szCs w:val="21"/>
              </w:rPr>
            </w:pPr>
            <w:r>
              <w:rPr>
                <w:rFonts w:hint="eastAsia" w:ascii="宋体" w:hAnsi="宋体" w:cs="仿宋"/>
                <w:color w:val="000000"/>
                <w:kern w:val="0"/>
                <w:szCs w:val="21"/>
              </w:rPr>
              <w:t>审核引擎维护</w:t>
            </w:r>
          </w:p>
        </w:tc>
        <w:tc>
          <w:tcPr>
            <w:tcW w:w="3179" w:type="pct"/>
            <w:noWrap w:val="0"/>
            <w:vAlign w:val="center"/>
          </w:tcPr>
          <w:p>
            <w:pPr>
              <w:widowControl/>
              <w:spacing w:line="360" w:lineRule="auto"/>
              <w:jc w:val="left"/>
              <w:rPr>
                <w:rFonts w:ascii="宋体" w:hAnsi="宋体" w:cs="仿宋"/>
                <w:color w:val="000000"/>
                <w:kern w:val="0"/>
                <w:szCs w:val="21"/>
              </w:rPr>
            </w:pPr>
            <w:r>
              <w:rPr>
                <w:rFonts w:hint="eastAsia" w:ascii="宋体" w:hAnsi="宋体" w:cs="仿宋"/>
                <w:color w:val="000000"/>
                <w:kern w:val="0"/>
                <w:szCs w:val="21"/>
              </w:rPr>
              <w:t>审核规则与医保管理机构互联互通，实时更新、保持</w:t>
            </w:r>
            <w:r>
              <w:rPr>
                <w:rFonts w:hint="eastAsia" w:ascii="宋体" w:hAnsi="宋体" w:cs="仿宋"/>
                <w:color w:val="000000"/>
                <w:kern w:val="0"/>
                <w:szCs w:val="21"/>
                <w:lang w:val="en-US" w:eastAsia="zh-Hans"/>
              </w:rPr>
              <w:t>基本</w:t>
            </w:r>
            <w:r>
              <w:rPr>
                <w:rFonts w:hint="eastAsia" w:ascii="宋体" w:hAnsi="宋体" w:cs="仿宋"/>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vMerge w:val="continue"/>
            <w:noWrap w:val="0"/>
            <w:vAlign w:val="center"/>
          </w:tcPr>
          <w:p>
            <w:pPr>
              <w:widowControl/>
              <w:spacing w:line="360" w:lineRule="auto"/>
              <w:jc w:val="left"/>
              <w:rPr>
                <w:rFonts w:ascii="宋体" w:hAnsi="宋体" w:cs="仿宋"/>
                <w:color w:val="000000"/>
                <w:kern w:val="0"/>
                <w:szCs w:val="21"/>
              </w:rPr>
            </w:pPr>
          </w:p>
        </w:tc>
        <w:tc>
          <w:tcPr>
            <w:tcW w:w="1059" w:type="pct"/>
            <w:noWrap w:val="0"/>
            <w:vAlign w:val="center"/>
          </w:tcPr>
          <w:p>
            <w:pPr>
              <w:widowControl/>
              <w:spacing w:line="360" w:lineRule="auto"/>
              <w:jc w:val="center"/>
              <w:rPr>
                <w:rFonts w:ascii="宋体" w:hAnsi="宋体" w:cs="仿宋"/>
                <w:color w:val="000000"/>
                <w:kern w:val="0"/>
                <w:szCs w:val="21"/>
              </w:rPr>
            </w:pPr>
            <w:r>
              <w:rPr>
                <w:rFonts w:hint="eastAsia" w:ascii="宋体" w:hAnsi="宋体" w:cs="仿宋"/>
                <w:color w:val="000000"/>
                <w:kern w:val="0"/>
                <w:szCs w:val="21"/>
              </w:rPr>
              <w:t>审核提示</w:t>
            </w:r>
          </w:p>
        </w:tc>
        <w:tc>
          <w:tcPr>
            <w:tcW w:w="3179" w:type="pct"/>
            <w:noWrap w:val="0"/>
            <w:vAlign w:val="center"/>
          </w:tcPr>
          <w:p>
            <w:pPr>
              <w:widowControl/>
              <w:spacing w:line="360" w:lineRule="auto"/>
              <w:jc w:val="left"/>
              <w:rPr>
                <w:rFonts w:ascii="宋体" w:hAnsi="宋体" w:cs="仿宋"/>
                <w:color w:val="000000"/>
                <w:kern w:val="0"/>
                <w:szCs w:val="21"/>
              </w:rPr>
            </w:pPr>
            <w:r>
              <w:rPr>
                <w:rFonts w:hint="eastAsia" w:ascii="宋体" w:hAnsi="宋体" w:cs="仿宋"/>
                <w:color w:val="000000"/>
                <w:kern w:val="0"/>
                <w:szCs w:val="21"/>
              </w:rPr>
              <w:t>支持在工作站，第三方系统弹窗显示违规提示内容。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vMerge w:val="continue"/>
            <w:noWrap w:val="0"/>
            <w:vAlign w:val="center"/>
          </w:tcPr>
          <w:p>
            <w:pPr>
              <w:widowControl/>
              <w:spacing w:line="360" w:lineRule="auto"/>
              <w:jc w:val="left"/>
              <w:rPr>
                <w:rFonts w:ascii="宋体" w:hAnsi="宋体" w:cs="仿宋"/>
                <w:color w:val="000000"/>
                <w:kern w:val="0"/>
                <w:szCs w:val="21"/>
              </w:rPr>
            </w:pPr>
          </w:p>
        </w:tc>
        <w:tc>
          <w:tcPr>
            <w:tcW w:w="1059" w:type="pct"/>
            <w:noWrap w:val="0"/>
            <w:vAlign w:val="center"/>
          </w:tcPr>
          <w:p>
            <w:pPr>
              <w:widowControl/>
              <w:spacing w:line="360" w:lineRule="auto"/>
              <w:jc w:val="center"/>
              <w:rPr>
                <w:rFonts w:ascii="宋体" w:hAnsi="宋体" w:cs="仿宋"/>
                <w:color w:val="000000"/>
                <w:kern w:val="0"/>
                <w:szCs w:val="21"/>
              </w:rPr>
            </w:pPr>
            <w:r>
              <w:rPr>
                <w:rFonts w:hint="eastAsia" w:ascii="宋体" w:hAnsi="宋体" w:cs="仿宋"/>
                <w:color w:val="000000"/>
                <w:kern w:val="0"/>
                <w:szCs w:val="21"/>
              </w:rPr>
              <w:t>强制保存</w:t>
            </w:r>
          </w:p>
        </w:tc>
        <w:tc>
          <w:tcPr>
            <w:tcW w:w="3179" w:type="pct"/>
            <w:noWrap w:val="0"/>
            <w:vAlign w:val="center"/>
          </w:tcPr>
          <w:p>
            <w:pPr>
              <w:widowControl/>
              <w:spacing w:line="360" w:lineRule="auto"/>
              <w:jc w:val="left"/>
              <w:rPr>
                <w:rFonts w:ascii="宋体" w:hAnsi="宋体" w:cs="仿宋"/>
                <w:color w:val="000000"/>
                <w:kern w:val="0"/>
                <w:szCs w:val="21"/>
              </w:rPr>
            </w:pPr>
            <w:r>
              <w:rPr>
                <w:rFonts w:hint="eastAsia" w:ascii="宋体" w:hAnsi="宋体" w:cs="仿宋"/>
                <w:color w:val="000000"/>
                <w:kern w:val="0"/>
                <w:szCs w:val="21"/>
              </w:rPr>
              <w:t>支持医生在提醒审核违规对时候，选择返回修改还是强制保存，并录入保存原因。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vMerge w:val="continue"/>
            <w:noWrap w:val="0"/>
            <w:vAlign w:val="center"/>
          </w:tcPr>
          <w:p>
            <w:pPr>
              <w:widowControl/>
              <w:spacing w:line="360" w:lineRule="auto"/>
              <w:jc w:val="left"/>
              <w:rPr>
                <w:rFonts w:ascii="宋体" w:hAnsi="宋体" w:cs="仿宋"/>
                <w:color w:val="000000"/>
                <w:kern w:val="0"/>
                <w:szCs w:val="21"/>
              </w:rPr>
            </w:pPr>
          </w:p>
        </w:tc>
        <w:tc>
          <w:tcPr>
            <w:tcW w:w="1059" w:type="pct"/>
            <w:noWrap w:val="0"/>
            <w:vAlign w:val="center"/>
          </w:tcPr>
          <w:p>
            <w:pPr>
              <w:widowControl/>
              <w:spacing w:line="360" w:lineRule="auto"/>
              <w:jc w:val="center"/>
              <w:rPr>
                <w:rFonts w:ascii="宋体" w:hAnsi="宋体" w:cs="仿宋"/>
                <w:color w:val="000000"/>
                <w:kern w:val="0"/>
                <w:szCs w:val="21"/>
              </w:rPr>
            </w:pPr>
            <w:r>
              <w:rPr>
                <w:rFonts w:hint="eastAsia" w:ascii="宋体" w:hAnsi="宋体" w:cs="仿宋"/>
                <w:color w:val="000000"/>
                <w:kern w:val="0"/>
                <w:szCs w:val="21"/>
              </w:rPr>
              <w:t>违规单据查询</w:t>
            </w:r>
          </w:p>
        </w:tc>
        <w:tc>
          <w:tcPr>
            <w:tcW w:w="3179" w:type="pct"/>
            <w:noWrap w:val="0"/>
            <w:vAlign w:val="center"/>
          </w:tcPr>
          <w:p>
            <w:pPr>
              <w:widowControl/>
              <w:spacing w:line="360" w:lineRule="auto"/>
              <w:jc w:val="left"/>
              <w:rPr>
                <w:rFonts w:ascii="宋体" w:hAnsi="宋体" w:cs="仿宋"/>
                <w:color w:val="000000"/>
                <w:kern w:val="0"/>
                <w:szCs w:val="21"/>
              </w:rPr>
            </w:pPr>
            <w:r>
              <w:rPr>
                <w:rFonts w:hint="eastAsia" w:ascii="宋体" w:hAnsi="宋体" w:cs="仿宋"/>
                <w:color w:val="000000"/>
                <w:kern w:val="0"/>
                <w:szCs w:val="21"/>
              </w:rPr>
              <w:t>支持在质控系统查询违规主单、明细、单据。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vMerge w:val="continue"/>
            <w:noWrap w:val="0"/>
            <w:vAlign w:val="center"/>
          </w:tcPr>
          <w:p>
            <w:pPr>
              <w:widowControl/>
              <w:spacing w:line="360" w:lineRule="auto"/>
              <w:jc w:val="left"/>
              <w:rPr>
                <w:rFonts w:ascii="宋体" w:hAnsi="宋体" w:cs="仿宋"/>
                <w:color w:val="000000"/>
                <w:kern w:val="0"/>
                <w:szCs w:val="21"/>
              </w:rPr>
            </w:pPr>
          </w:p>
        </w:tc>
        <w:tc>
          <w:tcPr>
            <w:tcW w:w="1059" w:type="pct"/>
            <w:noWrap w:val="0"/>
            <w:vAlign w:val="center"/>
          </w:tcPr>
          <w:p>
            <w:pPr>
              <w:widowControl/>
              <w:spacing w:line="360" w:lineRule="auto"/>
              <w:jc w:val="center"/>
              <w:rPr>
                <w:rFonts w:ascii="宋体" w:hAnsi="宋体" w:cs="仿宋"/>
                <w:color w:val="000000"/>
                <w:kern w:val="0"/>
                <w:szCs w:val="21"/>
              </w:rPr>
            </w:pPr>
            <w:r>
              <w:rPr>
                <w:rFonts w:hint="eastAsia" w:ascii="宋体" w:hAnsi="宋体" w:cs="仿宋"/>
                <w:color w:val="000000"/>
                <w:kern w:val="0"/>
                <w:szCs w:val="21"/>
              </w:rPr>
              <w:t>统计分析</w:t>
            </w:r>
          </w:p>
        </w:tc>
        <w:tc>
          <w:tcPr>
            <w:tcW w:w="3179" w:type="pct"/>
            <w:noWrap w:val="0"/>
            <w:vAlign w:val="center"/>
          </w:tcPr>
          <w:p>
            <w:pPr>
              <w:widowControl/>
              <w:spacing w:line="360" w:lineRule="auto"/>
              <w:jc w:val="left"/>
              <w:rPr>
                <w:rFonts w:ascii="宋体" w:hAnsi="宋体" w:cs="仿宋"/>
                <w:color w:val="000000"/>
                <w:kern w:val="0"/>
                <w:szCs w:val="21"/>
              </w:rPr>
            </w:pPr>
            <w:r>
              <w:rPr>
                <w:rFonts w:hint="eastAsia" w:ascii="宋体" w:hAnsi="宋体" w:cs="仿宋"/>
                <w:color w:val="000000"/>
                <w:kern w:val="0"/>
                <w:szCs w:val="21"/>
              </w:rPr>
              <w:t>对违规单据数据进行统计分析，包括对科室业务分析、违规规则top10排名等分析。</w:t>
            </w:r>
          </w:p>
        </w:tc>
      </w:tr>
    </w:tbl>
    <w:p>
      <w:pPr>
        <w:pStyle w:val="3"/>
        <w:numPr>
          <w:ilvl w:val="0"/>
          <w:numId w:val="0"/>
        </w:numPr>
        <w:spacing w:before="0" w:after="0"/>
        <w:ind w:left="432"/>
        <w:rPr>
          <w:rFonts w:ascii="宋体" w:hAnsi="宋体"/>
          <w:sz w:val="32"/>
          <w:szCs w:val="32"/>
        </w:rPr>
      </w:pPr>
    </w:p>
    <w:p>
      <w:pPr>
        <w:pStyle w:val="3"/>
        <w:numPr>
          <w:ilvl w:val="0"/>
          <w:numId w:val="3"/>
        </w:numPr>
        <w:spacing w:before="0" w:after="0"/>
        <w:rPr>
          <w:rFonts w:ascii="宋体" w:hAnsi="宋体"/>
          <w:sz w:val="32"/>
          <w:szCs w:val="32"/>
        </w:rPr>
      </w:pPr>
      <w:r>
        <w:rPr>
          <w:rFonts w:hint="eastAsia" w:ascii="宋体" w:hAnsi="宋体"/>
          <w:sz w:val="32"/>
          <w:szCs w:val="32"/>
        </w:rPr>
        <w:t>详细</w:t>
      </w:r>
      <w:r>
        <w:rPr>
          <w:rFonts w:hint="eastAsia" w:ascii="宋体" w:hAnsi="宋体"/>
          <w:sz w:val="32"/>
          <w:szCs w:val="32"/>
          <w:lang w:eastAsia="zh-CN"/>
        </w:rPr>
        <w:t>功能描述</w:t>
      </w:r>
    </w:p>
    <w:p>
      <w:pPr>
        <w:spacing w:line="360" w:lineRule="auto"/>
        <w:ind w:firstLine="422" w:firstLineChars="200"/>
        <w:rPr>
          <w:rFonts w:ascii="宋体" w:hAnsi="宋体"/>
          <w:b/>
          <w:bCs/>
          <w:szCs w:val="21"/>
        </w:rPr>
      </w:pPr>
      <w:bookmarkStart w:id="0" w:name="_6.1.1、大数据服务器"/>
      <w:bookmarkEnd w:id="0"/>
      <w:bookmarkStart w:id="1" w:name="_Toc45543949"/>
      <w:bookmarkStart w:id="2" w:name="_Toc38801244"/>
      <w:r>
        <w:rPr>
          <w:rFonts w:hint="eastAsia" w:ascii="宋体" w:hAnsi="宋体"/>
          <w:b/>
          <w:bCs/>
          <w:szCs w:val="21"/>
        </w:rPr>
        <w:t>诊间审核服务</w:t>
      </w:r>
      <w:bookmarkEnd w:id="1"/>
      <w:bookmarkEnd w:id="2"/>
    </w:p>
    <w:p>
      <w:pPr>
        <w:spacing w:line="360" w:lineRule="auto"/>
        <w:ind w:firstLine="420" w:firstLineChars="200"/>
        <w:rPr>
          <w:rFonts w:hint="eastAsia" w:ascii="宋体" w:hAnsi="宋体"/>
          <w:szCs w:val="21"/>
        </w:rPr>
      </w:pPr>
      <w:r>
        <w:rPr>
          <w:rFonts w:hint="eastAsia" w:ascii="宋体" w:hAnsi="宋体"/>
          <w:szCs w:val="21"/>
        </w:rPr>
        <w:t>1.事前审核：在医生工作站/护士工作站等采购人指定的工作站节点，医生录入处方医嘱，点击提交，系统调用处方审核接口，调用审核引擎进行审核，并对接第三方系统将审核结果返回。</w:t>
      </w:r>
    </w:p>
    <w:p>
      <w:pPr>
        <w:spacing w:line="360" w:lineRule="auto"/>
        <w:ind w:firstLine="420" w:firstLineChars="200"/>
        <w:rPr>
          <w:rFonts w:hint="eastAsia" w:ascii="宋体" w:hAnsi="宋体"/>
          <w:szCs w:val="21"/>
        </w:rPr>
      </w:pPr>
      <w:r>
        <w:rPr>
          <w:rFonts w:hint="eastAsia" w:ascii="宋体" w:hAnsi="宋体"/>
          <w:szCs w:val="21"/>
        </w:rPr>
        <w:t>供应商需要利用其专业团队和服务，满足采购人以下需求:</w:t>
      </w:r>
    </w:p>
    <w:p>
      <w:pPr>
        <w:spacing w:line="360" w:lineRule="auto"/>
        <w:ind w:firstLine="420" w:firstLineChars="200"/>
        <w:rPr>
          <w:rFonts w:ascii="宋体" w:hAnsi="宋体"/>
          <w:szCs w:val="21"/>
        </w:rPr>
      </w:pPr>
      <w:r>
        <w:rPr>
          <w:rFonts w:hint="eastAsia" w:ascii="宋体" w:hAnsi="宋体"/>
          <w:szCs w:val="21"/>
        </w:rPr>
        <w:t>1.1在采购人指定的工作站提供诊间审核服务，该服务的服务范围应包括医保管理科、门诊医生工作站、急诊医生工作站、住院医生工作站、护士工作站、医技通费(含门诊、住院手术室、麻醉通费)、门诊收费处、急诊收费处、住院收费处。</w:t>
      </w:r>
    </w:p>
    <w:p>
      <w:pPr>
        <w:spacing w:line="360" w:lineRule="auto"/>
        <w:ind w:firstLine="420" w:firstLineChars="200"/>
        <w:rPr>
          <w:rFonts w:ascii="宋体" w:hAnsi="宋体"/>
          <w:szCs w:val="21"/>
        </w:rPr>
      </w:pPr>
      <w:r>
        <w:rPr>
          <w:rFonts w:hint="eastAsia" w:ascii="宋体" w:hAnsi="宋体"/>
          <w:szCs w:val="21"/>
        </w:rPr>
        <w:t>1.2该服务应根据医保的支付管理规定，在采购人涉及医保费用的流程中,提供实时提示疑点信息的服务，能对医师的诊疗行为进行实时辅助，提示判定违规的依据。</w:t>
      </w:r>
    </w:p>
    <w:p>
      <w:pPr>
        <w:spacing w:line="360" w:lineRule="auto"/>
        <w:ind w:firstLine="420" w:firstLineChars="200"/>
        <w:rPr>
          <w:rFonts w:ascii="宋体" w:hAnsi="宋体"/>
          <w:szCs w:val="21"/>
        </w:rPr>
      </w:pPr>
      <w:r>
        <w:rPr>
          <w:rFonts w:hint="eastAsia" w:ascii="宋体" w:hAnsi="宋体"/>
          <w:szCs w:val="21"/>
        </w:rPr>
        <w:t>1.3供应商所提供的服务要求可大幅降低采购人因违规而被本地医保拒付的金额，减少不合理费用的支出。</w:t>
      </w:r>
    </w:p>
    <w:p>
      <w:pPr>
        <w:spacing w:line="360" w:lineRule="auto"/>
        <w:ind w:firstLine="420" w:firstLineChars="200"/>
        <w:rPr>
          <w:rFonts w:ascii="宋体" w:hAnsi="宋体"/>
          <w:szCs w:val="21"/>
        </w:rPr>
      </w:pPr>
      <w:r>
        <w:rPr>
          <w:rFonts w:hint="eastAsia" w:ascii="宋体" w:hAnsi="宋体"/>
          <w:szCs w:val="21"/>
        </w:rPr>
        <w:t>1.4供应商所提供的服务应根据采购人的需求，允许该服务可以灵活应用于医保/非医保病人，实现采购人对医保/非医保单据审核的灵活处理。</w:t>
      </w:r>
    </w:p>
    <w:p>
      <w:pPr>
        <w:spacing w:line="360" w:lineRule="auto"/>
        <w:ind w:firstLine="420" w:firstLineChars="200"/>
        <w:rPr>
          <w:rFonts w:ascii="宋体" w:hAnsi="宋体"/>
          <w:szCs w:val="21"/>
        </w:rPr>
      </w:pPr>
      <w:r>
        <w:rPr>
          <w:rFonts w:hint="eastAsia" w:ascii="宋体" w:hAnsi="宋体"/>
          <w:szCs w:val="21"/>
        </w:rPr>
        <w:t>2.审核规则与本地医保管理机构保持一致，同步更新。</w:t>
      </w:r>
    </w:p>
    <w:p>
      <w:pPr>
        <w:spacing w:line="360" w:lineRule="auto"/>
        <w:ind w:firstLine="422" w:firstLineChars="200"/>
        <w:rPr>
          <w:rFonts w:hint="eastAsia" w:ascii="宋体" w:hAnsi="宋体"/>
          <w:b/>
          <w:bCs/>
          <w:szCs w:val="21"/>
        </w:rPr>
      </w:pPr>
      <w:r>
        <w:rPr>
          <w:rFonts w:hint="eastAsia" w:ascii="宋体" w:hAnsi="宋体"/>
          <w:b/>
          <w:bCs/>
          <w:szCs w:val="21"/>
        </w:rPr>
        <w:t>审核规则</w:t>
      </w:r>
    </w:p>
    <w:p>
      <w:pPr>
        <w:spacing w:line="360" w:lineRule="auto"/>
        <w:ind w:firstLine="420" w:firstLineChars="200"/>
        <w:rPr>
          <w:rFonts w:hint="eastAsia" w:ascii="宋体" w:hAnsi="宋体"/>
          <w:szCs w:val="21"/>
          <w:lang w:eastAsia="zh-Hans"/>
        </w:rPr>
      </w:pPr>
      <w:r>
        <w:rPr>
          <w:rFonts w:hint="eastAsia" w:ascii="宋体" w:hAnsi="宋体"/>
          <w:szCs w:val="21"/>
          <w:lang w:val="en-US" w:eastAsia="zh-CN"/>
        </w:rPr>
        <w:t>1</w:t>
      </w:r>
      <w:r>
        <w:rPr>
          <w:rFonts w:hint="eastAsia" w:ascii="宋体" w:hAnsi="宋体"/>
          <w:szCs w:val="21"/>
        </w:rPr>
        <w:t>.审核规则与医保管理机构保持一致，并同步更新。</w:t>
      </w:r>
      <w:r>
        <w:rPr>
          <w:rFonts w:hint="eastAsia" w:ascii="宋体" w:hAnsi="宋体"/>
          <w:szCs w:val="21"/>
          <w:lang w:val="en-US" w:eastAsia="zh-CN"/>
        </w:rPr>
        <w:t>包括但不限于如下规则</w:t>
      </w:r>
      <w:r>
        <w:rPr>
          <w:rFonts w:hint="eastAsia" w:ascii="宋体" w:hAnsi="宋体"/>
          <w:szCs w:val="21"/>
          <w:lang w:eastAsia="zh-Hans"/>
        </w:rPr>
        <w:t>：</w:t>
      </w:r>
    </w:p>
    <w:p>
      <w:pPr>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限就医方式、限定医院级别类型、违反限定适应症(条件)用药、限儿童、中药饮片审核、中药饮片审核3、超限定频次、项目与项目匹配、重复收费、限价格、诊断合理性审核、指定手术单病种、白内障项目检查、限定性别审核、不合理入院、违反限定适应症（条件）用药（门诊）、违反限定适应症（条件）用药（住院）、限儿童（项目）、限性别（药品、耗材）、超限定频次（可疑）、出院带检治、次要手术收费异常、费用日期不在住院期间、超限定支付疗程。</w:t>
      </w:r>
    </w:p>
    <w:p>
      <w:pPr>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2.</w:t>
      </w:r>
      <w:r>
        <w:rPr>
          <w:rFonts w:hint="eastAsia" w:ascii="宋体" w:hAnsi="宋体"/>
          <w:szCs w:val="21"/>
          <w:lang w:val="en-US" w:eastAsia="zh-Hans"/>
        </w:rPr>
        <w:t>设立</w:t>
      </w:r>
      <w:r>
        <w:rPr>
          <w:rFonts w:hint="eastAsia" w:ascii="宋体" w:hAnsi="宋体"/>
          <w:szCs w:val="21"/>
          <w:lang w:val="en-US" w:eastAsia="zh-CN"/>
        </w:rPr>
        <w:t>广东省人民医院</w:t>
      </w:r>
      <w:r>
        <w:rPr>
          <w:rFonts w:hint="eastAsia" w:ascii="宋体" w:hAnsi="宋体"/>
          <w:szCs w:val="21"/>
          <w:lang w:val="en-US" w:eastAsia="zh-Hans"/>
        </w:rPr>
        <w:t>定制规则，规则的项目内容及相关逻辑可根据医院管理发展、医保政策变化，灵活调整、按需配置</w:t>
      </w:r>
      <w:r>
        <w:rPr>
          <w:rFonts w:hint="eastAsia" w:ascii="宋体" w:hAnsi="宋体"/>
          <w:szCs w:val="21"/>
          <w:lang w:val="en-US" w:eastAsia="zh-CN"/>
        </w:rPr>
        <w:t>。包括但不限于如下规则：</w:t>
      </w:r>
    </w:p>
    <w:p>
      <w:pPr>
        <w:pStyle w:val="2"/>
        <w:rPr>
          <w:rFonts w:hint="default" w:ascii="宋体" w:hAnsi="宋体" w:eastAsia="宋体"/>
          <w:szCs w:val="21"/>
          <w:lang w:eastAsia="zh-Hans"/>
        </w:rPr>
      </w:pPr>
      <w:r>
        <w:rPr>
          <w:rFonts w:hint="default" w:ascii="宋体" w:hAnsi="宋体" w:eastAsia="宋体"/>
          <w:szCs w:val="21"/>
          <w:lang w:eastAsia="zh-Hans"/>
        </w:rPr>
        <w:drawing>
          <wp:inline distT="0" distB="0" distL="114300" distR="114300">
            <wp:extent cx="5081270" cy="7941310"/>
            <wp:effectExtent l="0" t="0" r="8890" b="13970"/>
            <wp:docPr id="2" name="图片 2" descr="WechatIMG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IMG39"/>
                    <pic:cNvPicPr>
                      <a:picLocks noChangeAspect="1"/>
                    </pic:cNvPicPr>
                  </pic:nvPicPr>
                  <pic:blipFill>
                    <a:blip r:embed="rId5"/>
                    <a:stretch>
                      <a:fillRect/>
                    </a:stretch>
                  </pic:blipFill>
                  <pic:spPr>
                    <a:xfrm>
                      <a:off x="0" y="0"/>
                      <a:ext cx="5081270" cy="7941310"/>
                    </a:xfrm>
                    <a:prstGeom prst="rect">
                      <a:avLst/>
                    </a:prstGeom>
                  </pic:spPr>
                </pic:pic>
              </a:graphicData>
            </a:graphic>
          </wp:inline>
        </w:drawing>
      </w:r>
    </w:p>
    <w:p>
      <w:pPr>
        <w:pStyle w:val="2"/>
        <w:rPr>
          <w:rFonts w:hint="default" w:ascii="宋体" w:hAnsi="宋体"/>
          <w:szCs w:val="21"/>
        </w:rPr>
      </w:pPr>
      <w:r>
        <w:rPr>
          <w:rFonts w:hint="default" w:ascii="宋体" w:hAnsi="宋体"/>
          <w:szCs w:val="21"/>
        </w:rPr>
        <w:drawing>
          <wp:inline distT="0" distB="0" distL="114300" distR="114300">
            <wp:extent cx="4293235" cy="8851900"/>
            <wp:effectExtent l="0" t="0" r="4445" b="2540"/>
            <wp:docPr id="4" name="图片 4" descr="WechatIM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chatIMG41"/>
                    <pic:cNvPicPr>
                      <a:picLocks noChangeAspect="1"/>
                    </pic:cNvPicPr>
                  </pic:nvPicPr>
                  <pic:blipFill>
                    <a:blip r:embed="rId6"/>
                    <a:stretch>
                      <a:fillRect/>
                    </a:stretch>
                  </pic:blipFill>
                  <pic:spPr>
                    <a:xfrm>
                      <a:off x="0" y="0"/>
                      <a:ext cx="4293235" cy="8851900"/>
                    </a:xfrm>
                    <a:prstGeom prst="rect">
                      <a:avLst/>
                    </a:prstGeom>
                  </pic:spPr>
                </pic:pic>
              </a:graphicData>
            </a:graphic>
          </wp:inline>
        </w:drawing>
      </w:r>
    </w:p>
    <w:p>
      <w:pPr>
        <w:pStyle w:val="2"/>
        <w:rPr>
          <w:rFonts w:hint="default" w:ascii="宋体" w:hAnsi="宋体"/>
          <w:szCs w:val="21"/>
          <w:lang w:val="en-US" w:eastAsia="zh-CN"/>
        </w:rPr>
      </w:pPr>
      <w:r>
        <w:rPr>
          <w:rFonts w:hint="default" w:ascii="宋体" w:hAnsi="宋体"/>
          <w:szCs w:val="21"/>
        </w:rPr>
        <w:drawing>
          <wp:inline distT="0" distB="0" distL="114300" distR="114300">
            <wp:extent cx="5268595" cy="8502015"/>
            <wp:effectExtent l="0" t="0" r="4445" b="1905"/>
            <wp:docPr id="3" name="图片 3" descr="WechatIMG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chatIMG42"/>
                    <pic:cNvPicPr>
                      <a:picLocks noChangeAspect="1"/>
                    </pic:cNvPicPr>
                  </pic:nvPicPr>
                  <pic:blipFill>
                    <a:blip r:embed="rId7"/>
                    <a:stretch>
                      <a:fillRect/>
                    </a:stretch>
                  </pic:blipFill>
                  <pic:spPr>
                    <a:xfrm>
                      <a:off x="0" y="0"/>
                      <a:ext cx="5268595" cy="8502015"/>
                    </a:xfrm>
                    <a:prstGeom prst="rect">
                      <a:avLst/>
                    </a:prstGeom>
                  </pic:spPr>
                </pic:pic>
              </a:graphicData>
            </a:graphic>
          </wp:inline>
        </w:drawing>
      </w:r>
    </w:p>
    <w:p>
      <w:pPr>
        <w:spacing w:line="360" w:lineRule="auto"/>
        <w:ind w:firstLine="422" w:firstLineChars="200"/>
        <w:rPr>
          <w:rFonts w:hint="eastAsia" w:ascii="宋体" w:hAnsi="宋体"/>
          <w:b/>
          <w:bCs/>
          <w:szCs w:val="21"/>
        </w:rPr>
      </w:pPr>
      <w:r>
        <w:rPr>
          <w:rFonts w:hint="eastAsia" w:ascii="宋体" w:hAnsi="宋体"/>
          <w:b/>
          <w:bCs/>
          <w:szCs w:val="21"/>
        </w:rPr>
        <w:t>审核提醒</w:t>
      </w:r>
    </w:p>
    <w:p>
      <w:pPr>
        <w:spacing w:line="360" w:lineRule="auto"/>
        <w:ind w:firstLine="420" w:firstLineChars="200"/>
        <w:rPr>
          <w:rFonts w:ascii="宋体" w:hAnsi="宋体"/>
          <w:szCs w:val="21"/>
        </w:rPr>
      </w:pPr>
      <w:r>
        <w:rPr>
          <w:rFonts w:hint="eastAsia" w:ascii="宋体" w:hAnsi="宋体"/>
          <w:szCs w:val="21"/>
        </w:rPr>
        <w:t>审核结果实时返回，在第三方系统弹窗显示违规内容。支持医生强制保存处方或返回修改操作。</w:t>
      </w:r>
    </w:p>
    <w:p>
      <w:pPr>
        <w:spacing w:line="360" w:lineRule="auto"/>
        <w:ind w:firstLine="422" w:firstLineChars="200"/>
        <w:rPr>
          <w:rFonts w:hint="eastAsia" w:ascii="宋体" w:hAnsi="宋体"/>
          <w:b/>
          <w:bCs/>
          <w:szCs w:val="21"/>
        </w:rPr>
      </w:pPr>
      <w:r>
        <w:rPr>
          <w:rFonts w:hint="eastAsia" w:ascii="宋体" w:hAnsi="宋体"/>
          <w:b/>
          <w:bCs/>
          <w:szCs w:val="21"/>
        </w:rPr>
        <w:t>违规查询</w:t>
      </w:r>
    </w:p>
    <w:p>
      <w:pPr>
        <w:spacing w:line="360" w:lineRule="auto"/>
        <w:ind w:firstLine="420" w:firstLineChars="200"/>
        <w:rPr>
          <w:rFonts w:ascii="宋体" w:hAnsi="宋体"/>
          <w:szCs w:val="21"/>
        </w:rPr>
      </w:pPr>
      <w:r>
        <w:rPr>
          <w:rFonts w:hint="eastAsia" w:ascii="宋体" w:hAnsi="宋体"/>
          <w:szCs w:val="21"/>
        </w:rPr>
        <w:t>查询审核（出院/门诊）。提供住院/门诊智能审核查询功能，医保办可通过系统实现相关智能审核的回顾性审查，按科室、医生、可疑违规项目等不同维度进行违规主单、明细查询。</w:t>
      </w:r>
    </w:p>
    <w:p>
      <w:pPr>
        <w:spacing w:line="360" w:lineRule="auto"/>
        <w:ind w:firstLine="422" w:firstLineChars="200"/>
        <w:rPr>
          <w:rFonts w:hint="eastAsia" w:ascii="宋体" w:hAnsi="宋体"/>
          <w:b/>
          <w:bCs/>
          <w:szCs w:val="21"/>
        </w:rPr>
      </w:pPr>
      <w:r>
        <w:rPr>
          <w:rFonts w:hint="eastAsia" w:ascii="宋体" w:hAnsi="宋体"/>
          <w:b/>
          <w:bCs/>
          <w:szCs w:val="21"/>
        </w:rPr>
        <w:t>违规统计</w:t>
      </w:r>
    </w:p>
    <w:p>
      <w:pPr>
        <w:spacing w:line="360" w:lineRule="auto"/>
        <w:ind w:firstLine="420" w:firstLineChars="200"/>
        <w:rPr>
          <w:rFonts w:hint="eastAsia" w:ascii="宋体" w:hAnsi="宋体"/>
          <w:szCs w:val="21"/>
        </w:rPr>
      </w:pPr>
      <w:r>
        <w:rPr>
          <w:rFonts w:hint="eastAsia" w:ascii="宋体" w:hAnsi="宋体"/>
          <w:szCs w:val="21"/>
        </w:rPr>
        <w:t>对违规单据数据进行统计分析，包括对科室业务分析、违规规则top10排名等分析。</w:t>
      </w:r>
      <w:bookmarkStart w:id="3" w:name="_Toc45543950"/>
      <w:bookmarkStart w:id="4" w:name="_Toc38801245"/>
      <w:r>
        <w:rPr>
          <w:rFonts w:hint="eastAsia" w:ascii="宋体" w:hAnsi="宋体"/>
          <w:szCs w:val="21"/>
        </w:rPr>
        <w:t xml:space="preserve"> </w:t>
      </w:r>
    </w:p>
    <w:bookmarkEnd w:id="3"/>
    <w:bookmarkEnd w:id="4"/>
    <w:p>
      <w:pPr>
        <w:pStyle w:val="3"/>
        <w:numPr>
          <w:ilvl w:val="0"/>
          <w:numId w:val="3"/>
        </w:numPr>
        <w:spacing w:before="0" w:after="0"/>
        <w:rPr>
          <w:rFonts w:ascii="宋体" w:hAnsi="宋体"/>
          <w:sz w:val="21"/>
          <w:szCs w:val="21"/>
        </w:rPr>
      </w:pPr>
      <w:r>
        <w:rPr>
          <w:rFonts w:hint="eastAsia" w:ascii="宋体" w:hAnsi="宋体"/>
          <w:sz w:val="32"/>
          <w:szCs w:val="32"/>
        </w:rPr>
        <w:t>项目工期</w:t>
      </w:r>
    </w:p>
    <w:p>
      <w:pPr>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1.自合同签订日起，须在30个工作日内对《用户需求说明书》进行补充、确认或提出意见。</w:t>
      </w:r>
    </w:p>
    <w:p>
      <w:pPr>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2.对《用户需求说明书》提出意见后，院方组织进行用户需求调研，根据调研情况提供业务调研记录、现况分析、功能设计及说明，双方共同整理并在10个工作日内确认《需求规格说明书》。</w:t>
      </w:r>
    </w:p>
    <w:p>
      <w:pPr>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3.须在《需求规格说明书》确认后的90个工作日内完成实施导入和保证系统正常工作。</w:t>
      </w:r>
    </w:p>
    <w:p>
      <w:pPr>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4.完成软件实施，并根据院方提出的新需求完成修改后，系统运行3个月以上无软件故障出现，则向院方申请验收。</w:t>
      </w:r>
    </w:p>
    <w:p>
      <w:pPr>
        <w:pStyle w:val="3"/>
        <w:numPr>
          <w:ilvl w:val="0"/>
          <w:numId w:val="3"/>
        </w:numPr>
        <w:spacing w:before="0" w:after="0"/>
        <w:rPr>
          <w:rFonts w:hint="default" w:ascii="宋体" w:hAnsi="宋体"/>
          <w:sz w:val="32"/>
          <w:szCs w:val="32"/>
          <w:lang w:val="en-US" w:eastAsia="zh-CN"/>
        </w:rPr>
      </w:pPr>
      <w:r>
        <w:rPr>
          <w:rFonts w:hint="eastAsia" w:ascii="宋体" w:hAnsi="宋体"/>
          <w:sz w:val="32"/>
          <w:szCs w:val="32"/>
          <w:lang w:val="en-US" w:eastAsia="zh-CN"/>
        </w:rPr>
        <w:t>服务要求</w:t>
      </w:r>
    </w:p>
    <w:p>
      <w:pPr>
        <w:spacing w:line="360" w:lineRule="auto"/>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要求提供完整的产品功能模块。整体构架科学先进实用，具有前瞻性和新颖性，能支持今后业务产品的创新和为管理决策提供足够的信息支持。</w:t>
      </w:r>
    </w:p>
    <w:p>
      <w:pPr>
        <w:spacing w:line="360" w:lineRule="auto"/>
        <w:ind w:firstLine="420" w:firstLineChars="200"/>
        <w:rPr>
          <w:rFonts w:hint="eastAsia" w:ascii="宋体" w:hAnsi="宋体"/>
          <w:szCs w:val="21"/>
        </w:rPr>
      </w:pPr>
      <w:r>
        <w:rPr>
          <w:rFonts w:hint="eastAsia" w:ascii="宋体" w:hAnsi="宋体"/>
          <w:szCs w:val="21"/>
          <w:lang w:val="en-US" w:eastAsia="zh-CN"/>
        </w:rPr>
        <w:t>2.</w:t>
      </w:r>
      <w:r>
        <w:rPr>
          <w:rFonts w:hint="eastAsia" w:ascii="宋体" w:hAnsi="宋体"/>
          <w:szCs w:val="21"/>
        </w:rPr>
        <w:t>要求系统应具有较高的可靠性和稳定性，满足7×24小时连续不间断运行需要。</w:t>
      </w:r>
    </w:p>
    <w:p>
      <w:pPr>
        <w:spacing w:line="360" w:lineRule="auto"/>
        <w:ind w:firstLine="420" w:firstLineChars="200"/>
        <w:rPr>
          <w:rFonts w:hint="eastAsia" w:ascii="宋体" w:hAnsi="宋体"/>
          <w:szCs w:val="21"/>
        </w:rPr>
      </w:pPr>
      <w:r>
        <w:rPr>
          <w:rFonts w:hint="eastAsia" w:ascii="宋体" w:hAnsi="宋体"/>
          <w:szCs w:val="21"/>
          <w:lang w:val="en-US" w:eastAsia="zh-CN"/>
        </w:rPr>
        <w:t>3.</w:t>
      </w:r>
      <w:r>
        <w:rPr>
          <w:rFonts w:hint="eastAsia" w:ascii="宋体" w:hAnsi="宋体"/>
          <w:szCs w:val="21"/>
        </w:rPr>
        <w:t>要求指派一名具有专业知识的资深管理人员作为项目经理，负责本项目的项目管理，统筹相关工作，监督项目执行与情况汇报，控制工作质量，执行变更和应急情况管理，并根据实际状况调整人员安排，以保证项目的正常高效运作。</w:t>
      </w:r>
    </w:p>
    <w:p>
      <w:pPr>
        <w:spacing w:line="360" w:lineRule="auto"/>
        <w:ind w:firstLine="420" w:firstLineChars="200"/>
        <w:rPr>
          <w:rFonts w:hint="eastAsia" w:ascii="宋体" w:hAnsi="宋体"/>
          <w:szCs w:val="21"/>
        </w:rPr>
      </w:pPr>
      <w:r>
        <w:rPr>
          <w:rFonts w:hint="eastAsia" w:ascii="宋体" w:hAnsi="宋体"/>
          <w:szCs w:val="21"/>
          <w:lang w:val="en-US" w:eastAsia="zh-CN"/>
        </w:rPr>
        <w:t>4.</w:t>
      </w:r>
      <w:r>
        <w:rPr>
          <w:rFonts w:hint="eastAsia" w:ascii="宋体" w:hAnsi="宋体"/>
          <w:szCs w:val="21"/>
        </w:rPr>
        <w:t>要求保修期内，在本项目的维护、运行管理、故障诊断及解决、项目开放方面继续给予采购人技术协作和咨询指导。在保修期内，均免费提供本合同系统范围内的配合工作。</w:t>
      </w:r>
    </w:p>
    <w:p>
      <w:pPr>
        <w:spacing w:line="360" w:lineRule="auto"/>
        <w:ind w:firstLine="420" w:firstLineChars="200"/>
        <w:rPr>
          <w:rFonts w:hint="eastAsia" w:ascii="宋体" w:hAnsi="宋体"/>
          <w:szCs w:val="21"/>
        </w:rPr>
      </w:pPr>
      <w:r>
        <w:rPr>
          <w:rFonts w:hint="eastAsia" w:ascii="宋体" w:hAnsi="宋体"/>
          <w:szCs w:val="21"/>
          <w:lang w:val="en-US" w:eastAsia="zh-CN"/>
        </w:rPr>
        <w:t>5.</w:t>
      </w:r>
      <w:r>
        <w:rPr>
          <w:rFonts w:hint="eastAsia" w:ascii="宋体" w:hAnsi="宋体"/>
          <w:szCs w:val="21"/>
        </w:rPr>
        <w:t>培训服务</w:t>
      </w:r>
    </w:p>
    <w:p>
      <w:pPr>
        <w:spacing w:line="360" w:lineRule="auto"/>
        <w:ind w:firstLine="420" w:firstLineChars="200"/>
        <w:rPr>
          <w:rFonts w:hint="eastAsia" w:ascii="宋体" w:hAnsi="宋体"/>
          <w:szCs w:val="21"/>
        </w:rPr>
      </w:pPr>
      <w:r>
        <w:rPr>
          <w:rFonts w:hint="eastAsia" w:ascii="宋体" w:hAnsi="宋体"/>
          <w:szCs w:val="21"/>
        </w:rPr>
        <w:t>1）培训对象包括服务管理人员、操作人员、医保管理人员。</w:t>
      </w:r>
    </w:p>
    <w:p>
      <w:pPr>
        <w:spacing w:line="360" w:lineRule="auto"/>
        <w:ind w:firstLine="420" w:firstLineChars="200"/>
        <w:rPr>
          <w:rFonts w:hint="eastAsia" w:ascii="宋体" w:hAnsi="宋体"/>
          <w:szCs w:val="21"/>
        </w:rPr>
      </w:pPr>
      <w:r>
        <w:rPr>
          <w:rFonts w:hint="eastAsia" w:ascii="宋体" w:hAnsi="宋体"/>
          <w:szCs w:val="21"/>
        </w:rPr>
        <w:t>2）服务系统管理人员培训内容为服务使用的系统所涉及的相关技术内容:操作人员的培训内容是服务所使用系统的操作培训;管理人员培训内容为服务所使用系统的流程和管理思想。</w:t>
      </w:r>
    </w:p>
    <w:p>
      <w:pPr>
        <w:spacing w:line="360" w:lineRule="auto"/>
        <w:ind w:firstLine="420" w:firstLineChars="200"/>
        <w:rPr>
          <w:rFonts w:hint="eastAsia" w:ascii="宋体" w:hAnsi="宋体"/>
          <w:szCs w:val="21"/>
        </w:rPr>
      </w:pPr>
      <w:r>
        <w:rPr>
          <w:rFonts w:hint="eastAsia" w:ascii="宋体" w:hAnsi="宋体"/>
          <w:szCs w:val="21"/>
          <w:lang w:val="en-US" w:eastAsia="zh-CN"/>
        </w:rPr>
        <w:t>6.</w:t>
      </w:r>
      <w:r>
        <w:rPr>
          <w:rFonts w:hint="eastAsia" w:ascii="宋体" w:hAnsi="宋体"/>
          <w:szCs w:val="21"/>
        </w:rPr>
        <w:t>运维服务：供应商提供可持续提供运行保障服务，保证供应商所提供的服务正常运行。</w:t>
      </w:r>
    </w:p>
    <w:p>
      <w:pPr>
        <w:spacing w:line="360" w:lineRule="auto"/>
        <w:ind w:firstLine="420" w:firstLineChars="200"/>
        <w:rPr>
          <w:rFonts w:hint="default"/>
          <w:lang w:val="en-US" w:eastAsia="zh-CN"/>
        </w:rPr>
      </w:pPr>
      <w:r>
        <w:rPr>
          <w:rFonts w:hint="eastAsia" w:ascii="宋体" w:hAnsi="宋体"/>
          <w:szCs w:val="21"/>
          <w:lang w:val="en-US" w:eastAsia="zh-CN"/>
        </w:rPr>
        <w:t>7.</w:t>
      </w:r>
      <w:r>
        <w:rPr>
          <w:rFonts w:hint="eastAsia" w:ascii="宋体" w:hAnsi="宋体"/>
          <w:szCs w:val="21"/>
        </w:rPr>
        <w:t>良好的安全保密措施:供应商必须保证所有业各数据的安全可靠，防止数据丢失、泄露。不得监听或存储非必要的数据，所有数据在未经采购人允许的情况下不得用于其他盈利或非盈利用途。</w:t>
      </w:r>
    </w:p>
    <w:p>
      <w:pPr>
        <w:spacing w:line="360" w:lineRule="auto"/>
        <w:ind w:firstLine="420" w:firstLineChars="200"/>
        <w:rPr>
          <w:rFonts w:hint="eastAsia" w:ascii="宋体" w:hAnsi="宋体"/>
          <w:szCs w:val="21"/>
        </w:rPr>
      </w:pPr>
      <w:r>
        <w:rPr>
          <w:rFonts w:hint="eastAsia" w:ascii="宋体" w:hAnsi="宋体"/>
          <w:szCs w:val="21"/>
          <w:lang w:val="en-US" w:eastAsia="zh-CN"/>
        </w:rPr>
        <w:t>8.</w:t>
      </w:r>
      <w:r>
        <w:rPr>
          <w:rFonts w:hint="eastAsia" w:ascii="宋体" w:hAnsi="宋体"/>
          <w:szCs w:val="21"/>
        </w:rPr>
        <w:t>供应商必须具有良好的系统设计和实施信誉，以及相关实力的技术队伍。</w:t>
      </w:r>
    </w:p>
    <w:p>
      <w:pPr>
        <w:spacing w:line="360" w:lineRule="auto"/>
        <w:ind w:firstLine="420" w:firstLineChars="200"/>
        <w:rPr>
          <w:rFonts w:hint="eastAsia" w:ascii="宋体" w:hAnsi="宋体"/>
          <w:szCs w:val="21"/>
        </w:rPr>
      </w:pPr>
      <w:r>
        <w:rPr>
          <w:rFonts w:hint="eastAsia" w:ascii="宋体" w:hAnsi="宋体"/>
          <w:szCs w:val="21"/>
          <w:lang w:val="en-US" w:eastAsia="zh-CN"/>
        </w:rPr>
        <w:t>9.</w:t>
      </w:r>
      <w:r>
        <w:rPr>
          <w:rFonts w:hint="eastAsia" w:ascii="宋体" w:hAnsi="宋体"/>
          <w:szCs w:val="21"/>
        </w:rPr>
        <w:t>供应商应本着认真负责态度，组织技术队伍，做好本项目的整体方案并书面提出长期保修、维护、服务以及今后技术支持的措施计划和承诺。</w:t>
      </w:r>
    </w:p>
    <w:p>
      <w:pPr>
        <w:spacing w:line="360" w:lineRule="auto"/>
        <w:ind w:firstLine="420" w:firstLineChars="200"/>
        <w:rPr>
          <w:rFonts w:hint="eastAsia" w:ascii="宋体" w:hAnsi="宋体"/>
          <w:szCs w:val="21"/>
        </w:rPr>
      </w:pPr>
      <w:r>
        <w:rPr>
          <w:rFonts w:hint="eastAsia" w:ascii="宋体" w:hAnsi="宋体"/>
          <w:szCs w:val="21"/>
          <w:lang w:val="en-US" w:eastAsia="zh-CN"/>
        </w:rPr>
        <w:t>10.</w:t>
      </w:r>
      <w:r>
        <w:rPr>
          <w:rFonts w:hint="eastAsia" w:ascii="宋体" w:hAnsi="宋体"/>
          <w:szCs w:val="21"/>
        </w:rPr>
        <w:t>供应商负责项目所需一切设备、材料、工具、辅料及其它物品，所有设备均须由供应商送货上门并安装调试，并组织项目的建设施工测试。</w:t>
      </w:r>
    </w:p>
    <w:p>
      <w:pPr>
        <w:spacing w:line="360" w:lineRule="auto"/>
        <w:ind w:firstLine="420" w:firstLineChars="200"/>
        <w:rPr>
          <w:rFonts w:hint="eastAsia"/>
          <w:lang w:eastAsia="zh-CN"/>
        </w:rPr>
      </w:pPr>
      <w:r>
        <w:rPr>
          <w:rFonts w:hint="eastAsia" w:ascii="宋体" w:hAnsi="宋体"/>
          <w:szCs w:val="21"/>
          <w:lang w:val="en-US" w:eastAsia="zh-CN"/>
        </w:rPr>
        <w:t>11.</w:t>
      </w:r>
      <w:r>
        <w:rPr>
          <w:rFonts w:hint="eastAsia" w:ascii="宋体" w:hAnsi="宋体"/>
          <w:szCs w:val="21"/>
        </w:rPr>
        <w:t>供应商必须提供详细的项目实施方案，保障项目的顺利实施，达到项目服务质量要求。要求包括但不限于以下内容：项目组织机构、项目实施计划、项目过程管理、项目进度管理、项目沟通管理、项目风险管理、项目质量管理等。</w:t>
      </w:r>
    </w:p>
    <w:p>
      <w:pPr>
        <w:pStyle w:val="3"/>
        <w:numPr>
          <w:ilvl w:val="0"/>
          <w:numId w:val="3"/>
        </w:numPr>
        <w:spacing w:before="0" w:after="0"/>
        <w:rPr>
          <w:rFonts w:ascii="宋体" w:hAnsi="宋体"/>
          <w:color w:val="FF0000"/>
          <w:sz w:val="32"/>
          <w:szCs w:val="32"/>
        </w:rPr>
      </w:pPr>
      <w:r>
        <w:rPr>
          <w:rFonts w:hint="eastAsia" w:ascii="宋体" w:hAnsi="宋体"/>
          <w:sz w:val="32"/>
          <w:szCs w:val="32"/>
        </w:rPr>
        <w:t>后续维护服务</w:t>
      </w:r>
    </w:p>
    <w:p>
      <w:pPr>
        <w:spacing w:line="360" w:lineRule="auto"/>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供应商应提供各类技术人员的职责与联系方式，方便用户与相关人员的沟通，协助制定系统的操作规范。</w:t>
      </w:r>
    </w:p>
    <w:p>
      <w:pPr>
        <w:tabs>
          <w:tab w:val="left" w:pos="780"/>
        </w:tabs>
        <w:spacing w:before="156" w:beforeLines="50" w:line="360" w:lineRule="auto"/>
        <w:ind w:firstLine="420" w:firstLineChars="200"/>
        <w:outlineLvl w:val="0"/>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软件免费维护期从合同标的验收合格之日算起，期限为</w:t>
      </w:r>
      <w:r>
        <w:rPr>
          <w:rFonts w:hint="eastAsia" w:ascii="宋体" w:hAnsi="宋体" w:cs="宋体"/>
          <w:szCs w:val="21"/>
          <w:u w:val="none"/>
          <w:lang w:val="en-US" w:eastAsia="zh-CN"/>
        </w:rPr>
        <w:t>12</w:t>
      </w:r>
      <w:r>
        <w:rPr>
          <w:rFonts w:hint="eastAsia" w:ascii="宋体" w:hAnsi="宋体" w:cs="宋体"/>
          <w:szCs w:val="21"/>
        </w:rPr>
        <w:t>个月。在免费维护期内，承建商提供技术支持和指导，以及软件的局部改进完善以及故障情况下的现场问题解决。</w:t>
      </w:r>
    </w:p>
    <w:p>
      <w:pPr>
        <w:spacing w:line="360" w:lineRule="auto"/>
        <w:ind w:firstLine="420" w:firstLineChars="200"/>
        <w:rPr>
          <w:rFonts w:hint="eastAsia" w:ascii="宋体" w:hAnsi="宋体"/>
          <w:szCs w:val="21"/>
        </w:rPr>
      </w:pPr>
      <w:r>
        <w:rPr>
          <w:rFonts w:hint="eastAsia" w:ascii="宋体" w:hAnsi="宋体"/>
          <w:szCs w:val="21"/>
          <w:lang w:val="en-US" w:eastAsia="zh-CN"/>
        </w:rPr>
        <w:t>3.</w:t>
      </w:r>
      <w:r>
        <w:rPr>
          <w:rFonts w:hint="eastAsia" w:ascii="宋体" w:hAnsi="宋体"/>
          <w:szCs w:val="21"/>
        </w:rPr>
        <w:t>供应商应在项目的实施过程中提供软件支持的服务，这些服务应该包括：</w:t>
      </w:r>
    </w:p>
    <w:p>
      <w:pPr>
        <w:spacing w:line="360" w:lineRule="auto"/>
        <w:ind w:firstLine="420" w:firstLineChars="200"/>
        <w:rPr>
          <w:rFonts w:hint="eastAsia" w:ascii="宋体" w:hAnsi="宋体"/>
          <w:szCs w:val="21"/>
        </w:rPr>
      </w:pPr>
      <w:r>
        <w:rPr>
          <w:rFonts w:hint="eastAsia" w:ascii="宋体" w:hAnsi="宋体"/>
          <w:szCs w:val="21"/>
        </w:rPr>
        <w:t>1）对影响到系统平稳作业以及应用模块操作使用的问题解答与分析，并提出解决方案；</w:t>
      </w:r>
    </w:p>
    <w:p>
      <w:pPr>
        <w:spacing w:line="360" w:lineRule="auto"/>
        <w:ind w:firstLine="420" w:firstLineChars="200"/>
        <w:rPr>
          <w:rFonts w:hint="eastAsia" w:ascii="宋体" w:hAnsi="宋体"/>
          <w:szCs w:val="21"/>
        </w:rPr>
      </w:pPr>
      <w:r>
        <w:rPr>
          <w:rFonts w:hint="eastAsia" w:ascii="宋体" w:hAnsi="宋体"/>
          <w:szCs w:val="21"/>
        </w:rPr>
        <w:t>2）定期进行程序错误的修改、维护、实施；</w:t>
      </w:r>
    </w:p>
    <w:p>
      <w:pPr>
        <w:spacing w:line="360" w:lineRule="auto"/>
        <w:ind w:firstLine="420" w:firstLineChars="200"/>
        <w:rPr>
          <w:rFonts w:hint="eastAsia" w:ascii="宋体" w:hAnsi="宋体"/>
          <w:szCs w:val="21"/>
        </w:rPr>
      </w:pPr>
      <w:r>
        <w:rPr>
          <w:rFonts w:hint="eastAsia" w:ascii="宋体" w:hAnsi="宋体"/>
          <w:szCs w:val="21"/>
        </w:rPr>
        <w:t>3）系统的服务关联到软硬件的各个方面，因此必须对所有相关的变化进行实时的更新；</w:t>
      </w:r>
    </w:p>
    <w:p>
      <w:pPr>
        <w:spacing w:line="360" w:lineRule="auto"/>
        <w:ind w:firstLine="420" w:firstLineChars="200"/>
        <w:rPr>
          <w:rFonts w:hint="eastAsia" w:ascii="宋体" w:hAnsi="宋体"/>
          <w:szCs w:val="21"/>
        </w:rPr>
      </w:pPr>
      <w:r>
        <w:rPr>
          <w:rFonts w:hint="eastAsia" w:ascii="宋体" w:hAnsi="宋体"/>
          <w:szCs w:val="21"/>
        </w:rPr>
        <w:t>4）对所有的维护活动进行记录，例如记录时间、地点、原因等，要注明完成的时间和人员；</w:t>
      </w:r>
    </w:p>
    <w:p>
      <w:pPr>
        <w:spacing w:line="360" w:lineRule="auto"/>
        <w:ind w:firstLine="420" w:firstLineChars="200"/>
        <w:rPr>
          <w:rFonts w:hint="eastAsia" w:ascii="宋体" w:hAnsi="宋体"/>
          <w:szCs w:val="21"/>
        </w:rPr>
      </w:pPr>
      <w:r>
        <w:rPr>
          <w:rFonts w:hint="eastAsia" w:ascii="宋体" w:hAnsi="宋体"/>
          <w:szCs w:val="21"/>
        </w:rPr>
        <w:t>5）提供7*24小时的现场维护和故障解决。</w:t>
      </w:r>
    </w:p>
    <w:p>
      <w:pPr>
        <w:spacing w:line="360" w:lineRule="auto"/>
        <w:ind w:firstLine="420" w:firstLineChars="200"/>
        <w:rPr>
          <w:rFonts w:hint="eastAsia" w:ascii="宋体" w:hAnsi="宋体"/>
          <w:szCs w:val="21"/>
        </w:rPr>
      </w:pPr>
      <w:r>
        <w:rPr>
          <w:rFonts w:hint="eastAsia" w:ascii="宋体" w:hAnsi="宋体"/>
          <w:szCs w:val="21"/>
          <w:lang w:val="en-US" w:eastAsia="zh-CN"/>
        </w:rPr>
        <w:t>4.</w:t>
      </w:r>
      <w:r>
        <w:rPr>
          <w:rFonts w:hint="eastAsia" w:ascii="宋体" w:hAnsi="宋体"/>
          <w:szCs w:val="21"/>
        </w:rPr>
        <w:t>供应商应提供系统的维护服务，维护服务包含但不局限于以下几点：</w:t>
      </w:r>
    </w:p>
    <w:p>
      <w:pPr>
        <w:spacing w:line="360" w:lineRule="auto"/>
        <w:ind w:firstLine="420" w:firstLineChars="200"/>
        <w:rPr>
          <w:rFonts w:hint="eastAsia" w:ascii="宋体" w:hAnsi="宋体"/>
          <w:szCs w:val="21"/>
        </w:rPr>
      </w:pPr>
      <w:r>
        <w:rPr>
          <w:rFonts w:hint="eastAsia" w:ascii="宋体" w:hAnsi="宋体"/>
          <w:szCs w:val="21"/>
        </w:rPr>
        <w:t>1）问题解答、问题分析、与其他合作方的协作；</w:t>
      </w:r>
    </w:p>
    <w:p>
      <w:pPr>
        <w:spacing w:line="360" w:lineRule="auto"/>
        <w:ind w:firstLine="420" w:firstLineChars="200"/>
        <w:rPr>
          <w:rFonts w:hint="eastAsia" w:ascii="宋体" w:hAnsi="宋体"/>
          <w:szCs w:val="21"/>
        </w:rPr>
      </w:pPr>
      <w:r>
        <w:rPr>
          <w:rFonts w:hint="eastAsia" w:ascii="宋体" w:hAnsi="宋体"/>
          <w:szCs w:val="21"/>
        </w:rPr>
        <w:t>2）修正应用软件的错误；</w:t>
      </w:r>
    </w:p>
    <w:p>
      <w:pPr>
        <w:spacing w:line="360" w:lineRule="auto"/>
        <w:ind w:firstLine="420" w:firstLineChars="200"/>
        <w:rPr>
          <w:rFonts w:hint="eastAsia" w:ascii="宋体" w:hAnsi="宋体"/>
          <w:szCs w:val="21"/>
        </w:rPr>
      </w:pPr>
      <w:r>
        <w:rPr>
          <w:rFonts w:hint="eastAsia" w:ascii="宋体" w:hAnsi="宋体"/>
          <w:szCs w:val="21"/>
        </w:rPr>
        <w:t>3）维护服务必须保证系统的一致性与稳定性，不能因维护导致系统故障宕机；</w:t>
      </w:r>
    </w:p>
    <w:p>
      <w:pPr>
        <w:spacing w:line="360" w:lineRule="auto"/>
        <w:ind w:firstLine="420" w:firstLineChars="200"/>
        <w:rPr>
          <w:rFonts w:hint="eastAsia" w:ascii="宋体" w:hAnsi="宋体"/>
          <w:szCs w:val="21"/>
        </w:rPr>
      </w:pPr>
      <w:r>
        <w:rPr>
          <w:rFonts w:hint="eastAsia" w:ascii="宋体" w:hAnsi="宋体"/>
          <w:szCs w:val="21"/>
        </w:rPr>
        <w:t>4）对医院系统的每一次改变或是升级都必须对照用户需求，确保每次改变或升级后原有应用功能都能正常运行；</w:t>
      </w:r>
    </w:p>
    <w:p>
      <w:pPr>
        <w:tabs>
          <w:tab w:val="left" w:pos="780"/>
        </w:tabs>
        <w:spacing w:before="156" w:beforeLines="50" w:line="360" w:lineRule="auto"/>
        <w:ind w:firstLine="420" w:firstLineChars="200"/>
        <w:outlineLvl w:val="0"/>
        <w:rPr>
          <w:rFonts w:hint="eastAsia" w:ascii="宋体" w:hAnsi="宋体" w:cs="宋体"/>
          <w:szCs w:val="21"/>
        </w:rPr>
      </w:pPr>
      <w:r>
        <w:rPr>
          <w:rFonts w:hint="eastAsia" w:ascii="宋体" w:hAnsi="宋体"/>
          <w:szCs w:val="21"/>
        </w:rPr>
        <w:t>5）评估并保证建议的解决方案完全符合采购方目前的操作模式，对现有系统的正常运作没有影响，所有的调优或修改建议不得降低医院数据集成平台系统和现有业务信息系统的性能与可用性。</w:t>
      </w:r>
    </w:p>
    <w:p>
      <w:pPr>
        <w:tabs>
          <w:tab w:val="left" w:pos="780"/>
        </w:tabs>
        <w:spacing w:before="156" w:beforeLines="50" w:line="360" w:lineRule="auto"/>
        <w:ind w:firstLine="420" w:firstLineChars="200"/>
        <w:outlineLvl w:val="0"/>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免费维保期内承建商为院方提供维护及服务的部门及固定的专职技术人员。承建商提供专职工程师</w:t>
      </w:r>
      <w:r>
        <w:rPr>
          <w:rFonts w:hint="eastAsia" w:ascii="宋体" w:hAnsi="宋体" w:cs="宋体"/>
          <w:szCs w:val="21"/>
          <w:lang w:val="en-US" w:eastAsia="zh-CN"/>
        </w:rPr>
        <w:t>1</w:t>
      </w:r>
      <w:r>
        <w:rPr>
          <w:rFonts w:hint="eastAsia" w:ascii="宋体" w:hAnsi="宋体" w:cs="宋体"/>
          <w:szCs w:val="21"/>
        </w:rPr>
        <w:t>名驻扎本院，工作时间与院方工作时间一致，并且提供7*24小时响应服务。</w:t>
      </w:r>
    </w:p>
    <w:p>
      <w:pPr>
        <w:tabs>
          <w:tab w:val="left" w:pos="780"/>
        </w:tabs>
        <w:spacing w:before="156" w:beforeLines="50" w:line="360" w:lineRule="auto"/>
        <w:ind w:firstLine="420" w:firstLineChars="200"/>
        <w:outlineLvl w:val="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在免费维护期结束前，须由承建商和院方进行一次全面检查，任何缺陷必须由承建商负责修复，在修复之后，承建商应将缺陷原因、修复内容、完成修理及恢复正常的时间和日期等报告给院方，形成项目总结报告。</w:t>
      </w:r>
    </w:p>
    <w:p>
      <w:pPr>
        <w:tabs>
          <w:tab w:val="left" w:pos="780"/>
        </w:tabs>
        <w:spacing w:before="156" w:beforeLines="50" w:line="360" w:lineRule="auto"/>
        <w:ind w:firstLine="420" w:firstLineChars="200"/>
        <w:outlineLvl w:val="0"/>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超过免费维护期的，双方另行协商签订维护合同，服务方报价不超过合同软件部分金额的8%。</w:t>
      </w:r>
    </w:p>
    <w:p>
      <w:pPr>
        <w:pStyle w:val="3"/>
        <w:numPr>
          <w:ilvl w:val="0"/>
          <w:numId w:val="3"/>
        </w:numPr>
        <w:spacing w:before="0" w:after="0"/>
        <w:rPr>
          <w:rFonts w:ascii="宋体" w:hAnsi="宋体"/>
          <w:color w:val="FF0000"/>
          <w:sz w:val="32"/>
          <w:szCs w:val="32"/>
        </w:rPr>
      </w:pPr>
      <w:r>
        <w:rPr>
          <w:rFonts w:hint="eastAsia" w:ascii="宋体" w:hAnsi="宋体"/>
          <w:sz w:val="32"/>
          <w:szCs w:val="32"/>
        </w:rPr>
        <w:t>合同款支付方式</w:t>
      </w:r>
    </w:p>
    <w:p>
      <w:pPr>
        <w:spacing w:line="360" w:lineRule="auto"/>
        <w:ind w:firstLine="630" w:firstLineChars="300"/>
        <w:rPr>
          <w:rFonts w:hint="eastAsia" w:ascii="宋体" w:hAnsi="宋体" w:cs="宋体"/>
          <w:szCs w:val="21"/>
        </w:rPr>
      </w:pPr>
      <w:r>
        <w:rPr>
          <w:rFonts w:hint="eastAsia" w:ascii="宋体" w:hAnsi="宋体" w:cs="宋体"/>
          <w:szCs w:val="21"/>
        </w:rPr>
        <w:t>(一)合同签订后，在收到承建商开具相应金额正式发票后，支付合同总金额的30%。</w:t>
      </w:r>
    </w:p>
    <w:p>
      <w:pPr>
        <w:spacing w:line="360" w:lineRule="auto"/>
        <w:ind w:firstLine="630" w:firstLineChars="300"/>
        <w:rPr>
          <w:rFonts w:hint="eastAsia" w:ascii="宋体" w:hAnsi="宋体" w:cs="宋体"/>
          <w:szCs w:val="21"/>
        </w:rPr>
      </w:pPr>
      <w:r>
        <w:rPr>
          <w:rFonts w:hint="eastAsia" w:ascii="宋体" w:hAnsi="宋体" w:cs="宋体"/>
          <w:szCs w:val="21"/>
        </w:rPr>
        <w:t>(二)软件验收通过后，在收到承建商开具相应金额正式发票后，支付合同总金额的65%。</w:t>
      </w:r>
    </w:p>
    <w:p>
      <w:pPr>
        <w:spacing w:line="360" w:lineRule="auto"/>
        <w:ind w:firstLine="630" w:firstLineChars="300"/>
        <w:rPr>
          <w:rFonts w:hint="eastAsia" w:ascii="宋体" w:hAnsi="宋体" w:cs="宋体"/>
          <w:b/>
          <w:color w:val="FF0000"/>
          <w:sz w:val="30"/>
          <w:szCs w:val="30"/>
        </w:rPr>
      </w:pPr>
      <w:r>
        <w:rPr>
          <w:rFonts w:hint="eastAsia" w:ascii="宋体" w:hAnsi="宋体" w:cs="宋体"/>
          <w:szCs w:val="21"/>
        </w:rPr>
        <w:t>(三)免费维护期结束后，由院方对承建商在服务期内应完成任务进行确认并通过后1个月内，支付最后一笔尾款。</w:t>
      </w:r>
    </w:p>
    <w:sectPr>
      <w:footerReference r:id="rId3" w:type="default"/>
      <w:pgSz w:w="11906" w:h="16838"/>
      <w:pgMar w:top="1021" w:right="1418" w:bottom="1021"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1441"/>
      <w:jc w:val="center"/>
      <w:rPr>
        <w:caps/>
        <w:color w:val="5B9BD5"/>
      </w:rPr>
    </w:pPr>
    <w:r>
      <w:rPr>
        <w:caps/>
        <w:color w:val="5B9BD5"/>
      </w:rPr>
      <w:fldChar w:fldCharType="begin"/>
    </w:r>
    <w:r>
      <w:rPr>
        <w:caps/>
        <w:color w:val="5B9BD5"/>
      </w:rPr>
      <w:instrText xml:space="preserve">PAGE   \* MERGEFORMAT</w:instrText>
    </w:r>
    <w:r>
      <w:rPr>
        <w:caps/>
        <w:color w:val="5B9BD5"/>
      </w:rPr>
      <w:fldChar w:fldCharType="separate"/>
    </w:r>
    <w:r>
      <w:rPr>
        <w:caps/>
        <w:color w:val="5B9BD5"/>
        <w:lang w:val="zh-CN" w:eastAsia="zh-CN"/>
      </w:rPr>
      <w:t>1</w:t>
    </w:r>
    <w:r>
      <w:rPr>
        <w:caps/>
        <w:color w:val="5B9BD5"/>
      </w:rPr>
      <w:fldChar w:fldCharType="end"/>
    </w:r>
  </w:p>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015205"/>
    <w:multiLevelType w:val="multilevel"/>
    <w:tmpl w:val="29015205"/>
    <w:lvl w:ilvl="0" w:tentative="0">
      <w:start w:val="1"/>
      <w:numFmt w:val="decimal"/>
      <w:pStyle w:val="3"/>
      <w:lvlText w:val="%1"/>
      <w:lvlJc w:val="left"/>
      <w:pPr>
        <w:ind w:left="432" w:hanging="432"/>
      </w:pPr>
      <w:rPr>
        <w:rFonts w:hint="eastAsia"/>
      </w:rPr>
    </w:lvl>
    <w:lvl w:ilvl="1" w:tentative="0">
      <w:start w:val="1"/>
      <w:numFmt w:val="decimal"/>
      <w:lvlText w:val="4.%2"/>
      <w:lvlJc w:val="left"/>
      <w:pPr>
        <w:ind w:left="576" w:hanging="576"/>
      </w:pPr>
      <w:rPr>
        <w:rFonts w:hint="eastAsia"/>
      </w:rPr>
    </w:lvl>
    <w:lvl w:ilvl="2" w:tentative="0">
      <w:start w:val="1"/>
      <w:numFmt w:val="decimal"/>
      <w:lvlText w:val="6.2.%3"/>
      <w:lvlJc w:val="left"/>
      <w:pPr>
        <w:ind w:left="720" w:hanging="720"/>
      </w:pPr>
      <w:rPr>
        <w:rFonts w:hint="eastAsia"/>
      </w:rPr>
    </w:lvl>
    <w:lvl w:ilvl="3" w:tentative="0">
      <w:start w:val="1"/>
      <w:numFmt w:val="decimal"/>
      <w:pStyle w:val="6"/>
      <w:lvlText w:val="5.1.1.%4"/>
      <w:lvlJc w:val="left"/>
      <w:pPr>
        <w:ind w:left="864" w:hanging="864"/>
      </w:pPr>
      <w:rPr>
        <w:rFonts w:hint="eastAsia"/>
      </w:rPr>
    </w:lvl>
    <w:lvl w:ilvl="4" w:tentative="0">
      <w:start w:val="1"/>
      <w:numFmt w:val="decimal"/>
      <w:pStyle w:val="7"/>
      <w:lvlText w:val="5.1.1.1.%5"/>
      <w:lvlJc w:val="left"/>
      <w:pPr>
        <w:ind w:left="2142"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1">
    <w:nsid w:val="3EBB3C91"/>
    <w:multiLevelType w:val="multilevel"/>
    <w:tmpl w:val="3EBB3C91"/>
    <w:lvl w:ilvl="0" w:tentative="0">
      <w:start w:val="1"/>
      <w:numFmt w:val="decimal"/>
      <w:pStyle w:val="58"/>
      <w:lvlText w:val="%1. "/>
      <w:lvlJc w:val="left"/>
      <w:pPr>
        <w:ind w:left="420" w:hanging="420"/>
      </w:pPr>
      <w:rPr>
        <w:rFonts w:hint="default" w:ascii="Times New Roman" w:hAnsi="Times New Roman" w:eastAsia="宋体"/>
        <w:b/>
        <w:i w:val="0"/>
      </w:rPr>
    </w:lvl>
    <w:lvl w:ilvl="1" w:tentative="0">
      <w:start w:val="1"/>
      <w:numFmt w:val="decimal"/>
      <w:pStyle w:val="51"/>
      <w:isLgl/>
      <w:suff w:val="space"/>
      <w:lvlText w:val="%1.%2 "/>
      <w:lvlJc w:val="left"/>
      <w:pPr>
        <w:ind w:left="3913" w:hanging="794"/>
      </w:pPr>
      <w:rPr>
        <w:rFonts w:hint="eastAsia"/>
      </w:rPr>
    </w:lvl>
    <w:lvl w:ilvl="2" w:tentative="0">
      <w:start w:val="1"/>
      <w:numFmt w:val="decimal"/>
      <w:pStyle w:val="57"/>
      <w:isLgl/>
      <w:suff w:val="space"/>
      <w:lvlText w:val="%1.%2.%3 "/>
      <w:lvlJc w:val="left"/>
      <w:pPr>
        <w:ind w:left="907" w:hanging="907"/>
      </w:pPr>
      <w:rPr>
        <w:rFonts w:hint="eastAsia"/>
      </w:rPr>
    </w:lvl>
    <w:lvl w:ilvl="3" w:tentative="0">
      <w:start w:val="1"/>
      <w:numFmt w:val="decimal"/>
      <w:pStyle w:val="56"/>
      <w:isLgl/>
      <w:suff w:val="space"/>
      <w:lvlText w:val="%1.%2.%3.%4 "/>
      <w:lvlJc w:val="left"/>
      <w:pPr>
        <w:ind w:left="1021" w:hanging="1021"/>
      </w:pPr>
      <w:rPr>
        <w:rFonts w:hint="eastAsia"/>
      </w:rPr>
    </w:lvl>
    <w:lvl w:ilvl="4" w:tentative="0">
      <w:start w:val="1"/>
      <w:numFmt w:val="decimal"/>
      <w:pStyle w:val="61"/>
      <w:isLgl/>
      <w:suff w:val="space"/>
      <w:lvlText w:val="%1.%2.%3.%4.%5 "/>
      <w:lvlJc w:val="left"/>
      <w:pPr>
        <w:ind w:left="1134" w:hanging="1134"/>
      </w:pPr>
      <w:rPr>
        <w:rFonts w:hint="eastAsia"/>
      </w:rPr>
    </w:lvl>
    <w:lvl w:ilvl="5" w:tentative="0">
      <w:start w:val="1"/>
      <w:numFmt w:val="decimal"/>
      <w:pStyle w:val="55"/>
      <w:isLgl/>
      <w:suff w:val="space"/>
      <w:lvlText w:val="%1.%2.%3.%4.%5.%6 "/>
      <w:lvlJc w:val="left"/>
      <w:pPr>
        <w:ind w:left="1247" w:hanging="1247"/>
      </w:pPr>
      <w:rPr>
        <w:rFonts w:hint="eastAsia"/>
      </w:rPr>
    </w:lvl>
    <w:lvl w:ilvl="6" w:tentative="0">
      <w:start w:val="1"/>
      <w:numFmt w:val="decimal"/>
      <w:lvlRestart w:val="1"/>
      <w:pStyle w:val="50"/>
      <w:isLgl/>
      <w:suff w:val="space"/>
      <w:lvlText w:val="图 %1.%7 "/>
      <w:lvlJc w:val="left"/>
      <w:pPr>
        <w:ind w:left="0" w:firstLine="0"/>
      </w:pPr>
      <w:rPr>
        <w:rFonts w:hint="eastAsia"/>
      </w:rPr>
    </w:lvl>
    <w:lvl w:ilvl="7" w:tentative="0">
      <w:start w:val="1"/>
      <w:numFmt w:val="decimal"/>
      <w:lvlRestart w:val="1"/>
      <w:pStyle w:val="60"/>
      <w:isLgl/>
      <w:suff w:val="space"/>
      <w:lvlText w:val="表 %1.%8 "/>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424A4138"/>
    <w:multiLevelType w:val="multilevel"/>
    <w:tmpl w:val="424A4138"/>
    <w:lvl w:ilvl="0" w:tentative="0">
      <w:start w:val="1"/>
      <w:numFmt w:val="chineseCountingThousand"/>
      <w:lvlText w:val="%1."/>
      <w:lvlJc w:val="left"/>
      <w:pPr>
        <w:ind w:left="432" w:hanging="432"/>
      </w:pPr>
      <w:rPr>
        <w:rFonts w:hint="eastAsia"/>
        <w:color w:val="auto"/>
        <w:sz w:val="32"/>
        <w:szCs w:val="32"/>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xY2Q2MGM5MDcwNTczZThmMmNjZDA4NTZlMDVmNGMifQ=="/>
  </w:docVars>
  <w:rsids>
    <w:rsidRoot w:val="00303343"/>
    <w:rsid w:val="000051D2"/>
    <w:rsid w:val="000079DD"/>
    <w:rsid w:val="00012DCC"/>
    <w:rsid w:val="00016B63"/>
    <w:rsid w:val="00042DAC"/>
    <w:rsid w:val="0004334E"/>
    <w:rsid w:val="00046B39"/>
    <w:rsid w:val="00054706"/>
    <w:rsid w:val="00066DE7"/>
    <w:rsid w:val="00074EDD"/>
    <w:rsid w:val="000757C1"/>
    <w:rsid w:val="00086AE0"/>
    <w:rsid w:val="0009064D"/>
    <w:rsid w:val="00090A18"/>
    <w:rsid w:val="000B41B7"/>
    <w:rsid w:val="000D5317"/>
    <w:rsid w:val="000E276C"/>
    <w:rsid w:val="00106D68"/>
    <w:rsid w:val="001106CE"/>
    <w:rsid w:val="001107F8"/>
    <w:rsid w:val="001116F6"/>
    <w:rsid w:val="001161EB"/>
    <w:rsid w:val="00121E40"/>
    <w:rsid w:val="0012322D"/>
    <w:rsid w:val="00123CDF"/>
    <w:rsid w:val="00123FCC"/>
    <w:rsid w:val="00135BF9"/>
    <w:rsid w:val="001365DD"/>
    <w:rsid w:val="00136606"/>
    <w:rsid w:val="00140E0C"/>
    <w:rsid w:val="0014437A"/>
    <w:rsid w:val="00153AB3"/>
    <w:rsid w:val="00156B1F"/>
    <w:rsid w:val="00162D29"/>
    <w:rsid w:val="00164878"/>
    <w:rsid w:val="00165091"/>
    <w:rsid w:val="00171903"/>
    <w:rsid w:val="0018200C"/>
    <w:rsid w:val="001833B6"/>
    <w:rsid w:val="00190CD2"/>
    <w:rsid w:val="00194BFE"/>
    <w:rsid w:val="001A22A1"/>
    <w:rsid w:val="001B4850"/>
    <w:rsid w:val="001B7966"/>
    <w:rsid w:val="001B7D79"/>
    <w:rsid w:val="001C23B3"/>
    <w:rsid w:val="001C7BC6"/>
    <w:rsid w:val="001D4A68"/>
    <w:rsid w:val="001D7749"/>
    <w:rsid w:val="001E3B38"/>
    <w:rsid w:val="00200054"/>
    <w:rsid w:val="002000DE"/>
    <w:rsid w:val="00202EFF"/>
    <w:rsid w:val="0020509F"/>
    <w:rsid w:val="00207A96"/>
    <w:rsid w:val="00214A6F"/>
    <w:rsid w:val="00221F1F"/>
    <w:rsid w:val="00223E47"/>
    <w:rsid w:val="00241D77"/>
    <w:rsid w:val="002509F5"/>
    <w:rsid w:val="002535AA"/>
    <w:rsid w:val="00261CBC"/>
    <w:rsid w:val="00265DE7"/>
    <w:rsid w:val="00270260"/>
    <w:rsid w:val="002722CA"/>
    <w:rsid w:val="002834D3"/>
    <w:rsid w:val="002853BF"/>
    <w:rsid w:val="00292528"/>
    <w:rsid w:val="002A01D6"/>
    <w:rsid w:val="002A4778"/>
    <w:rsid w:val="002C53D1"/>
    <w:rsid w:val="002D6BE1"/>
    <w:rsid w:val="002F31F1"/>
    <w:rsid w:val="003024F8"/>
    <w:rsid w:val="00303343"/>
    <w:rsid w:val="00303CAB"/>
    <w:rsid w:val="003042A2"/>
    <w:rsid w:val="00304636"/>
    <w:rsid w:val="00311322"/>
    <w:rsid w:val="00314487"/>
    <w:rsid w:val="00314A5A"/>
    <w:rsid w:val="00322973"/>
    <w:rsid w:val="003325F0"/>
    <w:rsid w:val="00341038"/>
    <w:rsid w:val="00352E7C"/>
    <w:rsid w:val="00353276"/>
    <w:rsid w:val="00360458"/>
    <w:rsid w:val="00366980"/>
    <w:rsid w:val="00370A5D"/>
    <w:rsid w:val="003802E2"/>
    <w:rsid w:val="00385E95"/>
    <w:rsid w:val="00385FED"/>
    <w:rsid w:val="00397B7E"/>
    <w:rsid w:val="003A7269"/>
    <w:rsid w:val="003C0FB7"/>
    <w:rsid w:val="003C6D81"/>
    <w:rsid w:val="003D0F80"/>
    <w:rsid w:val="003D2595"/>
    <w:rsid w:val="003E7083"/>
    <w:rsid w:val="003F3286"/>
    <w:rsid w:val="003F629F"/>
    <w:rsid w:val="00403938"/>
    <w:rsid w:val="00413DA3"/>
    <w:rsid w:val="00414171"/>
    <w:rsid w:val="0041787F"/>
    <w:rsid w:val="00423450"/>
    <w:rsid w:val="0042702D"/>
    <w:rsid w:val="00435C81"/>
    <w:rsid w:val="0044060A"/>
    <w:rsid w:val="00440F72"/>
    <w:rsid w:val="004565AA"/>
    <w:rsid w:val="00456A2C"/>
    <w:rsid w:val="004630DC"/>
    <w:rsid w:val="00474AE0"/>
    <w:rsid w:val="0047796F"/>
    <w:rsid w:val="00482931"/>
    <w:rsid w:val="00495574"/>
    <w:rsid w:val="004A44FF"/>
    <w:rsid w:val="004C2C5B"/>
    <w:rsid w:val="004E2D8F"/>
    <w:rsid w:val="004E5E61"/>
    <w:rsid w:val="004F1410"/>
    <w:rsid w:val="00500264"/>
    <w:rsid w:val="00510B1E"/>
    <w:rsid w:val="005120A9"/>
    <w:rsid w:val="00517D7C"/>
    <w:rsid w:val="00520646"/>
    <w:rsid w:val="0052176F"/>
    <w:rsid w:val="0052604B"/>
    <w:rsid w:val="0053088D"/>
    <w:rsid w:val="00534BF6"/>
    <w:rsid w:val="00537CDE"/>
    <w:rsid w:val="005409FC"/>
    <w:rsid w:val="005563D3"/>
    <w:rsid w:val="00575F76"/>
    <w:rsid w:val="005766CE"/>
    <w:rsid w:val="00580F0E"/>
    <w:rsid w:val="00591388"/>
    <w:rsid w:val="0059358B"/>
    <w:rsid w:val="005944F9"/>
    <w:rsid w:val="00596428"/>
    <w:rsid w:val="00596CC5"/>
    <w:rsid w:val="005A4D1C"/>
    <w:rsid w:val="005B046D"/>
    <w:rsid w:val="005B33AE"/>
    <w:rsid w:val="005C49D7"/>
    <w:rsid w:val="005C60FB"/>
    <w:rsid w:val="005C7EF5"/>
    <w:rsid w:val="005D1C7F"/>
    <w:rsid w:val="005D2402"/>
    <w:rsid w:val="005D2BF6"/>
    <w:rsid w:val="005D3A60"/>
    <w:rsid w:val="005E7C53"/>
    <w:rsid w:val="005F0356"/>
    <w:rsid w:val="005F73BC"/>
    <w:rsid w:val="00600923"/>
    <w:rsid w:val="006053FC"/>
    <w:rsid w:val="00612F3F"/>
    <w:rsid w:val="00620E68"/>
    <w:rsid w:val="00623637"/>
    <w:rsid w:val="006279C6"/>
    <w:rsid w:val="00644F1D"/>
    <w:rsid w:val="00646B59"/>
    <w:rsid w:val="006604C2"/>
    <w:rsid w:val="006861F5"/>
    <w:rsid w:val="00697FBB"/>
    <w:rsid w:val="006B2085"/>
    <w:rsid w:val="006B21B8"/>
    <w:rsid w:val="006B7B58"/>
    <w:rsid w:val="006C36EB"/>
    <w:rsid w:val="006D4B15"/>
    <w:rsid w:val="006D59F7"/>
    <w:rsid w:val="006E5E07"/>
    <w:rsid w:val="006F0434"/>
    <w:rsid w:val="00701D12"/>
    <w:rsid w:val="0070239F"/>
    <w:rsid w:val="0072309C"/>
    <w:rsid w:val="0072695B"/>
    <w:rsid w:val="0074224C"/>
    <w:rsid w:val="00750A70"/>
    <w:rsid w:val="00752912"/>
    <w:rsid w:val="007556BE"/>
    <w:rsid w:val="007621CC"/>
    <w:rsid w:val="0076668A"/>
    <w:rsid w:val="00784C08"/>
    <w:rsid w:val="00785EDF"/>
    <w:rsid w:val="00786A29"/>
    <w:rsid w:val="00795F59"/>
    <w:rsid w:val="007C0A5B"/>
    <w:rsid w:val="007D22AB"/>
    <w:rsid w:val="007E71E6"/>
    <w:rsid w:val="007F5726"/>
    <w:rsid w:val="008168FB"/>
    <w:rsid w:val="00822BA6"/>
    <w:rsid w:val="008419E9"/>
    <w:rsid w:val="008548FB"/>
    <w:rsid w:val="008623FD"/>
    <w:rsid w:val="00866774"/>
    <w:rsid w:val="00873B97"/>
    <w:rsid w:val="008A62AC"/>
    <w:rsid w:val="008B2206"/>
    <w:rsid w:val="008C255D"/>
    <w:rsid w:val="008D3291"/>
    <w:rsid w:val="008D59AA"/>
    <w:rsid w:val="008E145D"/>
    <w:rsid w:val="008E2B56"/>
    <w:rsid w:val="008E69C8"/>
    <w:rsid w:val="00900232"/>
    <w:rsid w:val="00900BAA"/>
    <w:rsid w:val="00903734"/>
    <w:rsid w:val="00903878"/>
    <w:rsid w:val="00903CF6"/>
    <w:rsid w:val="009052C7"/>
    <w:rsid w:val="00905FFA"/>
    <w:rsid w:val="0092017A"/>
    <w:rsid w:val="00922032"/>
    <w:rsid w:val="00925C23"/>
    <w:rsid w:val="00927E08"/>
    <w:rsid w:val="009303FA"/>
    <w:rsid w:val="00941F0C"/>
    <w:rsid w:val="00943004"/>
    <w:rsid w:val="00966A88"/>
    <w:rsid w:val="00973A47"/>
    <w:rsid w:val="00981ED8"/>
    <w:rsid w:val="009822C7"/>
    <w:rsid w:val="00982AA3"/>
    <w:rsid w:val="009863EF"/>
    <w:rsid w:val="00986A41"/>
    <w:rsid w:val="0098719A"/>
    <w:rsid w:val="00991FF2"/>
    <w:rsid w:val="0099315B"/>
    <w:rsid w:val="00995DD9"/>
    <w:rsid w:val="009B4476"/>
    <w:rsid w:val="009C1F02"/>
    <w:rsid w:val="009C3783"/>
    <w:rsid w:val="009C4E7E"/>
    <w:rsid w:val="009D6951"/>
    <w:rsid w:val="009D7DD1"/>
    <w:rsid w:val="009E0351"/>
    <w:rsid w:val="009E214B"/>
    <w:rsid w:val="009E53AF"/>
    <w:rsid w:val="009F0270"/>
    <w:rsid w:val="009F61FA"/>
    <w:rsid w:val="00A05796"/>
    <w:rsid w:val="00A13CB0"/>
    <w:rsid w:val="00A14FD8"/>
    <w:rsid w:val="00A22CA1"/>
    <w:rsid w:val="00A4595D"/>
    <w:rsid w:val="00A51146"/>
    <w:rsid w:val="00A61D3A"/>
    <w:rsid w:val="00A66833"/>
    <w:rsid w:val="00A70DCF"/>
    <w:rsid w:val="00A72437"/>
    <w:rsid w:val="00A73FDF"/>
    <w:rsid w:val="00A824B9"/>
    <w:rsid w:val="00A870DD"/>
    <w:rsid w:val="00A96157"/>
    <w:rsid w:val="00A969AF"/>
    <w:rsid w:val="00A9729E"/>
    <w:rsid w:val="00AA1F69"/>
    <w:rsid w:val="00AB348F"/>
    <w:rsid w:val="00AB7D36"/>
    <w:rsid w:val="00AC1390"/>
    <w:rsid w:val="00AC4663"/>
    <w:rsid w:val="00AE1DD2"/>
    <w:rsid w:val="00AE4106"/>
    <w:rsid w:val="00B12138"/>
    <w:rsid w:val="00B17749"/>
    <w:rsid w:val="00B17AE9"/>
    <w:rsid w:val="00B17C05"/>
    <w:rsid w:val="00B20334"/>
    <w:rsid w:val="00B20819"/>
    <w:rsid w:val="00B225B9"/>
    <w:rsid w:val="00B24AB1"/>
    <w:rsid w:val="00B36BD9"/>
    <w:rsid w:val="00B41A4C"/>
    <w:rsid w:val="00B43095"/>
    <w:rsid w:val="00B446CA"/>
    <w:rsid w:val="00B5093C"/>
    <w:rsid w:val="00B54356"/>
    <w:rsid w:val="00B55FE5"/>
    <w:rsid w:val="00B62917"/>
    <w:rsid w:val="00B74609"/>
    <w:rsid w:val="00B752B2"/>
    <w:rsid w:val="00B80E39"/>
    <w:rsid w:val="00B824A5"/>
    <w:rsid w:val="00B8588F"/>
    <w:rsid w:val="00B858F1"/>
    <w:rsid w:val="00B8684C"/>
    <w:rsid w:val="00BA5A2D"/>
    <w:rsid w:val="00BA5B8F"/>
    <w:rsid w:val="00BB2B54"/>
    <w:rsid w:val="00BC3CA1"/>
    <w:rsid w:val="00BC49E5"/>
    <w:rsid w:val="00BC6DB1"/>
    <w:rsid w:val="00BD3194"/>
    <w:rsid w:val="00BD5FA8"/>
    <w:rsid w:val="00BE23E5"/>
    <w:rsid w:val="00BE31E6"/>
    <w:rsid w:val="00BF757E"/>
    <w:rsid w:val="00BF7C0E"/>
    <w:rsid w:val="00BF7F5A"/>
    <w:rsid w:val="00C17719"/>
    <w:rsid w:val="00C20730"/>
    <w:rsid w:val="00C2470A"/>
    <w:rsid w:val="00C335D8"/>
    <w:rsid w:val="00C50E12"/>
    <w:rsid w:val="00C54491"/>
    <w:rsid w:val="00C71B43"/>
    <w:rsid w:val="00C74D8F"/>
    <w:rsid w:val="00C751A9"/>
    <w:rsid w:val="00C766DD"/>
    <w:rsid w:val="00C76BDF"/>
    <w:rsid w:val="00C775CE"/>
    <w:rsid w:val="00C8030E"/>
    <w:rsid w:val="00C91697"/>
    <w:rsid w:val="00C92EAA"/>
    <w:rsid w:val="00CA148F"/>
    <w:rsid w:val="00CA29F9"/>
    <w:rsid w:val="00CB6B73"/>
    <w:rsid w:val="00CC218D"/>
    <w:rsid w:val="00CC6334"/>
    <w:rsid w:val="00CC677A"/>
    <w:rsid w:val="00CD008E"/>
    <w:rsid w:val="00CD49B4"/>
    <w:rsid w:val="00CD6EDC"/>
    <w:rsid w:val="00CE2D1F"/>
    <w:rsid w:val="00CF1561"/>
    <w:rsid w:val="00CF1A40"/>
    <w:rsid w:val="00CF36EF"/>
    <w:rsid w:val="00CF4AE2"/>
    <w:rsid w:val="00D1110F"/>
    <w:rsid w:val="00D15B10"/>
    <w:rsid w:val="00D23E20"/>
    <w:rsid w:val="00D30FA6"/>
    <w:rsid w:val="00D32842"/>
    <w:rsid w:val="00D407EB"/>
    <w:rsid w:val="00D454AB"/>
    <w:rsid w:val="00D536AB"/>
    <w:rsid w:val="00D54E0C"/>
    <w:rsid w:val="00D5537A"/>
    <w:rsid w:val="00D71136"/>
    <w:rsid w:val="00D77F36"/>
    <w:rsid w:val="00D9057D"/>
    <w:rsid w:val="00DA026E"/>
    <w:rsid w:val="00DA576E"/>
    <w:rsid w:val="00DB0A86"/>
    <w:rsid w:val="00DB57B7"/>
    <w:rsid w:val="00DC33CF"/>
    <w:rsid w:val="00DC3415"/>
    <w:rsid w:val="00DD3DE6"/>
    <w:rsid w:val="00DE4534"/>
    <w:rsid w:val="00DF3D3A"/>
    <w:rsid w:val="00DF4228"/>
    <w:rsid w:val="00E06670"/>
    <w:rsid w:val="00E17266"/>
    <w:rsid w:val="00E47752"/>
    <w:rsid w:val="00E53030"/>
    <w:rsid w:val="00E56652"/>
    <w:rsid w:val="00E62C9E"/>
    <w:rsid w:val="00E63369"/>
    <w:rsid w:val="00E63569"/>
    <w:rsid w:val="00E80756"/>
    <w:rsid w:val="00E81F96"/>
    <w:rsid w:val="00E8302B"/>
    <w:rsid w:val="00E83E34"/>
    <w:rsid w:val="00E847A3"/>
    <w:rsid w:val="00E84F8C"/>
    <w:rsid w:val="00E85360"/>
    <w:rsid w:val="00E85641"/>
    <w:rsid w:val="00E85DA4"/>
    <w:rsid w:val="00E86B42"/>
    <w:rsid w:val="00E95892"/>
    <w:rsid w:val="00E97354"/>
    <w:rsid w:val="00EA6408"/>
    <w:rsid w:val="00EC0483"/>
    <w:rsid w:val="00EC33A4"/>
    <w:rsid w:val="00ED0897"/>
    <w:rsid w:val="00ED73FF"/>
    <w:rsid w:val="00ED7F01"/>
    <w:rsid w:val="00EE4612"/>
    <w:rsid w:val="00EE51DE"/>
    <w:rsid w:val="00EE609F"/>
    <w:rsid w:val="00EF5E01"/>
    <w:rsid w:val="00EF6EC0"/>
    <w:rsid w:val="00F02058"/>
    <w:rsid w:val="00F0343C"/>
    <w:rsid w:val="00F04CE5"/>
    <w:rsid w:val="00F13514"/>
    <w:rsid w:val="00F1360F"/>
    <w:rsid w:val="00F16AA8"/>
    <w:rsid w:val="00F21791"/>
    <w:rsid w:val="00F3226A"/>
    <w:rsid w:val="00F33DB0"/>
    <w:rsid w:val="00F45DB8"/>
    <w:rsid w:val="00F54D29"/>
    <w:rsid w:val="00F62BCD"/>
    <w:rsid w:val="00F74B77"/>
    <w:rsid w:val="00F764FE"/>
    <w:rsid w:val="00F80625"/>
    <w:rsid w:val="00F827B6"/>
    <w:rsid w:val="00F92BE5"/>
    <w:rsid w:val="00FA0574"/>
    <w:rsid w:val="00FB68D3"/>
    <w:rsid w:val="00FC4B75"/>
    <w:rsid w:val="00FE7554"/>
    <w:rsid w:val="00FF17FE"/>
    <w:rsid w:val="03470B51"/>
    <w:rsid w:val="059C3548"/>
    <w:rsid w:val="37A928C8"/>
    <w:rsid w:val="42200080"/>
    <w:rsid w:val="488C513A"/>
    <w:rsid w:val="49735E5F"/>
    <w:rsid w:val="4D98301A"/>
    <w:rsid w:val="591E67EE"/>
    <w:rsid w:val="616407DF"/>
    <w:rsid w:val="6DB81974"/>
    <w:rsid w:val="7C855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0"/>
    <w:pPr>
      <w:keepNext/>
      <w:keepLines/>
      <w:numPr>
        <w:ilvl w:val="0"/>
        <w:numId w:val="1"/>
      </w:numPr>
      <w:spacing w:before="340" w:after="330" w:line="578" w:lineRule="auto"/>
      <w:outlineLvl w:val="0"/>
    </w:pPr>
    <w:rPr>
      <w:b/>
      <w:bCs/>
      <w:kern w:val="44"/>
      <w:sz w:val="44"/>
      <w:szCs w:val="44"/>
      <w:lang w:val="zh-CN" w:eastAsia="zh-CN"/>
    </w:rPr>
  </w:style>
  <w:style w:type="paragraph" w:styleId="4">
    <w:name w:val="heading 2"/>
    <w:basedOn w:val="1"/>
    <w:next w:val="1"/>
    <w:link w:val="26"/>
    <w:qFormat/>
    <w:uiPriority w:val="0"/>
    <w:pPr>
      <w:keepNext/>
      <w:keepLines/>
      <w:spacing w:before="260" w:after="260" w:line="416" w:lineRule="auto"/>
      <w:outlineLvl w:val="1"/>
    </w:pPr>
    <w:rPr>
      <w:rFonts w:ascii="等线 Light" w:hAnsi="等线 Light" w:eastAsia="等线 Light"/>
      <w:b/>
      <w:bCs/>
      <w:sz w:val="32"/>
      <w:szCs w:val="32"/>
      <w:lang w:val="zh-CN" w:eastAsia="zh-CN"/>
    </w:rPr>
  </w:style>
  <w:style w:type="paragraph" w:styleId="5">
    <w:name w:val="heading 3"/>
    <w:basedOn w:val="1"/>
    <w:next w:val="1"/>
    <w:link w:val="27"/>
    <w:qFormat/>
    <w:uiPriority w:val="0"/>
    <w:pPr>
      <w:keepNext/>
      <w:keepLines/>
      <w:spacing w:before="260" w:after="260" w:line="416" w:lineRule="auto"/>
      <w:outlineLvl w:val="2"/>
    </w:pPr>
    <w:rPr>
      <w:b/>
      <w:bCs/>
      <w:sz w:val="30"/>
      <w:szCs w:val="30"/>
      <w:lang w:val="zh-CN" w:eastAsia="zh-CN"/>
    </w:rPr>
  </w:style>
  <w:style w:type="paragraph" w:styleId="6">
    <w:name w:val="heading 4"/>
    <w:basedOn w:val="1"/>
    <w:next w:val="1"/>
    <w:link w:val="28"/>
    <w:qFormat/>
    <w:uiPriority w:val="0"/>
    <w:pPr>
      <w:keepNext/>
      <w:keepLines/>
      <w:numPr>
        <w:ilvl w:val="3"/>
        <w:numId w:val="1"/>
      </w:numPr>
      <w:spacing w:before="280" w:after="290" w:line="376" w:lineRule="auto"/>
      <w:outlineLvl w:val="3"/>
    </w:pPr>
    <w:rPr>
      <w:rFonts w:ascii="宋体" w:hAnsi="宋体"/>
      <w:b/>
      <w:bCs/>
      <w:sz w:val="28"/>
      <w:szCs w:val="28"/>
      <w:lang w:val="zh-CN" w:eastAsia="zh-CN"/>
    </w:rPr>
  </w:style>
  <w:style w:type="paragraph" w:styleId="7">
    <w:name w:val="heading 5"/>
    <w:basedOn w:val="1"/>
    <w:next w:val="1"/>
    <w:link w:val="29"/>
    <w:qFormat/>
    <w:uiPriority w:val="0"/>
    <w:pPr>
      <w:keepNext/>
      <w:keepLines/>
      <w:numPr>
        <w:ilvl w:val="4"/>
        <w:numId w:val="1"/>
      </w:numPr>
      <w:spacing w:before="280" w:after="290" w:line="376" w:lineRule="auto"/>
      <w:outlineLvl w:val="4"/>
    </w:pPr>
    <w:rPr>
      <w:b/>
      <w:bCs/>
      <w:sz w:val="28"/>
      <w:szCs w:val="28"/>
      <w:lang w:val="zh-CN" w:eastAsia="zh-CN"/>
    </w:rPr>
  </w:style>
  <w:style w:type="paragraph" w:styleId="8">
    <w:name w:val="heading 6"/>
    <w:basedOn w:val="1"/>
    <w:next w:val="1"/>
    <w:link w:val="30"/>
    <w:qFormat/>
    <w:uiPriority w:val="0"/>
    <w:pPr>
      <w:keepNext/>
      <w:keepLines/>
      <w:numPr>
        <w:ilvl w:val="5"/>
        <w:numId w:val="1"/>
      </w:numPr>
      <w:spacing w:before="240" w:after="64" w:line="320" w:lineRule="auto"/>
      <w:outlineLvl w:val="5"/>
    </w:pPr>
    <w:rPr>
      <w:rFonts w:ascii="等线 Light" w:hAnsi="等线 Light" w:eastAsia="等线 Light"/>
      <w:b/>
      <w:bCs/>
      <w:sz w:val="24"/>
      <w:lang w:val="zh-CN" w:eastAsia="zh-CN"/>
    </w:rPr>
  </w:style>
  <w:style w:type="paragraph" w:styleId="9">
    <w:name w:val="heading 7"/>
    <w:basedOn w:val="1"/>
    <w:next w:val="1"/>
    <w:link w:val="31"/>
    <w:qFormat/>
    <w:uiPriority w:val="0"/>
    <w:pPr>
      <w:keepNext/>
      <w:keepLines/>
      <w:numPr>
        <w:ilvl w:val="6"/>
        <w:numId w:val="1"/>
      </w:numPr>
      <w:spacing w:before="240" w:after="64" w:line="320" w:lineRule="auto"/>
      <w:outlineLvl w:val="6"/>
    </w:pPr>
    <w:rPr>
      <w:b/>
      <w:bCs/>
      <w:sz w:val="24"/>
      <w:lang w:val="zh-CN" w:eastAsia="zh-CN"/>
    </w:rPr>
  </w:style>
  <w:style w:type="paragraph" w:styleId="10">
    <w:name w:val="heading 8"/>
    <w:basedOn w:val="1"/>
    <w:next w:val="1"/>
    <w:link w:val="32"/>
    <w:qFormat/>
    <w:uiPriority w:val="0"/>
    <w:pPr>
      <w:keepNext/>
      <w:keepLines/>
      <w:numPr>
        <w:ilvl w:val="7"/>
        <w:numId w:val="1"/>
      </w:numPr>
      <w:spacing w:before="240" w:after="64" w:line="320" w:lineRule="auto"/>
      <w:outlineLvl w:val="7"/>
    </w:pPr>
    <w:rPr>
      <w:rFonts w:ascii="等线 Light" w:hAnsi="等线 Light" w:eastAsia="等线 Light"/>
      <w:sz w:val="24"/>
      <w:lang w:val="zh-CN" w:eastAsia="zh-CN"/>
    </w:rPr>
  </w:style>
  <w:style w:type="paragraph" w:styleId="11">
    <w:name w:val="heading 9"/>
    <w:basedOn w:val="1"/>
    <w:next w:val="1"/>
    <w:link w:val="33"/>
    <w:qFormat/>
    <w:uiPriority w:val="0"/>
    <w:pPr>
      <w:keepNext/>
      <w:keepLines/>
      <w:numPr>
        <w:ilvl w:val="8"/>
        <w:numId w:val="1"/>
      </w:numPr>
      <w:spacing w:before="240" w:after="64" w:line="320" w:lineRule="auto"/>
      <w:outlineLvl w:val="8"/>
    </w:pPr>
    <w:rPr>
      <w:rFonts w:ascii="等线 Light" w:hAnsi="等线 Light" w:eastAsia="等线 Light"/>
      <w:szCs w:val="21"/>
      <w:lang w:val="zh-CN" w:eastAsia="zh-CN"/>
    </w:rPr>
  </w:style>
  <w:style w:type="character" w:default="1" w:styleId="22">
    <w:name w:val="Default Paragraph Font"/>
    <w:semiHidden/>
    <w:qFormat/>
    <w:uiPriority w:val="0"/>
  </w:style>
  <w:style w:type="table" w:default="1" w:styleId="20">
    <w:name w:val="Normal Table"/>
    <w:semiHidden/>
    <w:uiPriority w:val="0"/>
    <w:tblPr>
      <w:tblCellMar>
        <w:top w:w="0" w:type="dxa"/>
        <w:left w:w="108" w:type="dxa"/>
        <w:bottom w:w="0" w:type="dxa"/>
        <w:right w:w="108" w:type="dxa"/>
      </w:tblCellMar>
    </w:tblPr>
  </w:style>
  <w:style w:type="paragraph" w:styleId="2">
    <w:name w:val="Body Text 2"/>
    <w:basedOn w:val="1"/>
    <w:semiHidden/>
    <w:unhideWhenUsed/>
    <w:qFormat/>
    <w:uiPriority w:val="99"/>
    <w:pPr>
      <w:spacing w:after="120" w:line="480" w:lineRule="auto"/>
    </w:pPr>
  </w:style>
  <w:style w:type="paragraph" w:styleId="12">
    <w:name w:val="Normal Indent"/>
    <w:basedOn w:val="1"/>
    <w:link w:val="34"/>
    <w:qFormat/>
    <w:uiPriority w:val="99"/>
    <w:pPr>
      <w:spacing w:before="120" w:beforeLines="50" w:line="360" w:lineRule="auto"/>
      <w:ind w:firstLine="512" w:firstLineChars="200"/>
    </w:pPr>
    <w:rPr>
      <w:spacing w:val="8"/>
      <w:sz w:val="24"/>
      <w:szCs w:val="20"/>
      <w:lang w:val="en-US" w:eastAsia="zh-CN"/>
    </w:rPr>
  </w:style>
  <w:style w:type="paragraph" w:styleId="13">
    <w:name w:val="annotation text"/>
    <w:basedOn w:val="1"/>
    <w:link w:val="35"/>
    <w:unhideWhenUsed/>
    <w:qFormat/>
    <w:uiPriority w:val="0"/>
    <w:pPr>
      <w:jc w:val="left"/>
    </w:pPr>
    <w:rPr>
      <w:kern w:val="0"/>
      <w:sz w:val="20"/>
      <w:lang w:val="zh-CN" w:eastAsia="zh-CN"/>
    </w:rPr>
  </w:style>
  <w:style w:type="paragraph" w:styleId="14">
    <w:name w:val="Plain Text"/>
    <w:basedOn w:val="1"/>
    <w:link w:val="36"/>
    <w:qFormat/>
    <w:uiPriority w:val="0"/>
    <w:rPr>
      <w:rFonts w:ascii="Calibri" w:hAnsi="Courier New"/>
      <w:szCs w:val="20"/>
      <w:lang w:val="zh-CN" w:eastAsia="zh-CN"/>
    </w:rPr>
  </w:style>
  <w:style w:type="paragraph" w:styleId="15">
    <w:name w:val="Balloon Text"/>
    <w:basedOn w:val="1"/>
    <w:link w:val="37"/>
    <w:qFormat/>
    <w:uiPriority w:val="0"/>
    <w:rPr>
      <w:sz w:val="18"/>
      <w:szCs w:val="18"/>
      <w:lang w:val="zh-CN" w:eastAsia="zh-CN"/>
    </w:rPr>
  </w:style>
  <w:style w:type="paragraph" w:styleId="16">
    <w:name w:val="footer"/>
    <w:basedOn w:val="1"/>
    <w:link w:val="38"/>
    <w:qFormat/>
    <w:uiPriority w:val="0"/>
    <w:pPr>
      <w:tabs>
        <w:tab w:val="center" w:pos="4153"/>
        <w:tab w:val="right" w:pos="8306"/>
      </w:tabs>
      <w:snapToGrid w:val="0"/>
      <w:jc w:val="left"/>
    </w:pPr>
    <w:rPr>
      <w:sz w:val="18"/>
      <w:szCs w:val="18"/>
      <w:lang w:val="zh-CN" w:eastAsia="zh-CN"/>
    </w:rPr>
  </w:style>
  <w:style w:type="paragraph" w:styleId="17">
    <w:name w:val="header"/>
    <w:basedOn w:val="1"/>
    <w:link w:val="39"/>
    <w:qFormat/>
    <w:uiPriority w:val="0"/>
    <w:pPr>
      <w:pBdr>
        <w:bottom w:val="single" w:color="auto" w:sz="6" w:space="1"/>
      </w:pBdr>
      <w:tabs>
        <w:tab w:val="center" w:pos="4153"/>
        <w:tab w:val="right" w:pos="8306"/>
      </w:tabs>
      <w:snapToGrid w:val="0"/>
      <w:jc w:val="center"/>
    </w:pPr>
    <w:rPr>
      <w:sz w:val="18"/>
      <w:szCs w:val="18"/>
      <w:lang w:val="zh-CN" w:eastAsia="zh-CN"/>
    </w:rPr>
  </w:style>
  <w:style w:type="paragraph" w:styleId="18">
    <w:name w:val="Subtitle"/>
    <w:basedOn w:val="1"/>
    <w:next w:val="1"/>
    <w:link w:val="64"/>
    <w:qFormat/>
    <w:uiPriority w:val="0"/>
    <w:pPr>
      <w:spacing w:before="240" w:beforeLines="50" w:after="60" w:line="312" w:lineRule="auto"/>
      <w:ind w:firstLine="200" w:firstLineChars="200"/>
      <w:jc w:val="center"/>
      <w:outlineLvl w:val="1"/>
    </w:pPr>
    <w:rPr>
      <w:rFonts w:ascii="Cambria" w:hAnsi="Cambria"/>
      <w:b/>
      <w:bCs/>
      <w:kern w:val="28"/>
      <w:sz w:val="32"/>
      <w:szCs w:val="32"/>
      <w:lang w:eastAsia="en-US"/>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21">
    <w:name w:val="Table Grid"/>
    <w:basedOn w:val="2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3">
    <w:name w:val="Hyperlink"/>
    <w:qFormat/>
    <w:uiPriority w:val="0"/>
    <w:rPr>
      <w:color w:val="0563C1"/>
      <w:u w:val="single"/>
    </w:rPr>
  </w:style>
  <w:style w:type="character" w:styleId="24">
    <w:name w:val="annotation reference"/>
    <w:unhideWhenUsed/>
    <w:qFormat/>
    <w:uiPriority w:val="99"/>
    <w:rPr>
      <w:sz w:val="21"/>
      <w:szCs w:val="21"/>
    </w:rPr>
  </w:style>
  <w:style w:type="character" w:customStyle="1" w:styleId="25">
    <w:name w:val="标题 1 Char"/>
    <w:link w:val="3"/>
    <w:uiPriority w:val="0"/>
    <w:rPr>
      <w:b/>
      <w:bCs/>
      <w:kern w:val="44"/>
      <w:sz w:val="44"/>
      <w:szCs w:val="44"/>
      <w:lang w:val="zh-CN" w:eastAsia="zh-CN"/>
    </w:rPr>
  </w:style>
  <w:style w:type="character" w:customStyle="1" w:styleId="26">
    <w:name w:val="标题 2 Char"/>
    <w:link w:val="4"/>
    <w:uiPriority w:val="0"/>
    <w:rPr>
      <w:rFonts w:ascii="等线 Light" w:hAnsi="等线 Light" w:eastAsia="等线 Light" w:cs="Times New Roman"/>
      <w:b/>
      <w:bCs/>
      <w:kern w:val="2"/>
      <w:sz w:val="32"/>
      <w:szCs w:val="32"/>
    </w:rPr>
  </w:style>
  <w:style w:type="character" w:customStyle="1" w:styleId="27">
    <w:name w:val="标题 3 Char"/>
    <w:link w:val="5"/>
    <w:uiPriority w:val="0"/>
    <w:rPr>
      <w:b/>
      <w:bCs/>
      <w:kern w:val="2"/>
      <w:sz w:val="30"/>
      <w:szCs w:val="30"/>
    </w:rPr>
  </w:style>
  <w:style w:type="character" w:customStyle="1" w:styleId="28">
    <w:name w:val="标题 4 Char"/>
    <w:link w:val="6"/>
    <w:uiPriority w:val="0"/>
    <w:rPr>
      <w:rFonts w:ascii="宋体" w:hAnsi="宋体"/>
      <w:b/>
      <w:bCs/>
      <w:kern w:val="2"/>
      <w:sz w:val="28"/>
      <w:szCs w:val="28"/>
    </w:rPr>
  </w:style>
  <w:style w:type="character" w:customStyle="1" w:styleId="29">
    <w:name w:val="标题 5 Char"/>
    <w:link w:val="7"/>
    <w:uiPriority w:val="0"/>
    <w:rPr>
      <w:b/>
      <w:bCs/>
      <w:kern w:val="2"/>
      <w:sz w:val="28"/>
      <w:szCs w:val="28"/>
    </w:rPr>
  </w:style>
  <w:style w:type="character" w:customStyle="1" w:styleId="30">
    <w:name w:val="标题 6 Char"/>
    <w:link w:val="8"/>
    <w:semiHidden/>
    <w:qFormat/>
    <w:uiPriority w:val="0"/>
    <w:rPr>
      <w:rFonts w:ascii="等线 Light" w:hAnsi="等线 Light" w:eastAsia="等线 Light"/>
      <w:b/>
      <w:bCs/>
      <w:kern w:val="2"/>
      <w:sz w:val="24"/>
      <w:szCs w:val="24"/>
    </w:rPr>
  </w:style>
  <w:style w:type="character" w:customStyle="1" w:styleId="31">
    <w:name w:val="标题 7 Char"/>
    <w:link w:val="9"/>
    <w:semiHidden/>
    <w:qFormat/>
    <w:uiPriority w:val="0"/>
    <w:rPr>
      <w:b/>
      <w:bCs/>
      <w:kern w:val="2"/>
      <w:sz w:val="24"/>
      <w:szCs w:val="24"/>
    </w:rPr>
  </w:style>
  <w:style w:type="character" w:customStyle="1" w:styleId="32">
    <w:name w:val="标题 8 Char"/>
    <w:link w:val="10"/>
    <w:semiHidden/>
    <w:qFormat/>
    <w:uiPriority w:val="0"/>
    <w:rPr>
      <w:rFonts w:ascii="等线 Light" w:hAnsi="等线 Light" w:eastAsia="等线 Light"/>
      <w:kern w:val="2"/>
      <w:sz w:val="24"/>
      <w:szCs w:val="24"/>
    </w:rPr>
  </w:style>
  <w:style w:type="character" w:customStyle="1" w:styleId="33">
    <w:name w:val="标题 9 Char"/>
    <w:link w:val="11"/>
    <w:semiHidden/>
    <w:qFormat/>
    <w:uiPriority w:val="0"/>
    <w:rPr>
      <w:rFonts w:ascii="等线 Light" w:hAnsi="等线 Light" w:eastAsia="等线 Light"/>
      <w:kern w:val="2"/>
      <w:sz w:val="21"/>
      <w:szCs w:val="21"/>
    </w:rPr>
  </w:style>
  <w:style w:type="character" w:customStyle="1" w:styleId="34">
    <w:name w:val="正文缩进 Char"/>
    <w:link w:val="12"/>
    <w:qFormat/>
    <w:uiPriority w:val="99"/>
    <w:rPr>
      <w:spacing w:val="8"/>
      <w:kern w:val="2"/>
      <w:sz w:val="24"/>
      <w:lang w:val="en-US" w:eastAsia="zh-CN"/>
    </w:rPr>
  </w:style>
  <w:style w:type="character" w:customStyle="1" w:styleId="35">
    <w:name w:val="批注文字 Char"/>
    <w:link w:val="13"/>
    <w:qFormat/>
    <w:uiPriority w:val="0"/>
    <w:rPr>
      <w:szCs w:val="24"/>
    </w:rPr>
  </w:style>
  <w:style w:type="character" w:customStyle="1" w:styleId="36">
    <w:name w:val="纯文本 Char"/>
    <w:link w:val="14"/>
    <w:qFormat/>
    <w:uiPriority w:val="0"/>
    <w:rPr>
      <w:rFonts w:ascii="Calibri" w:hAnsi="Courier New"/>
      <w:kern w:val="2"/>
      <w:sz w:val="21"/>
    </w:rPr>
  </w:style>
  <w:style w:type="character" w:customStyle="1" w:styleId="37">
    <w:name w:val="批注框文本 Char"/>
    <w:link w:val="15"/>
    <w:qFormat/>
    <w:uiPriority w:val="0"/>
    <w:rPr>
      <w:kern w:val="2"/>
      <w:sz w:val="18"/>
      <w:szCs w:val="18"/>
    </w:rPr>
  </w:style>
  <w:style w:type="character" w:customStyle="1" w:styleId="38">
    <w:name w:val="页脚 Char"/>
    <w:link w:val="16"/>
    <w:qFormat/>
    <w:uiPriority w:val="0"/>
    <w:rPr>
      <w:kern w:val="2"/>
      <w:sz w:val="18"/>
      <w:szCs w:val="18"/>
    </w:rPr>
  </w:style>
  <w:style w:type="character" w:customStyle="1" w:styleId="39">
    <w:name w:val="页眉 Char"/>
    <w:link w:val="17"/>
    <w:qFormat/>
    <w:uiPriority w:val="0"/>
    <w:rPr>
      <w:kern w:val="2"/>
      <w:sz w:val="18"/>
      <w:szCs w:val="18"/>
    </w:rPr>
  </w:style>
  <w:style w:type="character" w:customStyle="1" w:styleId="40">
    <w:name w:val="已访问的超链接1"/>
    <w:qFormat/>
    <w:uiPriority w:val="0"/>
    <w:rPr>
      <w:color w:val="800080"/>
      <w:u w:val="single"/>
    </w:rPr>
  </w:style>
  <w:style w:type="character" w:customStyle="1" w:styleId="41">
    <w:name w:val="正文（首行缩进2字符） Char"/>
    <w:link w:val="42"/>
    <w:qFormat/>
    <w:uiPriority w:val="0"/>
    <w:rPr>
      <w:kern w:val="2"/>
      <w:sz w:val="24"/>
      <w:szCs w:val="24"/>
    </w:rPr>
  </w:style>
  <w:style w:type="paragraph" w:customStyle="1" w:styleId="42">
    <w:name w:val="正文（首行缩进2字符）"/>
    <w:basedOn w:val="1"/>
    <w:link w:val="41"/>
    <w:qFormat/>
    <w:uiPriority w:val="0"/>
    <w:pPr>
      <w:spacing w:line="360" w:lineRule="auto"/>
      <w:ind w:firstLine="480" w:firstLineChars="200"/>
    </w:pPr>
    <w:rPr>
      <w:sz w:val="24"/>
      <w:lang w:val="zh-CN" w:eastAsia="zh-CN"/>
    </w:rPr>
  </w:style>
  <w:style w:type="character" w:customStyle="1" w:styleId="43">
    <w:name w:val="段落 Char1"/>
    <w:link w:val="44"/>
    <w:qFormat/>
    <w:uiPriority w:val="0"/>
    <w:rPr>
      <w:rFonts w:eastAsia="仿宋_GB2312"/>
      <w:sz w:val="24"/>
      <w:szCs w:val="24"/>
      <w:lang w:val="en-US" w:eastAsia="zh-CN" w:bidi="ar-SA"/>
    </w:rPr>
  </w:style>
  <w:style w:type="paragraph" w:customStyle="1" w:styleId="44">
    <w:name w:val="段落"/>
    <w:link w:val="43"/>
    <w:qFormat/>
    <w:uiPriority w:val="0"/>
    <w:pPr>
      <w:adjustRightInd w:val="0"/>
      <w:snapToGrid w:val="0"/>
      <w:spacing w:before="120" w:after="120" w:line="360" w:lineRule="auto"/>
      <w:ind w:firstLine="480" w:firstLineChars="200"/>
      <w:jc w:val="both"/>
    </w:pPr>
    <w:rPr>
      <w:rFonts w:ascii="Times New Roman" w:hAnsi="Times New Roman" w:eastAsia="仿宋_GB2312" w:cs="Times New Roman"/>
      <w:sz w:val="24"/>
      <w:szCs w:val="24"/>
      <w:lang w:val="en-US" w:eastAsia="zh-CN" w:bidi="ar-SA"/>
    </w:rPr>
  </w:style>
  <w:style w:type="character" w:customStyle="1" w:styleId="45">
    <w:name w:val="正文（安华金和） Char"/>
    <w:link w:val="46"/>
    <w:qFormat/>
    <w:uiPriority w:val="0"/>
    <w:rPr>
      <w:rFonts w:ascii="Arial" w:hAnsi="Arial"/>
      <w:sz w:val="21"/>
      <w:szCs w:val="21"/>
      <w:lang w:val="en-US" w:eastAsia="zh-CN" w:bidi="ar-SA"/>
    </w:rPr>
  </w:style>
  <w:style w:type="paragraph" w:customStyle="1" w:styleId="46">
    <w:name w:val="正文（安华金和）"/>
    <w:link w:val="45"/>
    <w:qFormat/>
    <w:uiPriority w:val="0"/>
    <w:pPr>
      <w:widowControl w:val="0"/>
      <w:spacing w:line="360" w:lineRule="auto"/>
      <w:ind w:firstLine="200"/>
    </w:pPr>
    <w:rPr>
      <w:rFonts w:ascii="Arial" w:hAnsi="Arial" w:eastAsia="宋体" w:cs="Times New Roman"/>
      <w:sz w:val="21"/>
      <w:szCs w:val="21"/>
      <w:lang w:val="en-US" w:eastAsia="zh-CN" w:bidi="ar-SA"/>
    </w:rPr>
  </w:style>
  <w:style w:type="character" w:customStyle="1" w:styleId="47">
    <w:name w:val="页脚 字符"/>
    <w:qFormat/>
    <w:uiPriority w:val="99"/>
  </w:style>
  <w:style w:type="character" w:customStyle="1" w:styleId="48">
    <w:name w:val="列出段落 Char"/>
    <w:link w:val="49"/>
    <w:qFormat/>
    <w:uiPriority w:val="34"/>
    <w:rPr>
      <w:rFonts w:ascii="等线" w:hAnsi="等线" w:eastAsia="等线"/>
      <w:kern w:val="2"/>
      <w:sz w:val="21"/>
      <w:szCs w:val="22"/>
    </w:rPr>
  </w:style>
  <w:style w:type="paragraph" w:styleId="49">
    <w:name w:val="List Paragraph"/>
    <w:basedOn w:val="1"/>
    <w:link w:val="48"/>
    <w:qFormat/>
    <w:uiPriority w:val="34"/>
    <w:pPr>
      <w:ind w:firstLine="420" w:firstLineChars="200"/>
    </w:pPr>
    <w:rPr>
      <w:rFonts w:ascii="等线" w:hAnsi="等线" w:eastAsia="等线"/>
      <w:szCs w:val="22"/>
      <w:lang w:val="zh-CN" w:eastAsia="zh-CN"/>
    </w:rPr>
  </w:style>
  <w:style w:type="paragraph" w:customStyle="1" w:styleId="50">
    <w:name w:val="插图标注（安华金和）"/>
    <w:next w:val="1"/>
    <w:qFormat/>
    <w:uiPriority w:val="0"/>
    <w:pPr>
      <w:numPr>
        <w:ilvl w:val="6"/>
        <w:numId w:val="2"/>
      </w:numPr>
      <w:spacing w:after="156"/>
      <w:jc w:val="center"/>
    </w:pPr>
    <w:rPr>
      <w:rFonts w:ascii="Arial" w:hAnsi="Arial" w:eastAsia="宋体" w:cs="Arial"/>
      <w:sz w:val="21"/>
      <w:szCs w:val="21"/>
      <w:lang w:val="en-US" w:eastAsia="zh-CN" w:bidi="ar-SA"/>
    </w:rPr>
  </w:style>
  <w:style w:type="paragraph" w:customStyle="1" w:styleId="51">
    <w:name w:val="标题 2（DBSec）"/>
    <w:basedOn w:val="4"/>
    <w:next w:val="1"/>
    <w:qFormat/>
    <w:uiPriority w:val="0"/>
    <w:pPr>
      <w:numPr>
        <w:ilvl w:val="1"/>
        <w:numId w:val="2"/>
      </w:numPr>
      <w:spacing w:line="415" w:lineRule="auto"/>
      <w:ind w:left="794" w:leftChars="200"/>
      <w:jc w:val="left"/>
    </w:pPr>
    <w:rPr>
      <w:rFonts w:ascii="Arial" w:hAnsi="Arial" w:eastAsia="黑体"/>
      <w:bCs w:val="0"/>
    </w:rPr>
  </w:style>
  <w:style w:type="paragraph" w:customStyle="1" w:styleId="52">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53">
    <w:name w:val="_Style 27"/>
    <w:basedOn w:val="1"/>
    <w:next w:val="49"/>
    <w:qFormat/>
    <w:uiPriority w:val="34"/>
    <w:pPr>
      <w:widowControl/>
      <w:spacing w:line="240" w:lineRule="atLeast"/>
      <w:ind w:firstLine="420" w:firstLineChars="200"/>
    </w:pPr>
    <w:rPr>
      <w:rFonts w:ascii="Arial" w:hAnsi="Arial"/>
      <w:kern w:val="0"/>
      <w:szCs w:val="21"/>
    </w:rPr>
  </w:style>
  <w:style w:type="paragraph" w:customStyle="1" w:styleId="54">
    <w:name w:val="列出段落2"/>
    <w:basedOn w:val="1"/>
    <w:qFormat/>
    <w:uiPriority w:val="99"/>
    <w:pPr>
      <w:widowControl/>
      <w:spacing w:line="240" w:lineRule="atLeast"/>
      <w:ind w:firstLine="420" w:firstLineChars="200"/>
    </w:pPr>
    <w:rPr>
      <w:rFonts w:ascii="Arial" w:hAnsi="Arial"/>
      <w:kern w:val="0"/>
      <w:szCs w:val="21"/>
    </w:rPr>
  </w:style>
  <w:style w:type="paragraph" w:customStyle="1" w:styleId="55">
    <w:name w:val="标题 6（有编号）（安华金和）"/>
    <w:basedOn w:val="1"/>
    <w:next w:val="1"/>
    <w:qFormat/>
    <w:uiPriority w:val="0"/>
    <w:pPr>
      <w:keepNext/>
      <w:keepLines/>
      <w:numPr>
        <w:ilvl w:val="5"/>
        <w:numId w:val="2"/>
      </w:numPr>
      <w:spacing w:before="240" w:after="64" w:line="319" w:lineRule="auto"/>
      <w:ind w:left="0"/>
      <w:jc w:val="left"/>
      <w:outlineLvl w:val="5"/>
    </w:pPr>
    <w:rPr>
      <w:rFonts w:ascii="Arial" w:hAnsi="Arial" w:eastAsia="黑体"/>
      <w:b/>
      <w:kern w:val="0"/>
    </w:rPr>
  </w:style>
  <w:style w:type="paragraph" w:customStyle="1" w:styleId="56">
    <w:name w:val="标题 4（DBSec）"/>
    <w:basedOn w:val="6"/>
    <w:next w:val="1"/>
    <w:qFormat/>
    <w:uiPriority w:val="0"/>
    <w:pPr>
      <w:widowControl/>
      <w:numPr>
        <w:numId w:val="2"/>
      </w:numPr>
      <w:spacing w:after="156"/>
      <w:ind w:leftChars="200"/>
      <w:jc w:val="left"/>
    </w:pPr>
    <w:rPr>
      <w:rFonts w:ascii="Arial" w:hAnsi="Arial" w:eastAsia="黑体"/>
      <w:bCs w:val="0"/>
      <w:kern w:val="0"/>
    </w:rPr>
  </w:style>
  <w:style w:type="paragraph" w:customStyle="1" w:styleId="57">
    <w:name w:val="标题 3（DBSec）"/>
    <w:basedOn w:val="5"/>
    <w:next w:val="1"/>
    <w:qFormat/>
    <w:uiPriority w:val="0"/>
    <w:pPr>
      <w:numPr>
        <w:ilvl w:val="2"/>
        <w:numId w:val="2"/>
      </w:numPr>
      <w:tabs>
        <w:tab w:val="left" w:pos="960"/>
      </w:tabs>
      <w:spacing w:line="415" w:lineRule="auto"/>
      <w:ind w:leftChars="200"/>
      <w:jc w:val="left"/>
    </w:pPr>
    <w:rPr>
      <w:rFonts w:ascii="Arial" w:hAnsi="Arial" w:eastAsia="黑体"/>
      <w:bCs w:val="0"/>
      <w:kern w:val="0"/>
    </w:rPr>
  </w:style>
  <w:style w:type="paragraph" w:customStyle="1" w:styleId="58">
    <w:name w:val="标题 1（DBSec）"/>
    <w:basedOn w:val="3"/>
    <w:next w:val="1"/>
    <w:qFormat/>
    <w:uiPriority w:val="0"/>
    <w:pPr>
      <w:pageBreakBefore/>
      <w:numPr>
        <w:numId w:val="2"/>
      </w:numPr>
      <w:pBdr>
        <w:bottom w:val="single" w:color="auto" w:sz="48" w:space="1"/>
      </w:pBdr>
      <w:spacing w:before="600" w:line="576" w:lineRule="auto"/>
      <w:ind w:leftChars="200"/>
      <w:jc w:val="left"/>
    </w:pPr>
    <w:rPr>
      <w:rFonts w:ascii="Arial" w:hAnsi="Arial" w:eastAsia="黑体"/>
      <w:lang w:val="en-US" w:eastAsia="zh-CN"/>
    </w:rPr>
  </w:style>
  <w:style w:type="paragraph" w:customStyle="1" w:styleId="59">
    <w:name w:val="彩色列表 - 着色 11"/>
    <w:basedOn w:val="1"/>
    <w:qFormat/>
    <w:uiPriority w:val="34"/>
    <w:pPr>
      <w:spacing w:line="360" w:lineRule="auto"/>
      <w:ind w:firstLine="420" w:firstLineChars="200"/>
    </w:pPr>
    <w:rPr>
      <w:rFonts w:ascii="Arial" w:hAnsi="Arial"/>
      <w:szCs w:val="21"/>
    </w:rPr>
  </w:style>
  <w:style w:type="paragraph" w:customStyle="1" w:styleId="60">
    <w:name w:val="表格标注（安华金和）"/>
    <w:basedOn w:val="50"/>
    <w:next w:val="1"/>
    <w:qFormat/>
    <w:uiPriority w:val="0"/>
    <w:pPr>
      <w:numPr>
        <w:ilvl w:val="7"/>
      </w:numPr>
    </w:pPr>
  </w:style>
  <w:style w:type="paragraph" w:customStyle="1" w:styleId="61">
    <w:name w:val="标题 5（有编号）（安华金和）"/>
    <w:basedOn w:val="1"/>
    <w:next w:val="1"/>
    <w:qFormat/>
    <w:uiPriority w:val="0"/>
    <w:pPr>
      <w:keepNext/>
      <w:keepLines/>
      <w:numPr>
        <w:ilvl w:val="4"/>
        <w:numId w:val="2"/>
      </w:numPr>
      <w:spacing w:before="280" w:after="156" w:line="377" w:lineRule="auto"/>
      <w:ind w:left="0"/>
      <w:jc w:val="left"/>
      <w:outlineLvl w:val="4"/>
    </w:pPr>
    <w:rPr>
      <w:rFonts w:ascii="Arial" w:hAnsi="Arial" w:eastAsia="黑体"/>
      <w:b/>
      <w:kern w:val="0"/>
      <w:sz w:val="24"/>
      <w:szCs w:val="28"/>
    </w:rPr>
  </w:style>
  <w:style w:type="paragraph" w:customStyle="1" w:styleId="62">
    <w:name w:val="List Paragraph11"/>
    <w:basedOn w:val="1"/>
    <w:next w:val="1"/>
    <w:qFormat/>
    <w:uiPriority w:val="34"/>
    <w:pPr>
      <w:spacing w:line="360" w:lineRule="auto"/>
      <w:ind w:firstLine="420" w:firstLineChars="200"/>
    </w:pPr>
    <w:rPr>
      <w:rFonts w:ascii="Verdana" w:hAnsi="Verdana"/>
      <w:color w:val="000000"/>
      <w:sz w:val="20"/>
      <w:szCs w:val="20"/>
    </w:rPr>
  </w:style>
  <w:style w:type="character" w:customStyle="1" w:styleId="63">
    <w:name w:val="批注文字 字符"/>
    <w:qFormat/>
    <w:uiPriority w:val="99"/>
    <w:rPr>
      <w:kern w:val="2"/>
      <w:sz w:val="21"/>
      <w:szCs w:val="24"/>
    </w:rPr>
  </w:style>
  <w:style w:type="character" w:customStyle="1" w:styleId="64">
    <w:name w:val="副标题 字符"/>
    <w:link w:val="18"/>
    <w:uiPriority w:val="0"/>
    <w:rPr>
      <w:rFonts w:ascii="Cambria" w:hAnsi="Cambria"/>
      <w:b/>
      <w:bCs/>
      <w:kern w:val="28"/>
      <w:sz w:val="32"/>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3107</Words>
  <Characters>3167</Characters>
  <Lines>10</Lines>
  <Paragraphs>2</Paragraphs>
  <TotalTime>1</TotalTime>
  <ScaleCrop>false</ScaleCrop>
  <LinksUpToDate>false</LinksUpToDate>
  <CharactersWithSpaces>3168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2022-01-06T02:42:00Z</dcterms:created>
  <dc:creator>陈永辉</dc:creator>
  <cp:lastModifiedBy>晖少</cp:lastModifiedBy>
  <dcterms:modified xsi:type="dcterms:W3CDTF">2023-04-23T10:18:12Z</dcterms:modified>
  <dc:title>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E6BF652D54F944798887341195E59480</vt:lpwstr>
  </property>
</Properties>
</file>