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hint="eastAsia" w:ascii="宋体" w:hAnsi="宋体"/>
          <w:b/>
          <w:sz w:val="44"/>
          <w:szCs w:val="30"/>
        </w:rPr>
      </w:pPr>
      <w:r>
        <w:rPr>
          <w:rFonts w:hint="eastAsia" w:ascii="宋体" w:hAnsi="宋体"/>
          <w:b/>
          <w:sz w:val="44"/>
          <w:szCs w:val="30"/>
          <w:lang w:val="en-US" w:eastAsia="zh-CN"/>
        </w:rPr>
        <w:t>互联网+智慧随访一体化平台</w:t>
      </w:r>
      <w:r>
        <w:rPr>
          <w:rFonts w:hint="eastAsia" w:ascii="宋体" w:hAnsi="宋体"/>
          <w:b/>
          <w:sz w:val="44"/>
          <w:szCs w:val="30"/>
        </w:rPr>
        <w:t>项目需求</w:t>
      </w:r>
    </w:p>
    <w:p>
      <w:pPr>
        <w:pStyle w:val="5"/>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hint="eastAsia" w:ascii="宋体" w:hAnsi="宋体"/>
          <w:sz w:val="24"/>
          <w:szCs w:val="24"/>
        </w:rPr>
      </w:pPr>
      <w:r>
        <w:rPr>
          <w:rFonts w:hint="eastAsia" w:ascii="宋体" w:hAnsi="宋体"/>
          <w:sz w:val="24"/>
          <w:szCs w:val="24"/>
        </w:rPr>
        <w:t>项目名称：</w:t>
      </w:r>
      <w:r>
        <w:rPr>
          <w:rFonts w:hint="eastAsia" w:ascii="宋体" w:hAnsi="宋体"/>
          <w:sz w:val="24"/>
          <w:szCs w:val="24"/>
          <w:lang w:val="en-US" w:eastAsia="zh-CN"/>
        </w:rPr>
        <w:t>互联网+智慧随访一体化平台</w:t>
      </w:r>
    </w:p>
    <w:p>
      <w:pPr>
        <w:spacing w:line="360" w:lineRule="auto"/>
        <w:ind w:left="432"/>
        <w:rPr>
          <w:rFonts w:ascii="宋体" w:hAnsi="宋体"/>
          <w:sz w:val="22"/>
        </w:rPr>
      </w:pPr>
    </w:p>
    <w:p>
      <w:pPr>
        <w:pStyle w:val="5"/>
        <w:numPr>
          <w:ilvl w:val="0"/>
          <w:numId w:val="3"/>
        </w:numPr>
        <w:spacing w:before="0" w:after="0"/>
        <w:rPr>
          <w:rFonts w:hint="eastAsia" w:ascii="宋体" w:hAnsi="宋体"/>
          <w:sz w:val="32"/>
          <w:szCs w:val="32"/>
        </w:rPr>
      </w:pPr>
      <w:r>
        <w:rPr>
          <w:rFonts w:hint="eastAsia" w:ascii="宋体" w:hAnsi="宋体"/>
          <w:sz w:val="32"/>
          <w:szCs w:val="32"/>
          <w:lang w:eastAsia="zh-CN"/>
        </w:rPr>
        <w:t>项目内容</w:t>
      </w:r>
    </w:p>
    <w:p>
      <w:pPr>
        <w:rPr>
          <w:rFonts w:hint="eastAsia"/>
        </w:rPr>
      </w:pPr>
      <w:r>
        <w:rPr>
          <w:rFonts w:hint="eastAsia"/>
        </w:rPr>
        <w:t>项目</w:t>
      </w:r>
      <w:r>
        <w:t>功能</w:t>
      </w:r>
      <w:r>
        <w:rPr>
          <w:rFonts w:hint="eastAsia"/>
        </w:rPr>
        <w:t>如下：</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828"/>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rPr>
                <w:rFonts w:hint="eastAsia"/>
              </w:rPr>
              <w:t>序号</w:t>
            </w:r>
          </w:p>
        </w:tc>
        <w:tc>
          <w:tcPr>
            <w:tcW w:w="3828" w:type="dxa"/>
          </w:tcPr>
          <w:p>
            <w:pPr>
              <w:jc w:val="center"/>
              <w:rPr>
                <w:rFonts w:hint="eastAsia"/>
              </w:rPr>
            </w:pPr>
            <w:r>
              <w:rPr>
                <w:rFonts w:hint="eastAsia"/>
              </w:rPr>
              <w:t>系统名称</w:t>
            </w:r>
          </w:p>
        </w:tc>
        <w:tc>
          <w:tcPr>
            <w:tcW w:w="4536" w:type="dxa"/>
          </w:tcPr>
          <w:p>
            <w:pPr>
              <w:jc w:val="center"/>
            </w:pPr>
            <w:r>
              <w:rPr>
                <w:rFonts w:hint="eastAsia"/>
              </w:rPr>
              <w:t>功能模块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t>1</w:t>
            </w:r>
          </w:p>
        </w:tc>
        <w:tc>
          <w:tcPr>
            <w:tcW w:w="3828" w:type="dxa"/>
          </w:tcPr>
          <w:p>
            <w:pPr>
              <w:pStyle w:val="2"/>
              <w:rPr>
                <w:rFonts w:hint="eastAsia"/>
              </w:rPr>
            </w:pPr>
            <w:r>
              <w:rPr>
                <w:rFonts w:hint="eastAsia" w:ascii="宋体" w:hAnsi="宋体" w:eastAsia="宋体" w:cs="宋体"/>
                <w:sz w:val="24"/>
                <w:szCs w:val="24"/>
                <w:vertAlign w:val="baseline"/>
                <w:lang w:val="en-US" w:eastAsia="zh-CN"/>
              </w:rPr>
              <w:t>医护随访子系统</w:t>
            </w:r>
          </w:p>
        </w:tc>
        <w:tc>
          <w:tcPr>
            <w:tcW w:w="4536" w:type="dxa"/>
          </w:tcPr>
          <w:p>
            <w:r>
              <w:fldChar w:fldCharType="begin"/>
            </w:r>
            <w:r>
              <w:instrText xml:space="preserve"> HYPERLINK \l "_6.1.1、大数据服务器" </w:instrText>
            </w:r>
            <w:r>
              <w:fldChar w:fldCharType="separate"/>
            </w:r>
            <w:r>
              <w:rPr>
                <w:rStyle w:val="25"/>
                <w:rFonts w:hint="eastAsia"/>
              </w:rPr>
              <w:t>配置详见3</w:t>
            </w:r>
            <w:r>
              <w:rPr>
                <w:rStyle w:val="25"/>
              </w:rPr>
              <w:t>.</w:t>
            </w:r>
            <w:r>
              <w:rPr>
                <w:rStyle w:val="25"/>
                <w:rFonts w:hint="eastAsia"/>
              </w:rPr>
              <w:t>1</w:t>
            </w:r>
            <w:r>
              <w:rPr>
                <w:rStyle w:val="25"/>
                <w:rFonts w:hint="eastAsia"/>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675" w:type="dxa"/>
          </w:tcPr>
          <w:p>
            <w:pPr>
              <w:jc w:val="center"/>
            </w:pPr>
          </w:p>
        </w:tc>
        <w:tc>
          <w:tcPr>
            <w:tcW w:w="3828" w:type="dxa"/>
          </w:tcPr>
          <w:p>
            <w:pPr>
              <w:pStyle w:val="2"/>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Hans"/>
              </w:rPr>
              <w:t>智能宣教</w:t>
            </w:r>
            <w:r>
              <w:rPr>
                <w:rFonts w:hint="eastAsia" w:ascii="宋体" w:hAnsi="宋体" w:eastAsia="宋体" w:cs="宋体"/>
                <w:sz w:val="24"/>
                <w:szCs w:val="24"/>
                <w:vertAlign w:val="baseline"/>
                <w:lang w:val="en-US" w:eastAsia="zh-CN"/>
              </w:rPr>
              <w:t>子系统</w:t>
            </w:r>
          </w:p>
        </w:tc>
        <w:tc>
          <w:tcPr>
            <w:tcW w:w="4536" w:type="dxa"/>
          </w:tcPr>
          <w:p>
            <w:pPr>
              <w:rPr>
                <w:rFonts w:hint="eastAsia" w:eastAsia="宋体"/>
                <w:lang w:eastAsia="zh-CN"/>
              </w:rPr>
            </w:pPr>
            <w:r>
              <w:fldChar w:fldCharType="begin"/>
            </w:r>
            <w:r>
              <w:instrText xml:space="preserve"> HYPERLINK \l "_6.1.1、大数据服务器" </w:instrText>
            </w:r>
            <w:r>
              <w:fldChar w:fldCharType="separate"/>
            </w:r>
            <w:r>
              <w:rPr>
                <w:rStyle w:val="25"/>
                <w:rFonts w:hint="eastAsia"/>
              </w:rPr>
              <w:t>配置详见3</w:t>
            </w:r>
            <w:r>
              <w:rPr>
                <w:rStyle w:val="25"/>
              </w:rPr>
              <w:t>.</w:t>
            </w:r>
            <w:r>
              <w:rPr>
                <w:rStyle w:val="25"/>
                <w:rFonts w:hint="eastAsia"/>
                <w:lang w:val="en-US" w:eastAsia="zh-CN"/>
              </w:rPr>
              <w:t>2</w:t>
            </w:r>
            <w:r>
              <w:rPr>
                <w:rStyle w:val="25"/>
                <w:rFonts w:hint="eastAsia"/>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b/>
              </w:rPr>
            </w:pPr>
          </w:p>
        </w:tc>
        <w:tc>
          <w:tcPr>
            <w:tcW w:w="3828" w:type="dxa"/>
          </w:tcPr>
          <w:p>
            <w:pPr>
              <w:pStyle w:val="2"/>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肺癌专病库</w:t>
            </w:r>
          </w:p>
        </w:tc>
        <w:tc>
          <w:tcPr>
            <w:tcW w:w="4536" w:type="dxa"/>
          </w:tcPr>
          <w:p>
            <w:pPr>
              <w:rPr>
                <w:b/>
              </w:rPr>
            </w:pPr>
            <w:r>
              <w:fldChar w:fldCharType="begin"/>
            </w:r>
            <w:r>
              <w:instrText xml:space="preserve"> HYPERLINK \l "_6.1.1、大数据服务器" </w:instrText>
            </w:r>
            <w:r>
              <w:fldChar w:fldCharType="separate"/>
            </w:r>
            <w:r>
              <w:rPr>
                <w:rStyle w:val="25"/>
                <w:rFonts w:hint="eastAsia"/>
              </w:rPr>
              <w:t>配置详见3</w:t>
            </w:r>
            <w:r>
              <w:rPr>
                <w:rStyle w:val="25"/>
              </w:rPr>
              <w:t>.</w:t>
            </w:r>
            <w:r>
              <w:rPr>
                <w:rStyle w:val="25"/>
                <w:rFonts w:hint="eastAsia"/>
                <w:lang w:val="en-US" w:eastAsia="zh-CN"/>
              </w:rPr>
              <w:t>3</w:t>
            </w:r>
            <w:r>
              <w:rPr>
                <w:rStyle w:val="25"/>
                <w:rFonts w:hint="eastAsia"/>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b/>
              </w:rPr>
            </w:pPr>
          </w:p>
        </w:tc>
        <w:tc>
          <w:tcPr>
            <w:tcW w:w="3828" w:type="dxa"/>
          </w:tcPr>
          <w:p>
            <w:pPr>
              <w:pStyle w:val="2"/>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血糖专病库</w:t>
            </w:r>
          </w:p>
        </w:tc>
        <w:tc>
          <w:tcPr>
            <w:tcW w:w="4536" w:type="dxa"/>
          </w:tcPr>
          <w:p>
            <w:pPr>
              <w:rPr>
                <w:b/>
              </w:rPr>
            </w:pPr>
            <w:r>
              <w:fldChar w:fldCharType="begin"/>
            </w:r>
            <w:r>
              <w:instrText xml:space="preserve"> HYPERLINK \l "_6.1.1、大数据服务器" </w:instrText>
            </w:r>
            <w:r>
              <w:fldChar w:fldCharType="separate"/>
            </w:r>
            <w:r>
              <w:rPr>
                <w:rStyle w:val="25"/>
                <w:rFonts w:hint="eastAsia"/>
              </w:rPr>
              <w:t>配置详见3</w:t>
            </w:r>
            <w:r>
              <w:rPr>
                <w:rStyle w:val="25"/>
              </w:rPr>
              <w:t>.</w:t>
            </w:r>
            <w:r>
              <w:rPr>
                <w:rStyle w:val="25"/>
                <w:rFonts w:hint="eastAsia"/>
                <w:lang w:val="en-US" w:eastAsia="zh-CN"/>
              </w:rPr>
              <w:t>4</w:t>
            </w:r>
            <w:r>
              <w:rPr>
                <w:rStyle w:val="25"/>
                <w:rFonts w:hint="eastAsia"/>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b/>
              </w:rPr>
            </w:pPr>
          </w:p>
        </w:tc>
        <w:tc>
          <w:tcPr>
            <w:tcW w:w="3828" w:type="dxa"/>
          </w:tcPr>
          <w:p>
            <w:pPr>
              <w:pStyle w:val="2"/>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眼病专病库</w:t>
            </w:r>
          </w:p>
        </w:tc>
        <w:tc>
          <w:tcPr>
            <w:tcW w:w="4536" w:type="dxa"/>
          </w:tcPr>
          <w:p>
            <w:pPr>
              <w:rPr>
                <w:b/>
              </w:rPr>
            </w:pPr>
            <w:r>
              <w:fldChar w:fldCharType="begin"/>
            </w:r>
            <w:r>
              <w:instrText xml:space="preserve"> HYPERLINK \l "_6.1.1、大数据服务器" </w:instrText>
            </w:r>
            <w:r>
              <w:fldChar w:fldCharType="separate"/>
            </w:r>
            <w:r>
              <w:rPr>
                <w:rStyle w:val="25"/>
                <w:rFonts w:hint="eastAsia"/>
              </w:rPr>
              <w:t>配置详见3</w:t>
            </w:r>
            <w:r>
              <w:rPr>
                <w:rStyle w:val="25"/>
              </w:rPr>
              <w:t>.</w:t>
            </w:r>
            <w:r>
              <w:rPr>
                <w:rStyle w:val="25"/>
                <w:rFonts w:hint="eastAsia"/>
                <w:lang w:val="en-US" w:eastAsia="zh-CN"/>
              </w:rPr>
              <w:t>5</w:t>
            </w:r>
            <w:r>
              <w:rPr>
                <w:rStyle w:val="25"/>
                <w:rFonts w:hint="eastAsia"/>
              </w:rPr>
              <w:fldChar w:fldCharType="end"/>
            </w:r>
          </w:p>
        </w:tc>
      </w:tr>
    </w:tbl>
    <w:p>
      <w:pPr>
        <w:pStyle w:val="51"/>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51"/>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51"/>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51"/>
        <w:keepNext/>
        <w:keepLines/>
        <w:numPr>
          <w:ilvl w:val="1"/>
          <w:numId w:val="1"/>
        </w:numPr>
        <w:spacing w:line="578" w:lineRule="auto"/>
        <w:ind w:firstLineChars="0"/>
        <w:outlineLvl w:val="0"/>
        <w:rPr>
          <w:rFonts w:hint="eastAsia" w:ascii="宋体" w:hAnsi="宋体" w:eastAsia="宋体"/>
          <w:b/>
          <w:bCs/>
          <w:vanish/>
          <w:kern w:val="44"/>
          <w:sz w:val="44"/>
          <w:szCs w:val="44"/>
        </w:rPr>
      </w:pPr>
    </w:p>
    <w:p>
      <w:pPr>
        <w:pStyle w:val="5"/>
        <w:numPr>
          <w:ilvl w:val="0"/>
          <w:numId w:val="0"/>
        </w:numPr>
        <w:spacing w:before="0" w:after="0"/>
        <w:ind w:left="432"/>
        <w:rPr>
          <w:rFonts w:ascii="宋体" w:hAnsi="宋体"/>
          <w:sz w:val="32"/>
          <w:szCs w:val="32"/>
        </w:rPr>
      </w:pPr>
    </w:p>
    <w:p>
      <w:pPr>
        <w:pStyle w:val="5"/>
        <w:numPr>
          <w:ilvl w:val="0"/>
          <w:numId w:val="3"/>
        </w:numPr>
        <w:spacing w:before="0" w:after="0"/>
        <w:rPr>
          <w:rFonts w:ascii="宋体" w:hAnsi="宋体"/>
          <w:sz w:val="32"/>
          <w:szCs w:val="32"/>
        </w:rPr>
      </w:pPr>
      <w:r>
        <w:rPr>
          <w:rFonts w:hint="eastAsia" w:ascii="宋体" w:hAnsi="宋体"/>
          <w:sz w:val="32"/>
          <w:szCs w:val="32"/>
        </w:rPr>
        <w:t>详细</w:t>
      </w:r>
      <w:r>
        <w:rPr>
          <w:rFonts w:hint="eastAsia" w:ascii="宋体" w:hAnsi="宋体"/>
          <w:sz w:val="32"/>
          <w:szCs w:val="32"/>
          <w:lang w:eastAsia="zh-CN"/>
        </w:rPr>
        <w:t>功能描述</w:t>
      </w:r>
    </w:p>
    <w:p>
      <w:pPr>
        <w:pStyle w:val="6"/>
        <w:spacing w:before="0" w:after="0"/>
        <w:rPr>
          <w:rFonts w:ascii="宋体" w:hAnsi="宋体" w:eastAsia="宋体"/>
          <w:sz w:val="24"/>
          <w:szCs w:val="24"/>
          <w:lang w:eastAsia="zh-CN"/>
        </w:rPr>
      </w:pPr>
      <w:bookmarkStart w:id="0" w:name="_6.1.1、大数据服务器"/>
      <w:bookmarkEnd w:id="0"/>
      <w:r>
        <w:rPr>
          <w:rFonts w:ascii="宋体" w:hAnsi="宋体" w:eastAsia="宋体"/>
          <w:sz w:val="24"/>
          <w:szCs w:val="24"/>
        </w:rPr>
        <w:t>3.1</w:t>
      </w:r>
      <w:r>
        <w:rPr>
          <w:rFonts w:hint="eastAsia" w:ascii="宋体" w:hAnsi="宋体" w:eastAsia="宋体" w:cs="宋体"/>
          <w:sz w:val="24"/>
          <w:szCs w:val="24"/>
          <w:vertAlign w:val="baseline"/>
          <w:lang w:val="en-US" w:eastAsia="zh-CN"/>
        </w:rPr>
        <w:t>医护随访子系统</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1205"/>
        <w:gridCol w:w="6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11" w:type="pct"/>
        </w:trPr>
        <w:tc>
          <w:tcPr>
            <w:tcW w:w="685" w:type="pct"/>
            <w:shd w:val="clear" w:color="auto" w:fill="80C588" w:themeFill="background1" w:themeFillShade="BF"/>
          </w:tcPr>
          <w:p>
            <w:pPr>
              <w:rPr>
                <w:rFonts w:hint="eastAsia" w:ascii="宋体" w:hAnsi="宋体" w:eastAsia="宋体" w:cs="宋体"/>
                <w:sz w:val="24"/>
                <w:szCs w:val="24"/>
              </w:rPr>
            </w:pPr>
            <w:bookmarkStart w:id="1" w:name="_6.1.2、容器服务器"/>
            <w:bookmarkEnd w:id="1"/>
            <w:r>
              <w:rPr>
                <w:rFonts w:hint="eastAsia" w:ascii="宋体" w:hAnsi="宋体" w:eastAsia="宋体" w:cs="宋体"/>
                <w:sz w:val="24"/>
                <w:szCs w:val="24"/>
              </w:rPr>
              <w:t>一级功能</w:t>
            </w:r>
          </w:p>
        </w:tc>
        <w:tc>
          <w:tcPr>
            <w:tcW w:w="595" w:type="pct"/>
            <w:shd w:val="clear" w:color="auto" w:fill="80C588" w:themeFill="background1" w:themeFillShade="BF"/>
          </w:tcPr>
          <w:p>
            <w:pPr>
              <w:rPr>
                <w:rFonts w:hint="eastAsia" w:ascii="宋体" w:hAnsi="宋体" w:eastAsia="宋体" w:cs="宋体"/>
                <w:sz w:val="24"/>
                <w:szCs w:val="24"/>
              </w:rPr>
            </w:pPr>
            <w:r>
              <w:rPr>
                <w:rFonts w:hint="eastAsia" w:ascii="宋体" w:hAnsi="宋体" w:eastAsia="宋体" w:cs="宋体"/>
                <w:sz w:val="24"/>
                <w:szCs w:val="24"/>
              </w:rPr>
              <w:t>二级功能</w:t>
            </w:r>
          </w:p>
        </w:tc>
        <w:tc>
          <w:tcPr>
            <w:tcW w:w="3307" w:type="pct"/>
            <w:shd w:val="clear" w:color="auto" w:fill="80C588" w:themeFill="background1" w:themeFillShade="BF"/>
          </w:tcPr>
          <w:p>
            <w:pPr>
              <w:rPr>
                <w:rFonts w:hint="eastAsia" w:ascii="宋体" w:hAnsi="宋体" w:eastAsia="宋体" w:cs="宋体"/>
                <w:sz w:val="24"/>
                <w:szCs w:val="24"/>
              </w:rPr>
            </w:pPr>
            <w:r>
              <w:rPr>
                <w:rFonts w:hint="eastAsia" w:ascii="宋体" w:hAnsi="宋体" w:eastAsia="宋体" w:cs="宋体"/>
                <w:sz w:val="24"/>
                <w:szCs w:val="24"/>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11" w:type="pct"/>
          <w:trHeight w:val="3364" w:hRule="atLeast"/>
        </w:trPr>
        <w:tc>
          <w:tcPr>
            <w:tcW w:w="685" w:type="pct"/>
          </w:tcPr>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患者管理</w:t>
            </w:r>
          </w:p>
          <w:p>
            <w:pPr>
              <w:jc w:val="left"/>
              <w:rPr>
                <w:rFonts w:hint="eastAsia" w:ascii="宋体" w:hAnsi="宋体" w:eastAsia="宋体" w:cs="宋体"/>
                <w:sz w:val="24"/>
                <w:szCs w:val="24"/>
              </w:rPr>
            </w:pPr>
          </w:p>
        </w:tc>
        <w:tc>
          <w:tcPr>
            <w:tcW w:w="595" w:type="pct"/>
          </w:tcPr>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患者管理</w:t>
            </w:r>
          </w:p>
          <w:p>
            <w:pPr>
              <w:jc w:val="left"/>
              <w:rPr>
                <w:rFonts w:hint="eastAsia" w:ascii="宋体" w:hAnsi="宋体" w:eastAsia="宋体" w:cs="宋体"/>
                <w:sz w:val="24"/>
                <w:szCs w:val="24"/>
              </w:rPr>
            </w:pPr>
          </w:p>
        </w:tc>
        <w:tc>
          <w:tcPr>
            <w:tcW w:w="3307" w:type="pct"/>
          </w:tcPr>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Style w:val="67"/>
                <w:rFonts w:hint="eastAsia" w:ascii="宋体" w:hAnsi="宋体" w:eastAsia="宋体" w:cs="宋体"/>
                <w:sz w:val="24"/>
                <w:szCs w:val="24"/>
                <w:lang w:val="en-US" w:eastAsia="zh-CN" w:bidi="ar"/>
              </w:rPr>
            </w:pPr>
            <w:r>
              <w:rPr>
                <w:rStyle w:val="67"/>
                <w:rFonts w:hint="eastAsia" w:ascii="宋体" w:hAnsi="宋体" w:eastAsia="宋体" w:cs="宋体"/>
                <w:sz w:val="24"/>
                <w:szCs w:val="24"/>
                <w:lang w:val="en-US" w:eastAsia="zh-CN" w:bidi="ar"/>
              </w:rPr>
              <w:t>查询患者：</w:t>
            </w:r>
            <w:r>
              <w:rPr>
                <w:rFonts w:hint="eastAsia" w:ascii="宋体" w:hAnsi="宋体" w:eastAsia="宋体" w:cs="宋体"/>
                <w:sz w:val="24"/>
                <w:szCs w:val="24"/>
              </w:rPr>
              <w:t>可基于</w:t>
            </w:r>
            <w:r>
              <w:rPr>
                <w:rFonts w:hint="eastAsia" w:ascii="宋体" w:hAnsi="宋体" w:eastAsia="宋体" w:cs="宋体"/>
                <w:sz w:val="24"/>
                <w:szCs w:val="24"/>
                <w:lang w:eastAsia="zh-CN"/>
              </w:rPr>
              <w:t>患者</w:t>
            </w:r>
            <w:r>
              <w:rPr>
                <w:rFonts w:hint="eastAsia" w:ascii="宋体" w:hAnsi="宋体" w:eastAsia="宋体" w:cs="宋体"/>
                <w:sz w:val="24"/>
                <w:szCs w:val="24"/>
              </w:rPr>
              <w:t>信息（患者姓名、住院号、病床号、出院日期、出院科室、出院病区、出院诊断）等条件进行患者筛选和检索</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Style w:val="67"/>
                <w:rFonts w:hint="eastAsia" w:ascii="宋体" w:hAnsi="宋体" w:eastAsia="宋体" w:cs="宋体"/>
                <w:sz w:val="24"/>
                <w:szCs w:val="24"/>
                <w:lang w:val="en-US" w:eastAsia="zh-CN" w:bidi="ar"/>
              </w:rPr>
            </w:pPr>
            <w:r>
              <w:rPr>
                <w:rStyle w:val="67"/>
                <w:rFonts w:hint="eastAsia" w:ascii="宋体" w:hAnsi="宋体" w:eastAsia="宋体" w:cs="宋体"/>
                <w:sz w:val="24"/>
                <w:szCs w:val="24"/>
                <w:lang w:val="en-US" w:eastAsia="zh-CN" w:bidi="ar"/>
              </w:rPr>
              <w:t>编辑患者标签：可将特定患者关联相应的标签，一个患者可关联多个标签</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Style w:val="67"/>
                <w:rFonts w:hint="eastAsia" w:ascii="宋体" w:hAnsi="宋体" w:eastAsia="宋体" w:cs="宋体"/>
                <w:sz w:val="24"/>
                <w:szCs w:val="24"/>
                <w:lang w:val="en-US" w:eastAsia="zh-CN" w:bidi="ar"/>
              </w:rPr>
            </w:pPr>
            <w:r>
              <w:rPr>
                <w:rStyle w:val="67"/>
                <w:rFonts w:hint="eastAsia" w:ascii="宋体" w:hAnsi="宋体" w:eastAsia="宋体" w:cs="宋体"/>
                <w:sz w:val="24"/>
                <w:szCs w:val="24"/>
                <w:lang w:val="en-US" w:eastAsia="zh-CN" w:bidi="ar"/>
              </w:rPr>
              <w:t>批量加标签：可将多个患者批量关联同一标签</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Style w:val="67"/>
                <w:rFonts w:hint="eastAsia" w:ascii="宋体" w:hAnsi="宋体" w:eastAsia="宋体" w:cs="宋体"/>
                <w:sz w:val="24"/>
                <w:szCs w:val="24"/>
                <w:lang w:val="en-US" w:eastAsia="zh-CN" w:bidi="ar"/>
              </w:rPr>
              <w:t>黑名单管理：添加、移除黑名单患者姓名、身份证号、手机号、患者标识、医院、科室、黑名单原因、限制类型、加入时间、备注</w:t>
            </w:r>
          </w:p>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11" w:type="pct"/>
        </w:trPr>
        <w:tc>
          <w:tcPr>
            <w:tcW w:w="685" w:type="pct"/>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随访管理</w:t>
            </w:r>
          </w:p>
        </w:tc>
        <w:tc>
          <w:tcPr>
            <w:tcW w:w="595" w:type="pct"/>
          </w:tcPr>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新建随访计划</w:t>
            </w:r>
          </w:p>
          <w:p>
            <w:pPr>
              <w:jc w:val="left"/>
              <w:rPr>
                <w:rFonts w:hint="eastAsia" w:ascii="宋体" w:hAnsi="宋体" w:eastAsia="宋体" w:cs="宋体"/>
                <w:sz w:val="24"/>
                <w:szCs w:val="24"/>
              </w:rPr>
            </w:pPr>
          </w:p>
        </w:tc>
        <w:tc>
          <w:tcPr>
            <w:tcW w:w="3307" w:type="pct"/>
          </w:tcPr>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Style w:val="67"/>
                <w:rFonts w:hint="eastAsia" w:ascii="宋体" w:hAnsi="宋体" w:eastAsia="宋体" w:cs="宋体"/>
                <w:sz w:val="24"/>
                <w:szCs w:val="24"/>
                <w:lang w:val="en-US" w:eastAsia="zh-CN" w:bidi="ar"/>
              </w:rPr>
            </w:pPr>
            <w:r>
              <w:rPr>
                <w:rFonts w:hint="eastAsia" w:ascii="宋体" w:hAnsi="宋体" w:eastAsia="宋体" w:cs="宋体"/>
                <w:color w:val="000000"/>
                <w:kern w:val="0"/>
                <w:sz w:val="24"/>
                <w:szCs w:val="24"/>
                <w:lang w:bidi="ar"/>
              </w:rPr>
              <w:t>支持</w:t>
            </w:r>
            <w:r>
              <w:rPr>
                <w:rFonts w:hint="eastAsia" w:ascii="宋体" w:hAnsi="宋体" w:eastAsia="宋体" w:cs="宋体"/>
                <w:color w:val="000000"/>
                <w:kern w:val="0"/>
                <w:sz w:val="24"/>
                <w:szCs w:val="24"/>
                <w:lang w:val="en-US" w:eastAsia="zh-CN" w:bidi="ar"/>
              </w:rPr>
              <w:t>新建全院、科室、</w:t>
            </w:r>
            <w:r>
              <w:rPr>
                <w:rFonts w:hint="eastAsia" w:ascii="宋体" w:hAnsi="宋体" w:eastAsia="宋体" w:cs="宋体"/>
                <w:color w:val="000000"/>
                <w:kern w:val="0"/>
                <w:sz w:val="24"/>
                <w:szCs w:val="24"/>
                <w:lang w:bidi="ar"/>
              </w:rPr>
              <w:t>个人随访计划</w:t>
            </w:r>
            <w:r>
              <w:rPr>
                <w:rFonts w:hint="eastAsia" w:ascii="宋体" w:hAnsi="宋体" w:eastAsia="宋体" w:cs="宋体"/>
                <w:color w:val="000000"/>
                <w:kern w:val="0"/>
                <w:sz w:val="24"/>
                <w:szCs w:val="24"/>
                <w:lang w:eastAsia="zh-CN" w:bidi="ar"/>
              </w:rPr>
              <w:t>，</w:t>
            </w:r>
            <w:r>
              <w:rPr>
                <w:rStyle w:val="67"/>
                <w:rFonts w:hint="eastAsia" w:ascii="宋体" w:hAnsi="宋体" w:eastAsia="宋体" w:cs="宋体"/>
                <w:sz w:val="24"/>
                <w:szCs w:val="24"/>
                <w:lang w:val="en-US" w:eastAsia="zh-CN" w:bidi="ar"/>
              </w:rPr>
              <w:t>支持编辑节点时机，发送指定内容，设定具体发送时间（精确到分）。</w:t>
            </w:r>
          </w:p>
          <w:p>
            <w:pPr>
              <w:jc w:val="left"/>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11" w:type="pct"/>
        </w:trPr>
        <w:tc>
          <w:tcPr>
            <w:tcW w:w="685" w:type="pct"/>
          </w:tcPr>
          <w:p>
            <w:pPr>
              <w:jc w:val="left"/>
              <w:rPr>
                <w:rFonts w:hint="eastAsia" w:ascii="宋体" w:hAnsi="宋体" w:eastAsia="宋体" w:cs="宋体"/>
                <w:sz w:val="24"/>
                <w:szCs w:val="24"/>
                <w:vertAlign w:val="baseline"/>
                <w:lang w:val="en-US" w:eastAsia="zh-CN"/>
              </w:rPr>
            </w:pPr>
          </w:p>
        </w:tc>
        <w:tc>
          <w:tcPr>
            <w:tcW w:w="595" w:type="pct"/>
          </w:tcPr>
          <w:p>
            <w:pPr>
              <w:numPr>
                <w:ilvl w:val="0"/>
                <w:numId w:val="0"/>
              </w:numPr>
              <w:spacing w:line="360" w:lineRule="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查看随访计划</w:t>
            </w:r>
          </w:p>
          <w:p>
            <w:pPr>
              <w:jc w:val="left"/>
              <w:rPr>
                <w:rFonts w:hint="eastAsia" w:ascii="宋体" w:hAnsi="宋体" w:eastAsia="宋体" w:cs="宋体"/>
                <w:sz w:val="24"/>
                <w:szCs w:val="24"/>
              </w:rPr>
            </w:pPr>
          </w:p>
        </w:tc>
        <w:tc>
          <w:tcPr>
            <w:tcW w:w="3307" w:type="pct"/>
          </w:tcPr>
          <w:p>
            <w:pPr>
              <w:spacing w:line="360" w:lineRule="auto"/>
              <w:ind w:firstLine="432" w:firstLineChars="200"/>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支持查看随访计划的执行情况、以及随访计划的时间节点、量表信息以及患者填写的结果。</w:t>
            </w:r>
          </w:p>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11" w:type="pct"/>
        </w:trPr>
        <w:tc>
          <w:tcPr>
            <w:tcW w:w="685" w:type="pct"/>
          </w:tcPr>
          <w:p>
            <w:pPr>
              <w:jc w:val="left"/>
              <w:rPr>
                <w:rFonts w:hint="eastAsia" w:ascii="宋体" w:hAnsi="宋体" w:eastAsia="宋体" w:cs="宋体"/>
                <w:sz w:val="24"/>
                <w:szCs w:val="24"/>
                <w:vertAlign w:val="baseline"/>
                <w:lang w:val="en-US" w:eastAsia="zh-CN"/>
              </w:rPr>
            </w:pPr>
          </w:p>
        </w:tc>
        <w:tc>
          <w:tcPr>
            <w:tcW w:w="595" w:type="pct"/>
          </w:tcPr>
          <w:p>
            <w:pPr>
              <w:numPr>
                <w:ilvl w:val="0"/>
                <w:numId w:val="0"/>
              </w:numPr>
              <w:spacing w:line="360" w:lineRule="auto"/>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随访模板</w:t>
            </w:r>
          </w:p>
          <w:p>
            <w:pPr>
              <w:jc w:val="left"/>
              <w:rPr>
                <w:rFonts w:hint="eastAsia" w:ascii="宋体" w:hAnsi="宋体" w:eastAsia="宋体" w:cs="宋体"/>
                <w:sz w:val="24"/>
                <w:szCs w:val="24"/>
              </w:rPr>
            </w:pPr>
          </w:p>
        </w:tc>
        <w:tc>
          <w:tcPr>
            <w:tcW w:w="3307" w:type="pct"/>
          </w:tcPr>
          <w:p>
            <w:pPr>
              <w:spacing w:line="360" w:lineRule="auto"/>
              <w:ind w:firstLine="432" w:firstLineChars="200"/>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电子eCRF，支持自定义样式，结合提取数值直接填入表格，方便录入，检索，导出，统计。</w:t>
            </w:r>
          </w:p>
          <w:p>
            <w:pPr>
              <w:spacing w:line="360" w:lineRule="auto"/>
              <w:ind w:firstLine="432" w:firstLineChars="200"/>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可选择项目自定义字典，自定义建题，题型支持：单行文本题、多行文本题、单选题、下拉框题、复选框题、日期题、图片题，图片题支持png、jpg、jpeg、gif、bmp等；自定义题目填写题目的基本信息如：标题、提示符、选项，支持设置题目一些特定属性，如：是否必填等；支持对点选或拖拽的题型进行剪切与复制操作，支持将一张CRF分为多个题组展示。用户可在目录处添加、编辑、删除表单；同时支持单列和双列两种展示方式。</w:t>
            </w:r>
          </w:p>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11" w:type="pct"/>
        </w:trPr>
        <w:tc>
          <w:tcPr>
            <w:tcW w:w="685" w:type="pct"/>
          </w:tcPr>
          <w:p>
            <w:pPr>
              <w:jc w:val="left"/>
              <w:rPr>
                <w:rFonts w:hint="eastAsia" w:ascii="宋体" w:hAnsi="宋体" w:eastAsia="宋体" w:cs="宋体"/>
                <w:sz w:val="24"/>
                <w:szCs w:val="24"/>
                <w:vertAlign w:val="baseline"/>
                <w:lang w:val="en-US" w:eastAsia="zh-CN"/>
              </w:rPr>
            </w:pPr>
          </w:p>
        </w:tc>
        <w:tc>
          <w:tcPr>
            <w:tcW w:w="595" w:type="pct"/>
          </w:tcPr>
          <w:p>
            <w:pPr>
              <w:numPr>
                <w:ilvl w:val="0"/>
                <w:numId w:val="0"/>
              </w:numPr>
              <w:spacing w:line="360" w:lineRule="auto"/>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智能随访</w:t>
            </w:r>
          </w:p>
          <w:p>
            <w:pPr>
              <w:jc w:val="left"/>
              <w:rPr>
                <w:rFonts w:hint="eastAsia" w:ascii="宋体" w:hAnsi="宋体" w:eastAsia="宋体" w:cs="宋体"/>
                <w:sz w:val="24"/>
                <w:szCs w:val="24"/>
              </w:rPr>
            </w:pPr>
          </w:p>
        </w:tc>
        <w:tc>
          <w:tcPr>
            <w:tcW w:w="3307" w:type="pct"/>
          </w:tcPr>
          <w:p>
            <w:pPr>
              <w:numPr>
                <w:ilvl w:val="0"/>
                <w:numId w:val="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b/>
                <w:bCs/>
                <w:sz w:val="24"/>
                <w:szCs w:val="24"/>
              </w:rPr>
              <w:t>微信随访：</w:t>
            </w:r>
            <w:r>
              <w:rPr>
                <w:rFonts w:hint="eastAsia" w:ascii="宋体" w:hAnsi="宋体" w:eastAsia="宋体" w:cs="宋体"/>
                <w:sz w:val="24"/>
                <w:szCs w:val="24"/>
              </w:rPr>
              <w:t>支持微信渠道开展随访，推送随访问卷/宣教/提醒到微信公众号，患者可在手机端接收并反馈。</w:t>
            </w:r>
          </w:p>
          <w:p>
            <w:pPr>
              <w:numPr>
                <w:ilvl w:val="0"/>
                <w:numId w:val="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b/>
                <w:bCs/>
                <w:sz w:val="24"/>
                <w:szCs w:val="24"/>
              </w:rPr>
              <w:t>短信随访：</w:t>
            </w:r>
            <w:r>
              <w:rPr>
                <w:rFonts w:hint="eastAsia" w:ascii="宋体" w:hAnsi="宋体" w:eastAsia="宋体" w:cs="宋体"/>
                <w:sz w:val="24"/>
                <w:szCs w:val="24"/>
              </w:rPr>
              <w:t>支持短信渠道开展随访，推送带链接的问卷/宣教/提醒短信到患者手机端，患者在手机端接收并反馈。</w:t>
            </w:r>
          </w:p>
          <w:p>
            <w:pPr>
              <w:numPr>
                <w:ilvl w:val="0"/>
                <w:numId w:val="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b/>
                <w:bCs/>
                <w:sz w:val="24"/>
                <w:szCs w:val="24"/>
              </w:rPr>
              <w:t>电话随访：</w:t>
            </w:r>
            <w:r>
              <w:rPr>
                <w:rFonts w:hint="eastAsia" w:ascii="宋体" w:hAnsi="宋体" w:eastAsia="宋体" w:cs="宋体"/>
                <w:sz w:val="24"/>
                <w:szCs w:val="24"/>
              </w:rPr>
              <w:t>支持通过</w:t>
            </w:r>
            <w:r>
              <w:rPr>
                <w:rFonts w:hint="eastAsia" w:ascii="宋体" w:hAnsi="宋体" w:eastAsia="宋体" w:cs="宋体"/>
                <w:sz w:val="24"/>
                <w:szCs w:val="24"/>
                <w:lang w:val="en-US" w:eastAsia="zh-CN"/>
              </w:rPr>
              <w:t>ai语音助手</w:t>
            </w:r>
            <w:r>
              <w:rPr>
                <w:rFonts w:hint="eastAsia" w:ascii="宋体" w:hAnsi="宋体" w:eastAsia="宋体" w:cs="宋体"/>
                <w:sz w:val="24"/>
                <w:szCs w:val="24"/>
              </w:rPr>
              <w:t>电话随访方式，对患者进行</w:t>
            </w:r>
            <w:r>
              <w:rPr>
                <w:rFonts w:hint="eastAsia" w:ascii="宋体" w:hAnsi="宋体" w:eastAsia="宋体" w:cs="宋体"/>
                <w:sz w:val="24"/>
                <w:szCs w:val="24"/>
                <w:lang w:eastAsia="zh-CN"/>
              </w:rPr>
              <w:t>语音</w:t>
            </w:r>
            <w:r>
              <w:rPr>
                <w:rFonts w:hint="eastAsia" w:ascii="宋体" w:hAnsi="宋体" w:eastAsia="宋体" w:cs="宋体"/>
                <w:sz w:val="24"/>
                <w:szCs w:val="24"/>
              </w:rPr>
              <w:t>随访。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11" w:type="pct"/>
        </w:trPr>
        <w:tc>
          <w:tcPr>
            <w:tcW w:w="685" w:type="pct"/>
          </w:tcPr>
          <w:p>
            <w:pPr>
              <w:jc w:val="left"/>
              <w:rPr>
                <w:rFonts w:hint="eastAsia" w:ascii="宋体" w:hAnsi="宋体" w:eastAsia="宋体" w:cs="宋体"/>
                <w:sz w:val="24"/>
                <w:szCs w:val="24"/>
                <w:vertAlign w:val="baseline"/>
                <w:lang w:val="en-US" w:eastAsia="zh-CN"/>
              </w:rPr>
            </w:pPr>
          </w:p>
        </w:tc>
        <w:tc>
          <w:tcPr>
            <w:tcW w:w="595" w:type="pct"/>
          </w:tcPr>
          <w:p>
            <w:pPr>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统计分析</w:t>
            </w:r>
          </w:p>
        </w:tc>
        <w:tc>
          <w:tcPr>
            <w:tcW w:w="3307" w:type="pct"/>
          </w:tcPr>
          <w:p>
            <w:pPr>
              <w:jc w:val="left"/>
              <w:rPr>
                <w:rFonts w:hint="eastAsia" w:ascii="宋体" w:hAnsi="宋体" w:eastAsia="宋体" w:cs="宋体"/>
                <w:sz w:val="24"/>
                <w:szCs w:val="24"/>
              </w:rPr>
            </w:pPr>
            <w:r>
              <w:rPr>
                <w:rFonts w:hint="eastAsia" w:ascii="宋体" w:hAnsi="宋体" w:eastAsia="宋体" w:cs="宋体"/>
                <w:sz w:val="24"/>
                <w:szCs w:val="24"/>
              </w:rPr>
              <w:t>随访业务统计，包含按科室/病区统计、按问卷统计、按随访人员统计随访量、随访率、失访率；支持结果打印与导出Excel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11" w:type="pct"/>
        </w:trPr>
        <w:tc>
          <w:tcPr>
            <w:tcW w:w="685" w:type="pct"/>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患者端</w:t>
            </w:r>
          </w:p>
        </w:tc>
        <w:tc>
          <w:tcPr>
            <w:tcW w:w="595" w:type="pct"/>
          </w:tcPr>
          <w:p>
            <w:pPr>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患者接收</w:t>
            </w:r>
          </w:p>
        </w:tc>
        <w:tc>
          <w:tcPr>
            <w:tcW w:w="3307" w:type="pct"/>
          </w:tcPr>
          <w:p>
            <w:pPr>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提供患者小程序端，供患者接收，查看、反馈消息，同时与医院互联网医院、微信公众号对接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11" w:type="pct"/>
        </w:trPr>
        <w:tc>
          <w:tcPr>
            <w:tcW w:w="685" w:type="pct"/>
          </w:tcPr>
          <w:p>
            <w:pPr>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性能要求</w:t>
            </w:r>
          </w:p>
        </w:tc>
        <w:tc>
          <w:tcPr>
            <w:tcW w:w="595" w:type="pct"/>
          </w:tcPr>
          <w:p>
            <w:pPr>
              <w:jc w:val="left"/>
              <w:rPr>
                <w:rFonts w:hint="eastAsia" w:ascii="宋体" w:hAnsi="宋体" w:eastAsia="宋体" w:cs="宋体"/>
                <w:sz w:val="24"/>
                <w:szCs w:val="24"/>
                <w:lang w:eastAsia="zh-CN"/>
              </w:rPr>
            </w:pPr>
          </w:p>
        </w:tc>
        <w:tc>
          <w:tcPr>
            <w:tcW w:w="3307" w:type="pct"/>
          </w:tcPr>
          <w:p>
            <w:pPr>
              <w:jc w:val="left"/>
              <w:rPr>
                <w:rFonts w:hint="default" w:ascii="宋体" w:hAnsi="宋体" w:eastAsia="宋体" w:cs="宋体"/>
                <w:sz w:val="24"/>
                <w:szCs w:val="24"/>
                <w:lang w:val="en-US" w:eastAsia="zh-CN"/>
              </w:rPr>
            </w:pPr>
            <w:r>
              <w:rPr>
                <w:rFonts w:hint="eastAsia" w:ascii="宋体" w:hAnsi="宋体" w:eastAsia="宋体" w:cs="宋体"/>
                <w:sz w:val="24"/>
                <w:szCs w:val="24"/>
                <w:lang w:eastAsia="zh-CN"/>
              </w:rPr>
              <w:t>支持全院门诊、住院科室使用，每秒并发数不低于</w:t>
            </w:r>
            <w:r>
              <w:rPr>
                <w:rFonts w:hint="eastAsia" w:ascii="宋体" w:hAnsi="宋体" w:eastAsia="宋体" w:cs="宋体"/>
                <w:sz w:val="24"/>
                <w:szCs w:val="24"/>
                <w:lang w:val="en-US" w:eastAsia="zh-CN"/>
              </w:rPr>
              <w:t>30.</w:t>
            </w:r>
          </w:p>
        </w:tc>
      </w:tr>
    </w:tbl>
    <w:p>
      <w:pPr>
        <w:rPr>
          <w:sz w:val="32"/>
          <w:szCs w:val="32"/>
        </w:rPr>
      </w:pPr>
    </w:p>
    <w:p>
      <w:pPr>
        <w:pStyle w:val="6"/>
        <w:numPr>
          <w:ilvl w:val="1"/>
          <w:numId w:val="0"/>
        </w:numPr>
        <w:ind w:leftChars="0"/>
        <w:rPr>
          <w:rFonts w:hint="eastAsia" w:ascii="宋体" w:hAnsi="宋体" w:eastAsia="宋体" w:cs="宋体"/>
          <w:sz w:val="24"/>
          <w:szCs w:val="24"/>
          <w:lang w:eastAsia="zh-CN"/>
        </w:rPr>
      </w:pPr>
      <w:r>
        <w:rPr>
          <w:rFonts w:ascii="宋体" w:hAnsi="宋体" w:eastAsia="宋体"/>
          <w:sz w:val="24"/>
          <w:szCs w:val="24"/>
        </w:rPr>
        <w:t>3.</w:t>
      </w:r>
      <w:r>
        <w:rPr>
          <w:rFonts w:hint="eastAsia" w:ascii="宋体" w:hAnsi="宋体" w:eastAsia="宋体"/>
          <w:sz w:val="24"/>
          <w:szCs w:val="24"/>
          <w:lang w:val="en-US" w:eastAsia="zh-CN"/>
        </w:rPr>
        <w:t>2</w:t>
      </w:r>
      <w:r>
        <w:rPr>
          <w:rFonts w:hint="eastAsia" w:ascii="宋体" w:hAnsi="宋体" w:eastAsia="宋体" w:cs="宋体"/>
          <w:sz w:val="24"/>
          <w:szCs w:val="24"/>
          <w:vertAlign w:val="baseline"/>
          <w:lang w:val="en-US" w:eastAsia="zh-Hans"/>
        </w:rPr>
        <w:t>智能宣教</w:t>
      </w:r>
      <w:r>
        <w:rPr>
          <w:rFonts w:hint="eastAsia" w:ascii="宋体" w:hAnsi="宋体" w:eastAsia="宋体" w:cs="宋体"/>
          <w:sz w:val="24"/>
          <w:szCs w:val="24"/>
          <w:vertAlign w:val="baseline"/>
          <w:lang w:val="en-US" w:eastAsia="zh-CN"/>
        </w:rPr>
        <w:t>子系统</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6"/>
        <w:gridCol w:w="6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386" w:type="dxa"/>
          </w:tcPr>
          <w:p>
            <w:pPr>
              <w:pStyle w:val="6"/>
              <w:numPr>
                <w:ilvl w:val="1"/>
                <w:numId w:val="0"/>
              </w:numPr>
              <w:ind w:leftChars="0"/>
              <w:rPr>
                <w:rFonts w:hint="eastAsia" w:ascii="宋体" w:hAnsi="宋体" w:eastAsia="宋体" w:cs="宋体"/>
                <w:sz w:val="24"/>
                <w:szCs w:val="24"/>
                <w:lang w:val="en-US"/>
              </w:rPr>
            </w:pPr>
            <w:r>
              <w:rPr>
                <w:rFonts w:hint="eastAsia" w:ascii="宋体" w:hAnsi="宋体" w:eastAsia="宋体" w:cs="宋体"/>
                <w:sz w:val="24"/>
                <w:szCs w:val="24"/>
                <w:lang w:eastAsia="zh-Hans"/>
              </w:rPr>
              <w:t>智</w:t>
            </w:r>
            <w:r>
              <w:rPr>
                <w:rFonts w:hint="eastAsia" w:ascii="宋体" w:hAnsi="宋体" w:eastAsia="宋体" w:cs="宋体"/>
                <w:sz w:val="24"/>
                <w:szCs w:val="24"/>
                <w:lang w:val="en-US" w:eastAsia="zh-Hans"/>
              </w:rPr>
              <w:t>能</w:t>
            </w:r>
            <w:r>
              <w:rPr>
                <w:rFonts w:hint="eastAsia" w:ascii="宋体" w:hAnsi="宋体" w:eastAsia="宋体" w:cs="宋体"/>
                <w:sz w:val="24"/>
                <w:szCs w:val="24"/>
                <w:lang w:eastAsia="zh-Hans"/>
              </w:rPr>
              <w:t>宣教</w:t>
            </w:r>
            <w:r>
              <w:rPr>
                <w:rFonts w:hint="eastAsia" w:ascii="宋体" w:hAnsi="宋体" w:eastAsia="宋体" w:cs="宋体"/>
                <w:sz w:val="24"/>
                <w:szCs w:val="24"/>
                <w:lang w:eastAsia="zh-CN"/>
              </w:rPr>
              <w:t>平台</w:t>
            </w:r>
          </w:p>
          <w:p>
            <w:pPr>
              <w:jc w:val="left"/>
              <w:rPr>
                <w:rFonts w:hint="eastAsia" w:ascii="宋体" w:hAnsi="宋体" w:eastAsia="宋体" w:cs="宋体"/>
                <w:sz w:val="24"/>
                <w:szCs w:val="24"/>
              </w:rPr>
            </w:pPr>
          </w:p>
        </w:tc>
        <w:tc>
          <w:tcPr>
            <w:tcW w:w="6136" w:type="dxa"/>
          </w:tcPr>
          <w:p>
            <w:pPr>
              <w:jc w:val="left"/>
              <w:rPr>
                <w:rFonts w:hint="eastAsia" w:ascii="宋体" w:hAnsi="宋体" w:eastAsia="宋体" w:cs="宋体"/>
                <w:sz w:val="24"/>
                <w:szCs w:val="24"/>
              </w:rPr>
            </w:pPr>
            <w:r>
              <w:rPr>
                <w:rFonts w:hint="eastAsia" w:ascii="宋体" w:hAnsi="宋体" w:eastAsia="宋体" w:cs="宋体"/>
                <w:sz w:val="24"/>
                <w:szCs w:val="24"/>
              </w:rPr>
              <w:t>在住院宣教场景下，通过自动识别患者就医场景，通过微信、短信等途径，针对性的给患者推送疾病、手术、检查、检验、康复等宣教内容。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2386" w:type="dxa"/>
            <w:vAlign w:val="top"/>
          </w:tcPr>
          <w:p>
            <w:pPr>
              <w:jc w:val="left"/>
              <w:rPr>
                <w:rFonts w:hint="eastAsia" w:ascii="宋体" w:hAnsi="宋体" w:eastAsia="宋体" w:cs="宋体"/>
                <w:kern w:val="2"/>
                <w:sz w:val="24"/>
                <w:szCs w:val="24"/>
                <w:lang w:val="en-US" w:eastAsia="zh-CN" w:bidi="ar-SA"/>
              </w:rPr>
            </w:pPr>
            <w:r>
              <w:rPr>
                <w:rFonts w:hint="eastAsia" w:ascii="宋体" w:hAnsi="宋体" w:eastAsia="宋体" w:cs="宋体"/>
                <w:b/>
                <w:bCs/>
                <w:sz w:val="24"/>
                <w:szCs w:val="24"/>
              </w:rPr>
              <w:t>检查自动化宣教</w:t>
            </w:r>
          </w:p>
        </w:tc>
        <w:tc>
          <w:tcPr>
            <w:tcW w:w="6136" w:type="dxa"/>
          </w:tcPr>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根据检查单配置检查相关宣教内容，支持时间维度进行自动化推送并展示 支持按名称搜索快速查找内容 支持开启或关闭已创建的推送规则 可查看该场景下的宣教推送记录，包括患者信息、触发条件、推送结果（已读、未读、推送失败）。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6" w:type="dxa"/>
            <w:vAlign w:val="top"/>
          </w:tcPr>
          <w:p>
            <w:pPr>
              <w:jc w:val="left"/>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住院手术自动化宣教</w:t>
            </w:r>
          </w:p>
        </w:tc>
        <w:tc>
          <w:tcPr>
            <w:tcW w:w="6136" w:type="dxa"/>
          </w:tcPr>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根据患者的手术信息，手术预约信息，自动发送相对应的术前注意事项宣教及术后康复类宣教。</w:t>
            </w:r>
          </w:p>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2386" w:type="dxa"/>
            <w:vAlign w:val="top"/>
          </w:tcPr>
          <w:p>
            <w:pPr>
              <w:jc w:val="left"/>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住院检验自动化宣教</w:t>
            </w:r>
          </w:p>
        </w:tc>
        <w:tc>
          <w:tcPr>
            <w:tcW w:w="6136" w:type="dxa"/>
          </w:tcPr>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根据患者的检验结果信息，检验申请单信息，自动发送相对应的检前注意事项宣教及检后结果注意指导类宣教。</w:t>
            </w:r>
          </w:p>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2386" w:type="dxa"/>
            <w:vAlign w:val="top"/>
          </w:tcPr>
          <w:p>
            <w:pPr>
              <w:jc w:val="left"/>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住院疾病自动化宣教</w:t>
            </w:r>
          </w:p>
        </w:tc>
        <w:tc>
          <w:tcPr>
            <w:tcW w:w="6136" w:type="dxa"/>
          </w:tcPr>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根据患者的诊断信息，自动发送相对应的疾病知识宣教，疾病注意事项，疾病康复指导类宣教。</w:t>
            </w:r>
          </w:p>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4" w:hRule="atLeast"/>
        </w:trPr>
        <w:tc>
          <w:tcPr>
            <w:tcW w:w="2386" w:type="dxa"/>
            <w:vAlign w:val="top"/>
          </w:tcPr>
          <w:p>
            <w:pPr>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宣教路径</w:t>
            </w:r>
          </w:p>
        </w:tc>
        <w:tc>
          <w:tcPr>
            <w:tcW w:w="6136" w:type="dxa"/>
          </w:tcPr>
          <w:p>
            <w:pPr>
              <w:numPr>
                <w:ilvl w:val="0"/>
                <w:numId w:val="5"/>
              </w:num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智能路径</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Style w:val="67"/>
                <w:rFonts w:hint="eastAsia" w:ascii="宋体" w:hAnsi="宋体" w:eastAsia="宋体" w:cs="宋体"/>
                <w:sz w:val="24"/>
                <w:szCs w:val="24"/>
                <w:lang w:val="en-US" w:eastAsia="zh-CN" w:bidi="ar"/>
              </w:rPr>
            </w:pPr>
            <w:r>
              <w:rPr>
                <w:rStyle w:val="67"/>
                <w:rFonts w:hint="eastAsia" w:ascii="宋体" w:hAnsi="宋体" w:eastAsia="宋体" w:cs="宋体"/>
                <w:sz w:val="24"/>
                <w:szCs w:val="24"/>
                <w:lang w:val="en-US" w:eastAsia="zh-CN" w:bidi="ar"/>
              </w:rPr>
              <w:t>路径查询：支持通过医院、科室、路径名称检索路径</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Style w:val="67"/>
                <w:rFonts w:hint="eastAsia" w:ascii="宋体" w:hAnsi="宋体" w:eastAsia="宋体" w:cs="宋体"/>
                <w:sz w:val="24"/>
                <w:szCs w:val="24"/>
                <w:lang w:val="en-US" w:eastAsia="zh-CN" w:bidi="ar"/>
              </w:rPr>
            </w:pPr>
            <w:r>
              <w:rPr>
                <w:rStyle w:val="67"/>
                <w:rFonts w:hint="eastAsia" w:ascii="宋体" w:hAnsi="宋体" w:eastAsia="宋体" w:cs="宋体"/>
                <w:sz w:val="24"/>
                <w:szCs w:val="24"/>
                <w:lang w:val="en-US" w:eastAsia="zh-CN" w:bidi="ar"/>
              </w:rPr>
              <w:t>路径详情：支持查看路径名称、医院、科室、诊断、路径内人数、创建人数、创建时间、修改时间、路径状态（是否启用）</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Style w:val="67"/>
                <w:rFonts w:hint="eastAsia" w:ascii="宋体" w:hAnsi="宋体" w:eastAsia="宋体" w:cs="宋体"/>
                <w:sz w:val="24"/>
                <w:szCs w:val="24"/>
                <w:lang w:val="en-US" w:eastAsia="zh-CN" w:bidi="ar"/>
              </w:rPr>
            </w:pPr>
            <w:r>
              <w:rPr>
                <w:rStyle w:val="67"/>
                <w:rFonts w:hint="eastAsia" w:ascii="宋体" w:hAnsi="宋体" w:eastAsia="宋体" w:cs="宋体"/>
                <w:sz w:val="24"/>
                <w:szCs w:val="24"/>
                <w:lang w:val="en-US" w:eastAsia="zh-CN" w:bidi="ar"/>
              </w:rPr>
              <w:t>查看路径内容：支持点击后查看此路径的具体内容，包括各个节点的发送内容、执行时间、提醒方式。</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Style w:val="67"/>
                <w:rFonts w:hint="eastAsia" w:ascii="宋体" w:hAnsi="宋体" w:eastAsia="宋体" w:cs="宋体"/>
                <w:sz w:val="24"/>
                <w:szCs w:val="24"/>
                <w:lang w:val="en-US" w:eastAsia="zh-CN" w:bidi="ar"/>
              </w:rPr>
            </w:pPr>
            <w:r>
              <w:rPr>
                <w:rStyle w:val="67"/>
                <w:rFonts w:hint="eastAsia" w:ascii="宋体" w:hAnsi="宋体" w:eastAsia="宋体" w:cs="宋体"/>
                <w:sz w:val="24"/>
                <w:szCs w:val="24"/>
                <w:lang w:val="en-US" w:eastAsia="zh-CN" w:bidi="ar"/>
              </w:rPr>
              <w:t>动态路径模板：可以设定路径模板，模板内容包括新增节点、发送标签、执行时间、提醒方式，根据患者标签动态调整。</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Style w:val="67"/>
                <w:rFonts w:hint="eastAsia" w:ascii="宋体" w:hAnsi="宋体" w:eastAsia="宋体" w:cs="宋体"/>
                <w:sz w:val="24"/>
                <w:szCs w:val="24"/>
                <w:lang w:val="en-US" w:eastAsia="zh-CN" w:bidi="ar"/>
              </w:rPr>
            </w:pPr>
            <w:r>
              <w:rPr>
                <w:rStyle w:val="67"/>
                <w:rFonts w:hint="eastAsia" w:ascii="宋体" w:hAnsi="宋体" w:eastAsia="宋体" w:cs="宋体"/>
                <w:sz w:val="24"/>
                <w:szCs w:val="24"/>
                <w:lang w:val="en-US" w:eastAsia="zh-CN" w:bidi="ar"/>
              </w:rPr>
              <w:t>编辑路径：支持编辑节点时机，发送指定内容，设定具体发送时间（精确到分）。</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Style w:val="67"/>
                <w:rFonts w:hint="eastAsia" w:ascii="宋体" w:hAnsi="宋体" w:eastAsia="宋体" w:cs="宋体"/>
                <w:sz w:val="24"/>
                <w:szCs w:val="24"/>
                <w:lang w:val="en-US" w:eastAsia="zh-CN" w:bidi="ar"/>
              </w:rPr>
            </w:pPr>
            <w:r>
              <w:rPr>
                <w:rStyle w:val="67"/>
                <w:rFonts w:hint="eastAsia" w:ascii="宋体" w:hAnsi="宋体" w:eastAsia="宋体" w:cs="宋体"/>
                <w:sz w:val="24"/>
                <w:szCs w:val="24"/>
                <w:lang w:val="en-US" w:eastAsia="zh-CN" w:bidi="ar"/>
              </w:rPr>
              <w:t>新建路径：支持新建路径，可直接导入设定的模板后编辑，或直接新建模板。</w:t>
            </w:r>
          </w:p>
          <w:p>
            <w:pPr>
              <w:numPr>
                <w:ilvl w:val="0"/>
                <w:numId w:val="5"/>
              </w:num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手动干预</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Style w:val="67"/>
                <w:rFonts w:hint="eastAsia" w:ascii="宋体" w:hAnsi="宋体" w:eastAsia="宋体" w:cs="宋体"/>
                <w:sz w:val="24"/>
                <w:szCs w:val="24"/>
                <w:lang w:val="en-US" w:eastAsia="zh-CN" w:bidi="ar"/>
              </w:rPr>
            </w:pPr>
            <w:r>
              <w:rPr>
                <w:rStyle w:val="67"/>
                <w:rFonts w:hint="eastAsia" w:ascii="宋体" w:hAnsi="宋体" w:eastAsia="宋体" w:cs="宋体"/>
                <w:sz w:val="24"/>
                <w:szCs w:val="24"/>
                <w:lang w:val="en-US" w:eastAsia="zh-CN" w:bidi="ar"/>
              </w:rPr>
              <w:t>新建干预：支持新建干预，对指定标签的患者在指定时间里发送指定的问卷、文章或文字，对所有该标签患者进行干预</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Style w:val="67"/>
                <w:rFonts w:hint="eastAsia" w:ascii="宋体" w:hAnsi="宋体" w:eastAsia="宋体" w:cs="宋体"/>
                <w:sz w:val="24"/>
                <w:szCs w:val="24"/>
                <w:lang w:val="en-US" w:eastAsia="zh-CN" w:bidi="ar"/>
              </w:rPr>
            </w:pPr>
            <w:r>
              <w:rPr>
                <w:rStyle w:val="67"/>
                <w:rFonts w:hint="eastAsia" w:ascii="宋体" w:hAnsi="宋体" w:eastAsia="宋体" w:cs="宋体"/>
                <w:sz w:val="24"/>
                <w:szCs w:val="24"/>
                <w:lang w:val="en-US" w:eastAsia="zh-CN" w:bidi="ar"/>
              </w:rPr>
              <w:t>干预查询：支持选择日期、标签名称、干预类型对特定干预进行检索</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Style w:val="67"/>
                <w:rFonts w:hint="eastAsia" w:ascii="宋体" w:hAnsi="宋体" w:eastAsia="宋体" w:cs="宋体"/>
                <w:sz w:val="24"/>
                <w:szCs w:val="24"/>
                <w:lang w:val="en-US" w:eastAsia="zh-CN" w:bidi="ar"/>
              </w:rPr>
            </w:pPr>
            <w:r>
              <w:rPr>
                <w:rStyle w:val="67"/>
                <w:rFonts w:hint="eastAsia" w:ascii="宋体" w:hAnsi="宋体" w:eastAsia="宋体" w:cs="宋体"/>
                <w:sz w:val="24"/>
                <w:szCs w:val="24"/>
                <w:lang w:val="en-US" w:eastAsia="zh-CN" w:bidi="ar"/>
              </w:rPr>
              <w:t>查看干预详情：支持查看某批次干预的标签、类型、内容、人次、提醒方式等信息。</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Style w:val="67"/>
                <w:rFonts w:hint="eastAsia" w:ascii="宋体" w:hAnsi="宋体" w:eastAsia="宋体" w:cs="宋体"/>
                <w:sz w:val="24"/>
                <w:szCs w:val="24"/>
                <w:lang w:val="en-US" w:eastAsia="zh-CN" w:bidi="ar"/>
              </w:rPr>
              <w:t>删除干预：支持删除干预信息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2386" w:type="dxa"/>
            <w:vAlign w:val="top"/>
          </w:tcPr>
          <w:p>
            <w:pPr>
              <w:jc w:val="left"/>
              <w:rPr>
                <w:rFonts w:hint="eastAsia" w:ascii="宋体" w:hAnsi="宋体" w:eastAsia="宋体" w:cs="宋体"/>
                <w:b/>
                <w:bCs/>
                <w:sz w:val="24"/>
                <w:szCs w:val="24"/>
              </w:rPr>
            </w:pPr>
            <w:bookmarkStart w:id="2" w:name="_Toc1848997631"/>
            <w:r>
              <w:rPr>
                <w:rFonts w:hint="eastAsia" w:ascii="宋体" w:hAnsi="宋体" w:eastAsia="宋体" w:cs="宋体"/>
                <w:b/>
                <w:bCs/>
                <w:sz w:val="24"/>
                <w:szCs w:val="24"/>
                <w:lang w:eastAsia="zh-Hans"/>
              </w:rPr>
              <w:t>住院智能宣教统计分析</w:t>
            </w:r>
            <w:bookmarkEnd w:id="2"/>
          </w:p>
        </w:tc>
        <w:tc>
          <w:tcPr>
            <w:tcW w:w="6136" w:type="dxa"/>
          </w:tcPr>
          <w:p>
            <w:pPr>
              <w:numPr>
                <w:ilvl w:val="0"/>
                <w:numId w:val="0"/>
              </w:numPr>
              <w:spacing w:line="360" w:lineRule="auto"/>
              <w:ind w:left="482" w:leftChars="0"/>
              <w:rPr>
                <w:rFonts w:hint="eastAsia" w:ascii="宋体" w:hAnsi="宋体" w:eastAsia="宋体" w:cs="宋体"/>
                <w:b w:val="0"/>
                <w:bCs w:val="0"/>
                <w:sz w:val="24"/>
                <w:szCs w:val="24"/>
              </w:rPr>
            </w:pPr>
            <w:r>
              <w:rPr>
                <w:rFonts w:hint="eastAsia" w:ascii="宋体" w:hAnsi="宋体" w:eastAsia="宋体" w:cs="宋体"/>
                <w:b w:val="0"/>
                <w:bCs w:val="0"/>
                <w:sz w:val="24"/>
                <w:szCs w:val="24"/>
              </w:rPr>
              <w:t>对</w:t>
            </w:r>
            <w:r>
              <w:rPr>
                <w:rFonts w:hint="eastAsia" w:ascii="宋体" w:hAnsi="宋体" w:eastAsia="宋体" w:cs="宋体"/>
                <w:b w:val="0"/>
                <w:bCs w:val="0"/>
                <w:sz w:val="24"/>
                <w:szCs w:val="24"/>
                <w:lang w:val="en-US" w:eastAsia="zh-Hans"/>
              </w:rPr>
              <w:t>宣教</w:t>
            </w:r>
            <w:r>
              <w:rPr>
                <w:rFonts w:hint="eastAsia" w:ascii="宋体" w:hAnsi="宋体" w:eastAsia="宋体" w:cs="宋体"/>
                <w:b w:val="0"/>
                <w:bCs w:val="0"/>
                <w:sz w:val="24"/>
                <w:szCs w:val="24"/>
              </w:rPr>
              <w:t>过程中课程推送量、阅读量、推送人数、阅读人数、阅读率、提问量以及医院的课程数、在院患者数、新增患者数等等关键数据进行统计，提供查询；支持按时间检索查询；支持excel导出</w:t>
            </w:r>
            <w:r>
              <w:rPr>
                <w:rFonts w:hint="eastAsia" w:ascii="宋体" w:hAnsi="宋体" w:eastAsia="宋体" w:cs="宋体"/>
                <w:b w:val="0"/>
                <w:bCs w:val="0"/>
                <w:sz w:val="24"/>
                <w:szCs w:val="24"/>
                <w:lang w:eastAsia="zh-Hans"/>
              </w:rPr>
              <w:t>。</w:t>
            </w:r>
          </w:p>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386" w:type="dxa"/>
            <w:vAlign w:val="top"/>
          </w:tcPr>
          <w:p>
            <w:pPr>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知识库</w:t>
            </w:r>
          </w:p>
        </w:tc>
        <w:tc>
          <w:tcPr>
            <w:tcW w:w="6136" w:type="dxa"/>
          </w:tcPr>
          <w:p>
            <w:pPr>
              <w:numPr>
                <w:ilvl w:val="0"/>
                <w:numId w:val="6"/>
              </w:num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素材管理</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Style w:val="67"/>
                <w:rFonts w:hint="eastAsia" w:ascii="宋体" w:hAnsi="宋体" w:eastAsia="宋体" w:cs="宋体"/>
                <w:sz w:val="24"/>
                <w:szCs w:val="24"/>
                <w:lang w:val="en-US" w:eastAsia="zh-CN" w:bidi="ar"/>
              </w:rPr>
            </w:pPr>
            <w:r>
              <w:rPr>
                <w:rStyle w:val="67"/>
                <w:rFonts w:hint="eastAsia" w:ascii="宋体" w:hAnsi="宋体" w:eastAsia="宋体" w:cs="宋体"/>
                <w:sz w:val="24"/>
                <w:szCs w:val="24"/>
                <w:lang w:val="en-US" w:eastAsia="zh-CN" w:bidi="ar"/>
              </w:rPr>
              <w:t>素材查询：支持按照素材名称、创建人、创建日期检索素材</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Style w:val="67"/>
                <w:rFonts w:hint="eastAsia" w:ascii="宋体" w:hAnsi="宋体" w:eastAsia="宋体" w:cs="宋体"/>
                <w:sz w:val="24"/>
                <w:szCs w:val="24"/>
                <w:lang w:val="en-US" w:eastAsia="zh-CN" w:bidi="ar"/>
              </w:rPr>
            </w:pPr>
            <w:r>
              <w:rPr>
                <w:rStyle w:val="67"/>
                <w:rFonts w:hint="eastAsia" w:ascii="宋体" w:hAnsi="宋体" w:eastAsia="宋体" w:cs="宋体"/>
                <w:sz w:val="24"/>
                <w:szCs w:val="24"/>
                <w:lang w:val="en-US" w:eastAsia="zh-CN" w:bidi="ar"/>
              </w:rPr>
              <w:t>新建素材：支持上传视频或图片素材，可编辑素材名称</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Style w:val="67"/>
                <w:rFonts w:hint="eastAsia" w:ascii="宋体" w:hAnsi="宋体" w:eastAsia="宋体" w:cs="宋体"/>
                <w:sz w:val="24"/>
                <w:szCs w:val="24"/>
                <w:lang w:val="en-US" w:eastAsia="zh-CN" w:bidi="ar"/>
              </w:rPr>
            </w:pPr>
            <w:r>
              <w:rPr>
                <w:rStyle w:val="67"/>
                <w:rFonts w:hint="eastAsia" w:ascii="宋体" w:hAnsi="宋体" w:eastAsia="宋体" w:cs="宋体"/>
                <w:sz w:val="24"/>
                <w:szCs w:val="24"/>
                <w:lang w:val="en-US" w:eastAsia="zh-CN" w:bidi="ar"/>
              </w:rPr>
              <w:t>素材预览：点击后可预览素材（图片或视频），便于检查素材内容</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Style w:val="67"/>
                <w:rFonts w:hint="eastAsia" w:ascii="宋体" w:hAnsi="宋体" w:eastAsia="宋体" w:cs="宋体"/>
                <w:sz w:val="24"/>
                <w:szCs w:val="24"/>
                <w:lang w:val="en-US" w:eastAsia="zh-CN" w:bidi="ar"/>
              </w:rPr>
            </w:pPr>
            <w:r>
              <w:rPr>
                <w:rStyle w:val="67"/>
                <w:rFonts w:hint="eastAsia" w:ascii="宋体" w:hAnsi="宋体" w:eastAsia="宋体" w:cs="宋体"/>
                <w:sz w:val="24"/>
                <w:szCs w:val="24"/>
                <w:lang w:val="en-US" w:eastAsia="zh-CN" w:bidi="ar"/>
              </w:rPr>
              <w:t>复制素材链接：支持一键复制素材链接，便于分享预览</w:t>
            </w:r>
          </w:p>
          <w:p>
            <w:pPr>
              <w:numPr>
                <w:ilvl w:val="0"/>
                <w:numId w:val="6"/>
              </w:num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新建文章</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Style w:val="67"/>
                <w:rFonts w:hint="eastAsia" w:ascii="宋体" w:hAnsi="宋体" w:eastAsia="宋体" w:cs="宋体"/>
                <w:sz w:val="24"/>
                <w:szCs w:val="24"/>
                <w:lang w:val="en-US" w:eastAsia="zh-CN" w:bidi="ar"/>
              </w:rPr>
            </w:pPr>
            <w:r>
              <w:rPr>
                <w:rStyle w:val="67"/>
                <w:rFonts w:hint="eastAsia" w:ascii="宋体" w:hAnsi="宋体" w:eastAsia="宋体" w:cs="宋体"/>
                <w:sz w:val="24"/>
                <w:szCs w:val="24"/>
                <w:lang w:val="en-US" w:eastAsia="zh-CN" w:bidi="ar"/>
              </w:rPr>
              <w:t>新建图文内容：新建图文内容，可编辑文章主题选择分类标签，出院指导，院内须知，健康知识，运动营养，选择文章类型，文章路径可选择，包括必选路径、科普文章可选择图文类型，包括图文，视频可选择已上传的素材作为封面图片</w:t>
            </w:r>
          </w:p>
          <w:p>
            <w:pPr>
              <w:numPr>
                <w:ilvl w:val="0"/>
                <w:numId w:val="6"/>
              </w:num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文章列表</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Style w:val="67"/>
                <w:rFonts w:hint="eastAsia" w:ascii="宋体" w:hAnsi="宋体" w:eastAsia="宋体" w:cs="宋体"/>
                <w:sz w:val="24"/>
                <w:szCs w:val="24"/>
                <w:lang w:val="en-US" w:eastAsia="zh-CN" w:bidi="ar"/>
              </w:rPr>
            </w:pPr>
            <w:r>
              <w:rPr>
                <w:rStyle w:val="67"/>
                <w:rFonts w:hint="eastAsia" w:ascii="宋体" w:hAnsi="宋体" w:eastAsia="宋体" w:cs="宋体"/>
                <w:sz w:val="24"/>
                <w:szCs w:val="24"/>
                <w:lang w:val="en-US" w:eastAsia="zh-CN" w:bidi="ar"/>
              </w:rPr>
              <w:t>文章查询：支持通过文章类型、便签分类、发布状态，创建时间及文章名称查询文章详情</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Style w:val="67"/>
                <w:rFonts w:hint="eastAsia" w:ascii="宋体" w:hAnsi="宋体" w:eastAsia="宋体" w:cs="宋体"/>
                <w:sz w:val="24"/>
                <w:szCs w:val="24"/>
                <w:lang w:val="en-US" w:eastAsia="zh-CN" w:bidi="ar"/>
              </w:rPr>
            </w:pPr>
            <w:r>
              <w:rPr>
                <w:rStyle w:val="67"/>
                <w:rFonts w:hint="eastAsia" w:ascii="宋体" w:hAnsi="宋体" w:eastAsia="宋体" w:cs="宋体"/>
                <w:sz w:val="24"/>
                <w:szCs w:val="24"/>
                <w:lang w:val="en-US" w:eastAsia="zh-CN" w:bidi="ar"/>
              </w:rPr>
              <w:t>文章详情：文章详情可展示文章名称、文章类型、图文类型、文章标签、发送人群、备注、创建时间、发布状态、发布时间、发布人信息。</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Style w:val="67"/>
                <w:rFonts w:hint="eastAsia" w:ascii="宋体" w:hAnsi="宋体" w:eastAsia="宋体" w:cs="宋体"/>
                <w:sz w:val="24"/>
                <w:szCs w:val="24"/>
                <w:lang w:val="en-US" w:eastAsia="zh-CN" w:bidi="ar"/>
              </w:rPr>
            </w:pPr>
            <w:r>
              <w:rPr>
                <w:rStyle w:val="67"/>
                <w:rFonts w:hint="eastAsia" w:ascii="宋体" w:hAnsi="宋体" w:eastAsia="宋体" w:cs="宋体"/>
                <w:sz w:val="24"/>
                <w:szCs w:val="24"/>
                <w:lang w:val="en-US" w:eastAsia="zh-CN" w:bidi="ar"/>
              </w:rPr>
              <w:t>文章预览：支持预览文章内容</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Style w:val="67"/>
                <w:rFonts w:hint="eastAsia" w:ascii="宋体" w:hAnsi="宋体" w:eastAsia="宋体" w:cs="宋体"/>
                <w:sz w:val="24"/>
                <w:szCs w:val="24"/>
                <w:lang w:val="en-US" w:eastAsia="zh-CN" w:bidi="ar"/>
              </w:rPr>
            </w:pPr>
            <w:r>
              <w:rPr>
                <w:rStyle w:val="67"/>
                <w:rFonts w:hint="eastAsia" w:ascii="宋体" w:hAnsi="宋体" w:eastAsia="宋体" w:cs="宋体"/>
                <w:sz w:val="24"/>
                <w:szCs w:val="24"/>
                <w:lang w:val="en-US" w:eastAsia="zh-CN" w:bidi="ar"/>
              </w:rPr>
              <w:t>编辑文章（图文修改）：支持编辑文章主题、分类标签、科室、文章类型、图文类型、封面图片、备注、宣教内容</w:t>
            </w:r>
          </w:p>
          <w:p>
            <w:pPr>
              <w:numPr>
                <w:ilvl w:val="0"/>
                <w:numId w:val="6"/>
              </w:num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问卷管理</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Style w:val="67"/>
                <w:rFonts w:hint="eastAsia" w:ascii="宋体" w:hAnsi="宋体" w:eastAsia="宋体" w:cs="宋体"/>
                <w:sz w:val="24"/>
                <w:szCs w:val="24"/>
                <w:lang w:val="en-US" w:eastAsia="zh-CN" w:bidi="ar"/>
              </w:rPr>
            </w:pPr>
            <w:r>
              <w:rPr>
                <w:rStyle w:val="67"/>
                <w:rFonts w:hint="eastAsia" w:ascii="宋体" w:hAnsi="宋体" w:eastAsia="宋体" w:cs="宋体"/>
                <w:sz w:val="24"/>
                <w:szCs w:val="24"/>
                <w:lang w:val="en-US" w:eastAsia="zh-CN" w:bidi="ar"/>
              </w:rPr>
              <w:t>问卷查询：支持检索医院和科室来查询并展示问卷</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Style w:val="67"/>
                <w:rFonts w:hint="eastAsia" w:ascii="宋体" w:hAnsi="宋体" w:eastAsia="宋体" w:cs="宋体"/>
                <w:sz w:val="24"/>
                <w:szCs w:val="24"/>
                <w:lang w:val="en-US" w:eastAsia="zh-CN" w:bidi="ar"/>
              </w:rPr>
            </w:pPr>
            <w:r>
              <w:rPr>
                <w:rStyle w:val="67"/>
                <w:rFonts w:hint="eastAsia" w:ascii="宋体" w:hAnsi="宋体" w:eastAsia="宋体" w:cs="宋体"/>
                <w:sz w:val="24"/>
                <w:szCs w:val="24"/>
                <w:lang w:val="en-US" w:eastAsia="zh-CN" w:bidi="ar"/>
              </w:rPr>
              <w:t>问卷查看：可查看每份问卷的患者信息、手机号、医生、填写节点、发送时间、填写详细等信息</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Style w:val="67"/>
                <w:rFonts w:hint="eastAsia" w:ascii="宋体" w:hAnsi="宋体" w:eastAsia="宋体" w:cs="宋体"/>
                <w:sz w:val="24"/>
                <w:szCs w:val="24"/>
                <w:lang w:val="en-US" w:eastAsia="zh-CN" w:bidi="ar"/>
              </w:rPr>
            </w:pPr>
            <w:r>
              <w:rPr>
                <w:rStyle w:val="67"/>
                <w:rFonts w:hint="eastAsia" w:ascii="宋体" w:hAnsi="宋体" w:eastAsia="宋体" w:cs="宋体"/>
                <w:sz w:val="24"/>
                <w:szCs w:val="24"/>
                <w:lang w:val="en-US" w:eastAsia="zh-CN" w:bidi="ar"/>
              </w:rPr>
              <w:t>问卷导出：支持批量导出每份问卷详细信息</w:t>
            </w:r>
          </w:p>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4" w:hRule="atLeast"/>
        </w:trPr>
        <w:tc>
          <w:tcPr>
            <w:tcW w:w="2386" w:type="dxa"/>
            <w:vAlign w:val="top"/>
          </w:tcPr>
          <w:p>
            <w:pPr>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患者接收</w:t>
            </w:r>
          </w:p>
        </w:tc>
        <w:tc>
          <w:tcPr>
            <w:tcW w:w="6136" w:type="dxa"/>
          </w:tcPr>
          <w:p>
            <w:pPr>
              <w:numPr>
                <w:ilvl w:val="0"/>
                <w:numId w:val="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b/>
                <w:bCs/>
                <w:sz w:val="24"/>
                <w:szCs w:val="24"/>
              </w:rPr>
              <w:t>微信：</w:t>
            </w:r>
            <w:r>
              <w:rPr>
                <w:rFonts w:hint="eastAsia" w:ascii="宋体" w:hAnsi="宋体" w:eastAsia="宋体" w:cs="宋体"/>
                <w:sz w:val="24"/>
                <w:szCs w:val="24"/>
              </w:rPr>
              <w:t>支持微信渠道开展随访，推送问卷/宣教/提醒到微信公众号，患者可在手机端接收并反馈。</w:t>
            </w:r>
          </w:p>
          <w:p>
            <w:pPr>
              <w:numPr>
                <w:ilvl w:val="0"/>
                <w:numId w:val="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b/>
                <w:bCs/>
                <w:sz w:val="24"/>
                <w:szCs w:val="24"/>
              </w:rPr>
              <w:t>短信：</w:t>
            </w:r>
            <w:r>
              <w:rPr>
                <w:rFonts w:hint="eastAsia" w:ascii="宋体" w:hAnsi="宋体" w:eastAsia="宋体" w:cs="宋体"/>
                <w:sz w:val="24"/>
                <w:szCs w:val="24"/>
              </w:rPr>
              <w:t>支持短信渠道开展</w:t>
            </w:r>
            <w:r>
              <w:rPr>
                <w:rFonts w:hint="eastAsia" w:ascii="宋体" w:hAnsi="宋体" w:eastAsia="宋体" w:cs="宋体"/>
                <w:sz w:val="24"/>
                <w:szCs w:val="24"/>
                <w:lang w:eastAsia="zh-CN"/>
              </w:rPr>
              <w:t>宣教</w:t>
            </w:r>
            <w:r>
              <w:rPr>
                <w:rFonts w:hint="eastAsia" w:ascii="宋体" w:hAnsi="宋体" w:eastAsia="宋体" w:cs="宋体"/>
                <w:sz w:val="24"/>
                <w:szCs w:val="24"/>
              </w:rPr>
              <w:t>，推送带链接的问卷/宣教/提醒短信到患者手机端，患者在手机端接收并反馈。</w:t>
            </w:r>
          </w:p>
          <w:p>
            <w:pPr>
              <w:numPr>
                <w:ilvl w:val="0"/>
                <w:numId w:val="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b/>
                <w:bCs/>
                <w:sz w:val="24"/>
                <w:szCs w:val="24"/>
              </w:rPr>
              <w:t>电话：</w:t>
            </w:r>
            <w:r>
              <w:rPr>
                <w:rFonts w:hint="eastAsia" w:ascii="宋体" w:hAnsi="宋体" w:eastAsia="宋体" w:cs="宋体"/>
                <w:sz w:val="24"/>
                <w:szCs w:val="24"/>
              </w:rPr>
              <w:t>支持通过电话</w:t>
            </w:r>
            <w:r>
              <w:rPr>
                <w:rFonts w:hint="eastAsia" w:ascii="宋体" w:hAnsi="宋体" w:eastAsia="宋体" w:cs="宋体"/>
                <w:sz w:val="24"/>
                <w:szCs w:val="24"/>
                <w:lang w:eastAsia="zh-CN"/>
              </w:rPr>
              <w:t>宣教</w:t>
            </w:r>
            <w:r>
              <w:rPr>
                <w:rFonts w:hint="eastAsia" w:ascii="宋体" w:hAnsi="宋体" w:eastAsia="宋体" w:cs="宋体"/>
                <w:sz w:val="24"/>
                <w:szCs w:val="24"/>
              </w:rPr>
              <w:t>方式，</w:t>
            </w:r>
            <w:r>
              <w:rPr>
                <w:rFonts w:hint="eastAsia" w:ascii="宋体" w:hAnsi="宋体" w:eastAsia="宋体" w:cs="宋体"/>
                <w:sz w:val="24"/>
                <w:szCs w:val="24"/>
                <w:lang w:eastAsia="zh-CN"/>
              </w:rPr>
              <w:t>通过语音助手自动播放宣教内容</w:t>
            </w:r>
            <w:r>
              <w:rPr>
                <w:rFonts w:hint="eastAsia" w:ascii="宋体" w:hAnsi="宋体" w:eastAsia="宋体" w:cs="宋体"/>
                <w:sz w:val="24"/>
                <w:szCs w:val="24"/>
              </w:rPr>
              <w:t>。</w:t>
            </w:r>
          </w:p>
        </w:tc>
      </w:tr>
    </w:tbl>
    <w:p>
      <w:pPr>
        <w:rPr>
          <w:rFonts w:hint="eastAsia"/>
          <w:lang w:val="en-US"/>
        </w:rPr>
      </w:pPr>
    </w:p>
    <w:p>
      <w:pPr>
        <w:pStyle w:val="6"/>
        <w:spacing w:before="0" w:after="0"/>
        <w:rPr>
          <w:rFonts w:hint="eastAsia" w:ascii="宋体" w:hAnsi="宋体" w:eastAsia="宋体" w:cs="宋体"/>
          <w:sz w:val="24"/>
          <w:szCs w:val="24"/>
          <w:vertAlign w:val="baseline"/>
          <w:lang w:val="en-US" w:eastAsia="zh-CN"/>
        </w:rPr>
      </w:pPr>
      <w:r>
        <w:rPr>
          <w:rFonts w:ascii="宋体" w:hAnsi="宋体" w:eastAsia="宋体"/>
          <w:sz w:val="24"/>
          <w:szCs w:val="24"/>
        </w:rPr>
        <w:t>3.</w:t>
      </w:r>
      <w:r>
        <w:rPr>
          <w:rFonts w:hint="eastAsia" w:ascii="宋体" w:hAnsi="宋体" w:eastAsia="宋体"/>
          <w:sz w:val="24"/>
          <w:szCs w:val="24"/>
          <w:lang w:val="en-US" w:eastAsia="zh-CN"/>
        </w:rPr>
        <w:t>3</w:t>
      </w:r>
      <w:r>
        <w:rPr>
          <w:rFonts w:hint="eastAsia" w:ascii="宋体" w:hAnsi="宋体" w:eastAsia="宋体" w:cs="宋体"/>
          <w:sz w:val="24"/>
          <w:szCs w:val="24"/>
          <w:vertAlign w:val="baseline"/>
          <w:lang w:val="en-US" w:eastAsia="zh-CN"/>
        </w:rPr>
        <w:t>肺癌专病库</w:t>
      </w:r>
    </w:p>
    <w:tbl>
      <w:tblP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531"/>
        <w:gridCol w:w="2457"/>
        <w:gridCol w:w="5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0" w:hRule="atLeast"/>
        </w:trPr>
        <w:tc>
          <w:tcPr>
            <w:tcW w:w="825" w:type="pct"/>
            <w:shd w:val="clear" w:color="auto" w:fill="80C588"/>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一级功能</w:t>
            </w:r>
          </w:p>
        </w:tc>
        <w:tc>
          <w:tcPr>
            <w:tcW w:w="1323" w:type="pct"/>
            <w:shd w:val="clear" w:color="auto" w:fill="80C588"/>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二级功能</w:t>
            </w:r>
          </w:p>
        </w:tc>
        <w:tc>
          <w:tcPr>
            <w:tcW w:w="2850" w:type="pct"/>
            <w:shd w:val="clear" w:color="auto" w:fill="80C588"/>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500" w:hRule="atLeast"/>
        </w:trPr>
        <w:tc>
          <w:tcPr>
            <w:tcW w:w="825" w:type="pct"/>
            <w:vMerge w:val="restar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肺癌360视图</w:t>
            </w:r>
          </w:p>
        </w:tc>
        <w:tc>
          <w:tcPr>
            <w:tcW w:w="1323" w:type="pc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就诊信息</w:t>
            </w:r>
          </w:p>
        </w:tc>
        <w:tc>
          <w:tcPr>
            <w:tcW w:w="2850" w:type="pc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以患者为单位聚集患者的历次就诊记录，包含就诊时间、就诊类别、就诊科室、诊断信息等概要信息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100" w:hRule="atLeast"/>
        </w:trPr>
        <w:tc>
          <w:tcPr>
            <w:tcW w:w="825" w:type="pct"/>
            <w:vMerge w:val="continue"/>
            <w:tcBorders/>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诊断信息</w:t>
            </w:r>
          </w:p>
        </w:tc>
        <w:tc>
          <w:tcPr>
            <w:tcW w:w="2850" w:type="pct"/>
            <w:vMerge w:val="restar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对接院内HIS、CIS、NIS、EMR、LIS、RIS、PACS、ICU、手麻等系统中的多源异构患者临床诊疗数据，需要通过专业的技术手段把这些数据从不同的异构数据库中（比如</w:t>
            </w:r>
            <w:bookmarkStart w:id="3" w:name="_GoBack"/>
            <w:bookmarkEnd w:id="3"/>
            <w:r>
              <w:rPr>
                <w:rFonts w:hint="eastAsia" w:ascii="宋体" w:hAnsi="宋体" w:eastAsia="宋体" w:cs="宋体"/>
                <w:b w:val="0"/>
                <w:bCs w:val="0"/>
                <w:i w:val="0"/>
                <w:iCs w:val="0"/>
                <w:color w:val="000000"/>
                <w:kern w:val="0"/>
                <w:sz w:val="24"/>
                <w:szCs w:val="24"/>
                <w:u w:val="none"/>
                <w:bdr w:val="none" w:color="auto" w:sz="0" w:space="0"/>
                <w:lang w:val="en-US" w:eastAsia="zh-CN" w:bidi="ar"/>
              </w:rPr>
              <w:t>SQL SERVER、ORACLE、CACHE等）提取出来，并且需要把这些非结构、碎片化、不规范、不统一、不标准的数据经过结构化、标准化、规范化、归一化数据治理处理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0" w:hRule="atLeast"/>
        </w:trPr>
        <w:tc>
          <w:tcPr>
            <w:tcW w:w="825" w:type="pct"/>
            <w:vMerge w:val="continue"/>
            <w:tcBorders/>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检查信息</w:t>
            </w:r>
          </w:p>
        </w:tc>
        <w:tc>
          <w:tcPr>
            <w:tcW w:w="2850"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65" w:hRule="atLeast"/>
        </w:trPr>
        <w:tc>
          <w:tcPr>
            <w:tcW w:w="825" w:type="pct"/>
            <w:vMerge w:val="continue"/>
            <w:tcBorders/>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医嘱信息</w:t>
            </w:r>
          </w:p>
        </w:tc>
        <w:tc>
          <w:tcPr>
            <w:tcW w:w="2850"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0" w:hRule="atLeast"/>
        </w:trPr>
        <w:tc>
          <w:tcPr>
            <w:tcW w:w="825" w:type="pct"/>
            <w:vMerge w:val="continue"/>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23" w:type="pc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费用信息</w:t>
            </w:r>
          </w:p>
        </w:tc>
        <w:tc>
          <w:tcPr>
            <w:tcW w:w="2850"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65" w:hRule="atLeast"/>
        </w:trPr>
        <w:tc>
          <w:tcPr>
            <w:tcW w:w="825" w:type="pct"/>
            <w:vMerge w:val="continue"/>
            <w:tcBorders/>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病历信息</w:t>
            </w:r>
          </w:p>
        </w:tc>
        <w:tc>
          <w:tcPr>
            <w:tcW w:w="2850"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0" w:hRule="atLeast"/>
        </w:trPr>
        <w:tc>
          <w:tcPr>
            <w:tcW w:w="825" w:type="pct"/>
            <w:vMerge w:val="continue"/>
            <w:tcBorders/>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生命体征</w:t>
            </w:r>
          </w:p>
        </w:tc>
        <w:tc>
          <w:tcPr>
            <w:tcW w:w="2850"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65" w:hRule="atLeast"/>
        </w:trPr>
        <w:tc>
          <w:tcPr>
            <w:tcW w:w="825" w:type="pct"/>
            <w:vMerge w:val="continue"/>
            <w:tcBorders/>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病案首页</w:t>
            </w:r>
          </w:p>
        </w:tc>
        <w:tc>
          <w:tcPr>
            <w:tcW w:w="2850"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0" w:hRule="atLeast"/>
        </w:trPr>
        <w:tc>
          <w:tcPr>
            <w:tcW w:w="825" w:type="pct"/>
            <w:vMerge w:val="continue"/>
            <w:tcBorders/>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vMerge w:val="restar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影像信息</w:t>
            </w:r>
          </w:p>
        </w:tc>
        <w:tc>
          <w:tcPr>
            <w:tcW w:w="2850" w:type="pct"/>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支持存储、解析DICOM文件。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0" w:hRule="atLeast"/>
        </w:trPr>
        <w:tc>
          <w:tcPr>
            <w:tcW w:w="825" w:type="pct"/>
            <w:vMerge w:val="continue"/>
            <w:tcBorders/>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c>
          <w:tcPr>
            <w:tcW w:w="2850" w:type="pct"/>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支持报告文本的自然语言处理，提前关键信息。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0" w:hRule="atLeast"/>
        </w:trPr>
        <w:tc>
          <w:tcPr>
            <w:tcW w:w="825" w:type="pct"/>
            <w:vMerge w:val="continue"/>
            <w:tcBorders/>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c>
          <w:tcPr>
            <w:tcW w:w="2850" w:type="pct"/>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支持存储、解析三维重建数据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65" w:hRule="atLeast"/>
        </w:trPr>
        <w:tc>
          <w:tcPr>
            <w:tcW w:w="825" w:type="pct"/>
            <w:vMerge w:val="continue"/>
            <w:tcBorders/>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c>
          <w:tcPr>
            <w:tcW w:w="2850" w:type="pct"/>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对</w:t>
            </w:r>
            <w:r>
              <w:rPr>
                <w:rFonts w:hint="eastAsia" w:ascii="宋体" w:hAnsi="宋体" w:cs="宋体"/>
                <w:b w:val="0"/>
                <w:bCs w:val="0"/>
                <w:i w:val="0"/>
                <w:iCs w:val="0"/>
                <w:color w:val="000000"/>
                <w:kern w:val="0"/>
                <w:sz w:val="24"/>
                <w:szCs w:val="24"/>
                <w:u w:val="none"/>
                <w:bdr w:val="none" w:color="auto" w:sz="0" w:space="0"/>
                <w:lang w:val="en-US" w:eastAsia="zh-CN" w:bidi="ar"/>
              </w:rPr>
              <w:t>接</w:t>
            </w:r>
            <w:r>
              <w:rPr>
                <w:rFonts w:hint="eastAsia" w:ascii="宋体" w:hAnsi="宋体" w:eastAsia="宋体" w:cs="宋体"/>
                <w:b w:val="0"/>
                <w:bCs w:val="0"/>
                <w:i w:val="0"/>
                <w:iCs w:val="0"/>
                <w:color w:val="000000"/>
                <w:kern w:val="0"/>
                <w:sz w:val="24"/>
                <w:szCs w:val="24"/>
                <w:u w:val="none"/>
                <w:bdr w:val="none" w:color="auto" w:sz="0" w:space="0"/>
                <w:lang w:val="en-US" w:eastAsia="zh-CN" w:bidi="ar"/>
              </w:rPr>
              <w:t>医院的良恶性辨别系统、结节识别系统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0" w:hRule="atLeast"/>
        </w:trPr>
        <w:tc>
          <w:tcPr>
            <w:tcW w:w="825" w:type="pct"/>
            <w:vMerge w:val="continue"/>
            <w:tcBorders/>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病理信息</w:t>
            </w:r>
          </w:p>
        </w:tc>
        <w:tc>
          <w:tcPr>
            <w:tcW w:w="2850" w:type="pct"/>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支持报告文本的自然语言处理，提前关键信息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0" w:hRule="atLeast"/>
        </w:trPr>
        <w:tc>
          <w:tcPr>
            <w:tcW w:w="825" w:type="pct"/>
            <w:vMerge w:val="continue"/>
            <w:tcBorders/>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基因信息</w:t>
            </w:r>
          </w:p>
        </w:tc>
        <w:tc>
          <w:tcPr>
            <w:tcW w:w="2850" w:type="pct"/>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支持报告文本的自然语言处理，提前报告的突变点位信息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0" w:hRule="atLeast"/>
        </w:trPr>
        <w:tc>
          <w:tcPr>
            <w:tcW w:w="825" w:type="pct"/>
            <w:vMerge w:val="continue"/>
            <w:tcBorders/>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检验信息</w:t>
            </w:r>
          </w:p>
        </w:tc>
        <w:tc>
          <w:tcPr>
            <w:tcW w:w="2850" w:type="pct"/>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支持存储检验的结构化数据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0" w:hRule="atLeast"/>
        </w:trPr>
        <w:tc>
          <w:tcPr>
            <w:tcW w:w="825" w:type="pct"/>
            <w:vMerge w:val="continue"/>
            <w:tcBorders/>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院外信息</w:t>
            </w:r>
          </w:p>
        </w:tc>
        <w:tc>
          <w:tcPr>
            <w:tcW w:w="2850" w:type="pct"/>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对接、整合已有院外随访数据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455" w:hRule="atLeast"/>
        </w:trPr>
        <w:tc>
          <w:tcPr>
            <w:tcW w:w="825" w:type="pct"/>
            <w:vMerge w:val="restar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专病库管理</w:t>
            </w:r>
          </w:p>
        </w:tc>
        <w:tc>
          <w:tcPr>
            <w:tcW w:w="1323" w:type="pc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专病库自动生成</w:t>
            </w:r>
          </w:p>
        </w:tc>
        <w:tc>
          <w:tcPr>
            <w:tcW w:w="2850" w:type="pct"/>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支持按用户设置好的专病库样本入库条件（入库条件支持按诊断、科室、日期、就诊类型等简单条件组合，也支持按患者各类就诊信息、病历信息、检查检验信息等高级条件组合）以及需要研究的科研指标的提取规则自动在后台生成所要研究的专病样本以及科研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80" w:hRule="atLeast"/>
        </w:trPr>
        <w:tc>
          <w:tcPr>
            <w:tcW w:w="825"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专病库自动更新</w:t>
            </w:r>
          </w:p>
        </w:tc>
        <w:tc>
          <w:tcPr>
            <w:tcW w:w="2850" w:type="pct"/>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专病库自动生成后，系统支持将新出院的患者样本信息自动更新到生成好的专病库中，保障专病库样本信息持续动态收集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80" w:hRule="atLeast"/>
        </w:trPr>
        <w:tc>
          <w:tcPr>
            <w:tcW w:w="825"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vMerge w:val="restar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专病库样本检索</w:t>
            </w:r>
          </w:p>
        </w:tc>
        <w:tc>
          <w:tcPr>
            <w:tcW w:w="2850" w:type="pct"/>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1、支持将专病库的指标条件按”和“和”或“组套检索，并对检索出来的数据进行简单分析统计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0" w:hRule="atLeast"/>
        </w:trPr>
        <w:tc>
          <w:tcPr>
            <w:tcW w:w="825"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c>
          <w:tcPr>
            <w:tcW w:w="2850" w:type="pct"/>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2、支持添加单个规则和组规则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0" w:hRule="atLeast"/>
        </w:trPr>
        <w:tc>
          <w:tcPr>
            <w:tcW w:w="825"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c>
          <w:tcPr>
            <w:tcW w:w="2850" w:type="pct"/>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3、如果是字符型的字段 符号包含：包含、不包含、等于、不等于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0" w:hRule="atLeast"/>
        </w:trPr>
        <w:tc>
          <w:tcPr>
            <w:tcW w:w="825"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c>
          <w:tcPr>
            <w:tcW w:w="2850" w:type="pct"/>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4、如果是数值型的字段 符合包含：等于、大于、小于、不等于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0" w:hRule="atLeast"/>
        </w:trPr>
        <w:tc>
          <w:tcPr>
            <w:tcW w:w="825"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c>
          <w:tcPr>
            <w:tcW w:w="2850" w:type="pct"/>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5、如果是日期型的字段 符号包含：等于、大于、小于、不等于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80" w:hRule="atLeast"/>
        </w:trPr>
        <w:tc>
          <w:tcPr>
            <w:tcW w:w="825"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专病库样本导出</w:t>
            </w:r>
          </w:p>
        </w:tc>
        <w:tc>
          <w:tcPr>
            <w:tcW w:w="2850" w:type="pct"/>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支持将检索出来的样本数据以患者就诊维度导出到excel中，导出专病库支持数据脱敏与权限管理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80" w:hRule="atLeast"/>
        </w:trPr>
        <w:tc>
          <w:tcPr>
            <w:tcW w:w="825"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专病库样本导入</w:t>
            </w:r>
          </w:p>
        </w:tc>
        <w:tc>
          <w:tcPr>
            <w:tcW w:w="2850" w:type="pct"/>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支持将用户维护的院内或院外历史样本资料通过EXCEL批量导入、或接口对接到专病库中，从而不断丰富专病数据集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0" w:hRule="atLeast"/>
        </w:trPr>
        <w:tc>
          <w:tcPr>
            <w:tcW w:w="825"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专病库样本删除</w:t>
            </w:r>
          </w:p>
        </w:tc>
        <w:tc>
          <w:tcPr>
            <w:tcW w:w="2850" w:type="pct"/>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支持用户对专病库有问题的样本数据进行删除操作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0" w:hRule="atLeast"/>
        </w:trPr>
        <w:tc>
          <w:tcPr>
            <w:tcW w:w="825"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专病库样本新增</w:t>
            </w:r>
          </w:p>
        </w:tc>
        <w:tc>
          <w:tcPr>
            <w:tcW w:w="2850" w:type="pct"/>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支持用户将院外的样本资料手工录入、接口到专病库中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0" w:hRule="atLeast"/>
        </w:trPr>
        <w:tc>
          <w:tcPr>
            <w:tcW w:w="825"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专病库样本标记</w:t>
            </w:r>
          </w:p>
        </w:tc>
        <w:tc>
          <w:tcPr>
            <w:tcW w:w="2850" w:type="pct"/>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支持用户对重点患者数据进行标记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125" w:hRule="atLeast"/>
        </w:trPr>
        <w:tc>
          <w:tcPr>
            <w:tcW w:w="825"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专病库指标新增</w:t>
            </w:r>
          </w:p>
        </w:tc>
        <w:tc>
          <w:tcPr>
            <w:tcW w:w="2850" w:type="pct"/>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支持用户对已经创建好的专病库，根据后续科研需要新增科研指标，新增科研指标后，系统会自动从后台根据指标的提取规则自动提取指标信息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070" w:hRule="atLeast"/>
        </w:trPr>
        <w:tc>
          <w:tcPr>
            <w:tcW w:w="825" w:type="pct"/>
            <w:vMerge w:val="restar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CRF管理</w:t>
            </w:r>
          </w:p>
        </w:tc>
        <w:tc>
          <w:tcPr>
            <w:tcW w:w="1323" w:type="pc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CRF模板管理</w:t>
            </w:r>
          </w:p>
        </w:tc>
        <w:tc>
          <w:tcPr>
            <w:tcW w:w="2850" w:type="pct"/>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按病种研究需要，支持用户自定义创建CRF模板，支持对用户自己创建的CRF模板再次编辑、复制和删除。也可以使用系统已经积累的CRF模板，使用专病平台的标准数据集指标，提高建模效率。支持多种题型和值域设置。支持从字段集区域内拖拽字段到建题区的拖拽建题方式建题；支持点选建题方式建题；CRF模板列表展示所有已创建的模板，每个模板展示CRF名称、创建时间及包含的字段个数等。支持将将所有CRF模板按照创建时间或更新时间排序；支持分类建立题组，可将题组自由组合成CRF;；若CRF字典内已有字段不能满足项目要求，可选择项目自定义字典，自定义建题，题型支持：单行文本题、多行文本题、单选题、下拉框题、复选框题、日期题、图片题，图片题支持png、jpg、jpeg、gif、bmp等；自定义题目填写题目的基本信息如：标题、提示符、选项，支持设置题目一些特定属性，如：是否必填等；支持对点选或拖拽的题型进行剪切与复制操作，支持将一张CRF分为多个题组展示。用户可在目录处添加、编辑、删除表单；同时支持单列和双列两种展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80" w:hRule="atLeast"/>
        </w:trPr>
        <w:tc>
          <w:tcPr>
            <w:tcW w:w="825"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CRF录入（数据核查）</w:t>
            </w:r>
          </w:p>
        </w:tc>
        <w:tc>
          <w:tcPr>
            <w:tcW w:w="2850" w:type="pct"/>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支持用户通过CRF 对该专病库中的病例数据进行修改。可对单个、多个字段进行修改编辑；支持用户查看患者360资料辅助快速核对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80" w:hRule="atLeast"/>
        </w:trPr>
        <w:tc>
          <w:tcPr>
            <w:tcW w:w="825"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数据溯源</w:t>
            </w:r>
          </w:p>
        </w:tc>
        <w:tc>
          <w:tcPr>
            <w:tcW w:w="2850" w:type="pct"/>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对修改编辑系统有操作日志可供追踪与查看，支持修改记录展示信息：修改时间、修改类别（自动提取/人工更正）、更新人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80" w:hRule="atLeast"/>
        </w:trPr>
        <w:tc>
          <w:tcPr>
            <w:tcW w:w="825"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OCR录入</w:t>
            </w:r>
          </w:p>
        </w:tc>
        <w:tc>
          <w:tcPr>
            <w:tcW w:w="2850" w:type="pct"/>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支持用户对上传对应图片进行智能识别，且自动填充到对应专病库中的字段，识别后的文字支持手工修正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0" w:hRule="atLeast"/>
        </w:trPr>
        <w:tc>
          <w:tcPr>
            <w:tcW w:w="825" w:type="pct"/>
            <w:vMerge w:val="restar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权限管理</w:t>
            </w:r>
          </w:p>
        </w:tc>
        <w:tc>
          <w:tcPr>
            <w:tcW w:w="1323" w:type="pc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菜单权限管理</w:t>
            </w:r>
          </w:p>
        </w:tc>
        <w:tc>
          <w:tcPr>
            <w:tcW w:w="2850" w:type="pct"/>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系统支持根据不同的用户角色分配不同的菜单权限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110" w:hRule="atLeast"/>
        </w:trPr>
        <w:tc>
          <w:tcPr>
            <w:tcW w:w="825"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数据权限管理</w:t>
            </w:r>
          </w:p>
        </w:tc>
        <w:tc>
          <w:tcPr>
            <w:tcW w:w="2850" w:type="pct"/>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系统支持对不同的用户设置不同的全新，比如专病库导入权限、导出权限、新增权限、基本信息修改权限、指标信息修改权限、搜索结果导入到专病库权限等，支持设置权限的有效期或永久有效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95" w:hRule="atLeast"/>
        </w:trPr>
        <w:tc>
          <w:tcPr>
            <w:tcW w:w="825" w:type="pct"/>
            <w:vMerge w:val="restar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专病统计分析</w:t>
            </w:r>
          </w:p>
        </w:tc>
        <w:tc>
          <w:tcPr>
            <w:tcW w:w="1323" w:type="pc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统计概览</w:t>
            </w:r>
          </w:p>
        </w:tc>
        <w:tc>
          <w:tcPr>
            <w:tcW w:w="2850" w:type="pct"/>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支持展示专病库的专病总数、科研指标总数、专病模型总数、CRF模板总数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80" w:hRule="atLeast"/>
        </w:trPr>
        <w:tc>
          <w:tcPr>
            <w:tcW w:w="825"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专病重点指标</w:t>
            </w:r>
          </w:p>
        </w:tc>
        <w:tc>
          <w:tcPr>
            <w:tcW w:w="2850" w:type="pct"/>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支持切换不同的专病，展示对应专病库的入库样本书、修正样本书、指标数、指标完成数与最近更新时间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0" w:hRule="atLeast"/>
        </w:trPr>
        <w:tc>
          <w:tcPr>
            <w:tcW w:w="825"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样本变化趋势</w:t>
            </w:r>
          </w:p>
        </w:tc>
        <w:tc>
          <w:tcPr>
            <w:tcW w:w="2850" w:type="pct"/>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支持展示最近7天的样本变化趋势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0" w:hRule="atLeast"/>
        </w:trPr>
        <w:tc>
          <w:tcPr>
            <w:tcW w:w="825"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样本年份分布</w:t>
            </w:r>
          </w:p>
        </w:tc>
        <w:tc>
          <w:tcPr>
            <w:tcW w:w="2850" w:type="pct"/>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支持展示最近10年的新增入库样本数分布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95" w:hRule="atLeast"/>
        </w:trPr>
        <w:tc>
          <w:tcPr>
            <w:tcW w:w="825"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指标来源图谱</w:t>
            </w:r>
          </w:p>
        </w:tc>
        <w:tc>
          <w:tcPr>
            <w:tcW w:w="2850" w:type="pct"/>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支持展示从基本信息、就诊信息、病史信息、检查信息、检验信息的指标分布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0" w:hRule="atLeast"/>
        </w:trPr>
        <w:tc>
          <w:tcPr>
            <w:tcW w:w="825" w:type="pct"/>
            <w:vMerge w:val="continue"/>
            <w:shd w:val="clear"/>
            <w:vAlign w:val="center"/>
          </w:tcPr>
          <w:p>
            <w:pPr>
              <w:jc w:val="center"/>
              <w:rPr>
                <w:rFonts w:hint="eastAsia" w:ascii="宋体" w:hAnsi="宋体" w:eastAsia="宋体" w:cs="宋体"/>
                <w:b w:val="0"/>
                <w:bCs w:val="0"/>
                <w:i w:val="0"/>
                <w:iCs w:val="0"/>
                <w:color w:val="000000"/>
                <w:sz w:val="24"/>
                <w:szCs w:val="24"/>
                <w:u w:val="none"/>
              </w:rPr>
            </w:pPr>
          </w:p>
        </w:tc>
        <w:tc>
          <w:tcPr>
            <w:tcW w:w="1323" w:type="pct"/>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指标完成率</w:t>
            </w:r>
          </w:p>
        </w:tc>
        <w:tc>
          <w:tcPr>
            <w:tcW w:w="2850" w:type="pct"/>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支持展示各个指标的完成比（自动提取+人工补充）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155" w:hRule="atLeast"/>
        </w:trPr>
        <w:tc>
          <w:tcPr>
            <w:tcW w:w="825" w:type="pct"/>
            <w:vMerge w:val="restar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简单搜索</w:t>
            </w:r>
          </w:p>
        </w:tc>
        <w:tc>
          <w:tcPr>
            <w:tcW w:w="1323" w:type="pct"/>
            <w:vMerge w:val="restar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搜索输入</w:t>
            </w: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1、支持输入诊断、症状、体征、手术、病历号关键字进行快速检索，比如输入“慢阻肺”或“发热”进行检索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25"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2、多个关键字用空格符隔开，比如输入“慢阻肺 COPD”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25"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3、支持同时输入多个不同类别的关键字，比如“慢阻肺 36摄氏度 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25"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restar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精确搜索</w:t>
            </w: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1、如果输入的关键字未做过统一术语管理，那么搜索结果为包含输入的关键字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230"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2、如果输入的关键字做过统一术语管理，那么搜索结果为包含术语管理的所有关键字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0"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restar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模糊检索</w:t>
            </w: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1、含精确搜索的所有结果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25"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2、新增分词检索，将用户输入的关键词进行分词提取后再进行检索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25" w:hRule="atLeast"/>
        </w:trPr>
        <w:tc>
          <w:tcPr>
            <w:tcW w:w="825" w:type="pct"/>
            <w:vMerge w:val="restar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搜索结果</w:t>
            </w:r>
          </w:p>
        </w:tc>
        <w:tc>
          <w:tcPr>
            <w:tcW w:w="1323" w:type="pct"/>
            <w:vMerge w:val="restar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就诊维度</w:t>
            </w: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1、支持按诊断记录、检查/病理报告、病历、手术命中展示不同的搜索结果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25"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2、需要展示本次病历对应的患者一共有几次就诊记录，门诊几次、住院几次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0"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3、支持查看本次就诊的患者360资料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25"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4、支持查看历史就诊记录，以及每次就诊对应的患者360资料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25"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restar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患者维度</w:t>
            </w: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1、患者信息：姓名（脱敏隐藏中间字）、性别、年龄、病人标识、相关病历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25"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2、每个患者下面显示相关病历的简要信息，最多显示5份相关病历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25"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3、每份相关病历显示信息及高亮显示方式参考就诊维度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25"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结果概况</w:t>
            </w: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1、显示“符合条件的病历一共多少份、患者一个多少个”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230"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结果过滤</w:t>
            </w: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1、支持按性别、年龄、入院科室、出院科室、入院时间、出院时间、病历类型进行过滤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25"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restar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结果统计</w:t>
            </w: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1、支持从门诊、急诊、住院、体检4个就诊类型分别统计有多少病历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25"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2、支持统计搜索出来的病历中还有检查、检验、手术的病历占比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0"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3、支持按诊断统计top10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0"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4、支持按症状统计top10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0"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5、支持按用药统计top10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0"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6、支持按检查统计top10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0"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7、支持按检验统计top10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0"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8、支持按手术统计top10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0"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9、支持统计年龄分布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0"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10、支持统计性别分布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0"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11、支持统计入院时间分布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0"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12、支持统计出院科室分布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0" w:hRule="atLeast"/>
        </w:trPr>
        <w:tc>
          <w:tcPr>
            <w:tcW w:w="825" w:type="pct"/>
            <w:vMerge w:val="restar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高级搜索</w:t>
            </w:r>
          </w:p>
        </w:tc>
        <w:tc>
          <w:tcPr>
            <w:tcW w:w="1323" w:type="pct"/>
            <w:vMerge w:val="restar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高级搜索</w:t>
            </w: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1、支持“和”、“或”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0"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2、支持添加单个规则和组规则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0"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3、支持删除单个规则和组规则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230"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4、可以设置条件的包含基本信息、手术记录、就诊记录、入院记录、出院记录、生命体重等患者信息中的字段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25"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5、如果是字符型的字段 符号包含：包含、不包含、等于、不等于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25"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6、如果是数值型的字段 符合包含：等于、大于、小于、不等于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25"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7、如果是日期型的字段 符号包含：等于、大于、小于、不等于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0" w:hRule="atLeast"/>
        </w:trPr>
        <w:tc>
          <w:tcPr>
            <w:tcW w:w="825" w:type="pct"/>
            <w:vMerge w:val="restar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结果导出</w:t>
            </w:r>
          </w:p>
        </w:tc>
        <w:tc>
          <w:tcPr>
            <w:tcW w:w="1323" w:type="pct"/>
            <w:vMerge w:val="restar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导出到EXCEL</w:t>
            </w: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1、支持选择需要的字段导出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230"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2、支持选择导出的字段包括基本信息表、就诊记录表、诊断记录表、体征记录表、检验结果表相关字段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25"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导出到科研项目</w:t>
            </w: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支持用户将搜索结果导出到科研项目的研究队列中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25"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导出到专病库</w:t>
            </w: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支持用户将搜索结果导出到创建好的专病库中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0" w:hRule="atLeast"/>
        </w:trPr>
        <w:tc>
          <w:tcPr>
            <w:tcW w:w="825" w:type="pct"/>
            <w:vMerge w:val="restar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结果收藏</w:t>
            </w:r>
          </w:p>
        </w:tc>
        <w:tc>
          <w:tcPr>
            <w:tcW w:w="1323" w:type="pct"/>
            <w:vMerge w:val="restar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结果收藏</w:t>
            </w: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1、支持收藏搜索条件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25"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2、支持查看所有收藏的搜索条件，并选择某一个条件重新进行搜索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0"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3、支持收藏某一个病人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0" w:hRule="atLeast"/>
        </w:trPr>
        <w:tc>
          <w:tcPr>
            <w:tcW w:w="825" w:type="pct"/>
            <w:vMerge w:val="restar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搜索历史</w:t>
            </w:r>
          </w:p>
        </w:tc>
        <w:tc>
          <w:tcPr>
            <w:tcW w:w="1323" w:type="pct"/>
            <w:vMerge w:val="restar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搜索历史</w:t>
            </w: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1、每次搜索后，搜索条件保留成历史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0" w:hRule="atLeast"/>
        </w:trPr>
        <w:tc>
          <w:tcPr>
            <w:tcW w:w="825"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1323" w:type="pct"/>
            <w:vMerge w:val="continue"/>
            <w:shd w:val="clear"/>
            <w:vAlign w:val="top"/>
          </w:tcPr>
          <w:p>
            <w:pPr>
              <w:jc w:val="both"/>
              <w:rPr>
                <w:rFonts w:hint="eastAsia" w:ascii="宋体" w:hAnsi="宋体" w:eastAsia="宋体" w:cs="宋体"/>
                <w:b w:val="0"/>
                <w:bCs w:val="0"/>
                <w:i w:val="0"/>
                <w:iCs w:val="0"/>
                <w:color w:val="000000"/>
                <w:sz w:val="24"/>
                <w:szCs w:val="24"/>
                <w:u w:val="none"/>
              </w:rPr>
            </w:pPr>
          </w:p>
        </w:tc>
        <w:tc>
          <w:tcPr>
            <w:tcW w:w="2850"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2、支持选择某一个搜索历史进行搜索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040" w:hRule="atLeast"/>
        </w:trPr>
        <w:tc>
          <w:tcPr>
            <w:tcW w:w="825"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权限管理</w:t>
            </w:r>
          </w:p>
        </w:tc>
        <w:tc>
          <w:tcPr>
            <w:tcW w:w="1323"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权限管理</w:t>
            </w:r>
          </w:p>
        </w:tc>
        <w:tc>
          <w:tcPr>
            <w:tcW w:w="2850" w:type="pct"/>
            <w:shd w:val="clear"/>
            <w:vAlign w:val="top"/>
          </w:tcPr>
          <w:p>
            <w:pPr>
              <w:keepNext w:val="0"/>
              <w:keepLines w:val="0"/>
              <w:widowControl/>
              <w:suppressLineNumbers w:val="0"/>
              <w:ind w:firstLineChars="30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支持对不用的用户设置搜索范围权限、搜索结果导出到科研项目权限、搜索结果导出到专病库权限、搜索结果导出到EXCEL权限，并支持设置权限的有效期或者永久有效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635" w:hRule="atLeast"/>
        </w:trPr>
        <w:tc>
          <w:tcPr>
            <w:tcW w:w="825" w:type="pct"/>
            <w:vMerge w:val="restart"/>
            <w:shd w:val="clear"/>
            <w:vAlign w:val="top"/>
          </w:tcPr>
          <w:p>
            <w:pPr>
              <w:keepNext w:val="0"/>
              <w:keepLines w:val="0"/>
              <w:widowControl/>
              <w:suppressLineNumbers w:val="0"/>
              <w:jc w:val="center"/>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科研随访</w:t>
            </w:r>
          </w:p>
        </w:tc>
        <w:tc>
          <w:tcPr>
            <w:tcW w:w="1323"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随访</w:t>
            </w:r>
          </w:p>
        </w:tc>
        <w:tc>
          <w:tcPr>
            <w:tcW w:w="2850" w:type="pct"/>
            <w:shd w:val="clear"/>
            <w:vAlign w:val="top"/>
          </w:tcPr>
          <w:p>
            <w:pPr>
              <w:keepNext w:val="0"/>
              <w:keepLines w:val="0"/>
              <w:widowControl/>
              <w:suppressLineNumbers w:val="0"/>
              <w:ind w:firstLineChars="30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随访管理以科研项目的数据收集为目的，个性化配置随访表单和方案，支持通过电话机器人实现智能化的随访提醒和标准化数据采集，减轻医护工作量。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445" w:hRule="atLeast"/>
        </w:trPr>
        <w:tc>
          <w:tcPr>
            <w:tcW w:w="825" w:type="pct"/>
            <w:vMerge w:val="continue"/>
            <w:shd w:val="clear"/>
            <w:vAlign w:val="top"/>
          </w:tcPr>
          <w:p>
            <w:pPr>
              <w:jc w:val="center"/>
              <w:rPr>
                <w:rFonts w:hint="eastAsia" w:ascii="宋体" w:hAnsi="宋体" w:eastAsia="宋体" w:cs="宋体"/>
                <w:b w:val="0"/>
                <w:bCs w:val="0"/>
                <w:i w:val="0"/>
                <w:iCs w:val="0"/>
                <w:color w:val="000000"/>
                <w:sz w:val="24"/>
                <w:szCs w:val="24"/>
                <w:u w:val="none"/>
              </w:rPr>
            </w:pPr>
          </w:p>
        </w:tc>
        <w:tc>
          <w:tcPr>
            <w:tcW w:w="1323" w:type="pct"/>
            <w:shd w:val="clear"/>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项目管理</w:t>
            </w:r>
          </w:p>
        </w:tc>
        <w:tc>
          <w:tcPr>
            <w:tcW w:w="2850" w:type="pct"/>
            <w:shd w:val="clear"/>
            <w:vAlign w:val="center"/>
          </w:tcPr>
          <w:p>
            <w:pPr>
              <w:keepNext w:val="0"/>
              <w:keepLines w:val="0"/>
              <w:widowControl/>
              <w:suppressLineNumbers w:val="0"/>
              <w:ind w:firstLineChars="20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研究者建立项目，包含项目类型、目的、设计、样本需求、纳入/排除标准、检查项目、使用的检查设备、检查使用的参数、注意事项、审批附件等信息，后续的项目信息修改、撤销维护。支持建立研究者团队人员信息、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230" w:hRule="atLeast"/>
        </w:trPr>
        <w:tc>
          <w:tcPr>
            <w:tcW w:w="825" w:type="pct"/>
            <w:vMerge w:val="continue"/>
            <w:shd w:val="clear"/>
            <w:vAlign w:val="top"/>
          </w:tcPr>
          <w:p>
            <w:pPr>
              <w:jc w:val="center"/>
              <w:rPr>
                <w:rFonts w:hint="eastAsia" w:ascii="宋体" w:hAnsi="宋体" w:eastAsia="宋体" w:cs="宋体"/>
                <w:b w:val="0"/>
                <w:bCs w:val="0"/>
                <w:i w:val="0"/>
                <w:iCs w:val="0"/>
                <w:color w:val="000000"/>
                <w:sz w:val="24"/>
                <w:szCs w:val="24"/>
                <w:u w:val="none"/>
              </w:rPr>
            </w:pPr>
          </w:p>
        </w:tc>
        <w:tc>
          <w:tcPr>
            <w:tcW w:w="1323" w:type="pct"/>
            <w:shd w:val="clear"/>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eCRF管理</w:t>
            </w:r>
          </w:p>
        </w:tc>
        <w:tc>
          <w:tcPr>
            <w:tcW w:w="2850" w:type="pct"/>
            <w:shd w:val="clear"/>
            <w:vAlign w:val="center"/>
          </w:tcPr>
          <w:p>
            <w:pPr>
              <w:keepNext w:val="0"/>
              <w:keepLines w:val="0"/>
              <w:widowControl/>
              <w:suppressLineNumbers w:val="0"/>
              <w:ind w:firstLineChars="20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电子eCRF，支持自定义样式，结合提取数值直接填入表格，方便录入，检索，导出，统计。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0" w:hRule="atLeast"/>
        </w:trPr>
        <w:tc>
          <w:tcPr>
            <w:tcW w:w="825" w:type="pct"/>
            <w:vMerge w:val="continue"/>
            <w:shd w:val="clear"/>
            <w:vAlign w:val="top"/>
          </w:tcPr>
          <w:p>
            <w:pPr>
              <w:jc w:val="center"/>
              <w:rPr>
                <w:rFonts w:hint="eastAsia" w:ascii="宋体" w:hAnsi="宋体" w:eastAsia="宋体" w:cs="宋体"/>
                <w:b w:val="0"/>
                <w:bCs w:val="0"/>
                <w:i w:val="0"/>
                <w:iCs w:val="0"/>
                <w:color w:val="000000"/>
                <w:sz w:val="24"/>
                <w:szCs w:val="24"/>
                <w:u w:val="none"/>
              </w:rPr>
            </w:pPr>
          </w:p>
        </w:tc>
        <w:tc>
          <w:tcPr>
            <w:tcW w:w="1323" w:type="pct"/>
            <w:shd w:val="clear"/>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纳排入组管理</w:t>
            </w:r>
          </w:p>
        </w:tc>
        <w:tc>
          <w:tcPr>
            <w:tcW w:w="2850" w:type="pct"/>
            <w:shd w:val="clear"/>
            <w:vAlign w:val="center"/>
          </w:tcPr>
          <w:p>
            <w:pPr>
              <w:keepNext w:val="0"/>
              <w:keepLines w:val="0"/>
              <w:widowControl/>
              <w:suppressLineNumbers w:val="0"/>
              <w:ind w:firstLineChars="20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针对前瞻性研究支持在项目内设置纳入、排除的标准，支持不同时期、不同来访次数设置不同的纳入、排除标准，系统根据纳排标准在选定的样本库、现有入组的样本库中执行纳排标准进行筛选，将符合纳入排除标准的样本列出待确认入组或排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230" w:hRule="atLeast"/>
        </w:trPr>
        <w:tc>
          <w:tcPr>
            <w:tcW w:w="825" w:type="pct"/>
            <w:vMerge w:val="continue"/>
            <w:shd w:val="clear"/>
            <w:vAlign w:val="top"/>
          </w:tcPr>
          <w:p>
            <w:pPr>
              <w:jc w:val="center"/>
              <w:rPr>
                <w:rFonts w:hint="eastAsia" w:ascii="宋体" w:hAnsi="宋体" w:eastAsia="宋体" w:cs="宋体"/>
                <w:b w:val="0"/>
                <w:bCs w:val="0"/>
                <w:i w:val="0"/>
                <w:iCs w:val="0"/>
                <w:color w:val="000000"/>
                <w:sz w:val="24"/>
                <w:szCs w:val="24"/>
                <w:u w:val="none"/>
              </w:rPr>
            </w:pPr>
          </w:p>
        </w:tc>
        <w:tc>
          <w:tcPr>
            <w:tcW w:w="1323"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批量随访</w:t>
            </w:r>
          </w:p>
        </w:tc>
        <w:tc>
          <w:tcPr>
            <w:tcW w:w="2850" w:type="pct"/>
            <w:shd w:val="clear"/>
            <w:vAlign w:val="top"/>
          </w:tcPr>
          <w:p>
            <w:pPr>
              <w:keepNext w:val="0"/>
              <w:keepLines w:val="0"/>
              <w:widowControl/>
              <w:suppressLineNumbers w:val="0"/>
              <w:ind w:firstLineChars="20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支持对患者自动AI电话机器人、患者小程序等方式随访，关怀患者在院外康复情况，提升患者就医满意度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25" w:type="pct"/>
            <w:vMerge w:val="continue"/>
            <w:shd w:val="clear"/>
            <w:vAlign w:val="top"/>
          </w:tcPr>
          <w:p>
            <w:pPr>
              <w:jc w:val="center"/>
              <w:rPr>
                <w:rFonts w:hint="eastAsia" w:ascii="宋体" w:hAnsi="宋体" w:eastAsia="宋体" w:cs="宋体"/>
                <w:b w:val="0"/>
                <w:bCs w:val="0"/>
                <w:i w:val="0"/>
                <w:iCs w:val="0"/>
                <w:color w:val="000000"/>
                <w:sz w:val="24"/>
                <w:szCs w:val="24"/>
                <w:u w:val="none"/>
              </w:rPr>
            </w:pPr>
          </w:p>
        </w:tc>
        <w:tc>
          <w:tcPr>
            <w:tcW w:w="1323" w:type="pct"/>
            <w:shd w:val="clear"/>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数据回流</w:t>
            </w:r>
          </w:p>
        </w:tc>
        <w:tc>
          <w:tcPr>
            <w:tcW w:w="2850" w:type="pct"/>
            <w:shd w:val="clear"/>
            <w:vAlign w:val="top"/>
          </w:tcPr>
          <w:p>
            <w:pPr>
              <w:keepNext w:val="0"/>
              <w:keepLines w:val="0"/>
              <w:widowControl/>
              <w:suppressLineNumbers w:val="0"/>
              <w:ind w:firstLineChars="20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系统通过人机对话、小程序填写等方式自动采集患者院外症状、用药等情况，辅助医务人员科研数据自动回流</w:t>
            </w:r>
          </w:p>
        </w:tc>
      </w:tr>
    </w:tbl>
    <w:p>
      <w:pPr>
        <w:rPr>
          <w:lang w:eastAsia="zh-CN"/>
        </w:rPr>
      </w:pPr>
    </w:p>
    <w:p>
      <w:pPr>
        <w:pStyle w:val="6"/>
        <w:spacing w:before="0" w:after="0"/>
        <w:rPr>
          <w:rFonts w:hint="eastAsia" w:ascii="宋体" w:hAnsi="宋体" w:eastAsia="宋体" w:cs="宋体"/>
          <w:sz w:val="24"/>
          <w:szCs w:val="24"/>
          <w:vertAlign w:val="baseline"/>
          <w:lang w:val="en-US" w:eastAsia="zh-CN"/>
        </w:rPr>
      </w:pPr>
      <w:r>
        <w:rPr>
          <w:rFonts w:ascii="宋体" w:hAnsi="宋体" w:eastAsia="宋体"/>
          <w:sz w:val="24"/>
          <w:szCs w:val="24"/>
        </w:rPr>
        <w:t>3.</w:t>
      </w:r>
      <w:r>
        <w:rPr>
          <w:rFonts w:hint="eastAsia" w:ascii="宋体" w:hAnsi="宋体" w:eastAsia="宋体"/>
          <w:sz w:val="24"/>
          <w:szCs w:val="24"/>
          <w:lang w:val="en-US" w:eastAsia="zh-CN"/>
        </w:rPr>
        <w:t>4血糖</w:t>
      </w:r>
      <w:r>
        <w:rPr>
          <w:rFonts w:hint="eastAsia" w:ascii="宋体" w:hAnsi="宋体" w:eastAsia="宋体" w:cs="宋体"/>
          <w:sz w:val="24"/>
          <w:szCs w:val="24"/>
          <w:vertAlign w:val="baseline"/>
          <w:lang w:val="en-US" w:eastAsia="zh-CN"/>
        </w:rPr>
        <w:t>专病库</w:t>
      </w:r>
    </w:p>
    <w:tbl>
      <w:tblP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656"/>
        <w:gridCol w:w="2376"/>
        <w:gridCol w:w="5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739" w:type="pct"/>
            <w:tcBorders>
              <w:top w:val="single" w:color="000000" w:sz="8" w:space="0"/>
              <w:left w:val="single" w:color="000000" w:sz="8" w:space="0"/>
              <w:bottom w:val="single" w:color="000000" w:sz="8" w:space="0"/>
              <w:right w:val="single" w:color="000000" w:sz="8" w:space="0"/>
            </w:tcBorders>
            <w:shd w:val="clear" w:color="auto" w:fill="80C588"/>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一级功能</w:t>
            </w:r>
          </w:p>
        </w:tc>
        <w:tc>
          <w:tcPr>
            <w:tcW w:w="924" w:type="pct"/>
            <w:tcBorders>
              <w:top w:val="single" w:color="000000" w:sz="8" w:space="0"/>
              <w:left w:val="single" w:color="000000" w:sz="8" w:space="0"/>
              <w:bottom w:val="single" w:color="000000" w:sz="8" w:space="0"/>
              <w:right w:val="single" w:color="000000" w:sz="8" w:space="0"/>
            </w:tcBorders>
            <w:shd w:val="clear" w:color="auto" w:fill="80C588"/>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二级功能</w:t>
            </w:r>
          </w:p>
        </w:tc>
        <w:tc>
          <w:tcPr>
            <w:tcW w:w="3336" w:type="pct"/>
            <w:tcBorders>
              <w:top w:val="single" w:color="000000" w:sz="8" w:space="0"/>
              <w:left w:val="single" w:color="000000" w:sz="8" w:space="0"/>
              <w:bottom w:val="single" w:color="000000" w:sz="8" w:space="0"/>
              <w:right w:val="single" w:color="000000" w:sz="8" w:space="0"/>
            </w:tcBorders>
            <w:shd w:val="clear" w:color="auto" w:fill="80C588"/>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39" w:type="pct"/>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血糖数据管理</w:t>
            </w:r>
          </w:p>
        </w:tc>
        <w:tc>
          <w:tcPr>
            <w:tcW w:w="9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数据采集</w:t>
            </w:r>
          </w:p>
        </w:tc>
        <w:tc>
          <w:tcPr>
            <w:tcW w:w="33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实现兼容不同设备的血糖数据的实时采集与自动上传，通过建立标准化的上传机制以及规范，兼容不同的设备厂商的设备，开箱即用。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9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数据管理</w:t>
            </w:r>
          </w:p>
        </w:tc>
        <w:tc>
          <w:tcPr>
            <w:tcW w:w="33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实现多渠道数据的统一管理。将来自血糖仪、动态血糖仪、人工录入、电子病历录入等各种数据源汇聚管理，以患者为维度实现多种数据源的综合分析。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9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数据监测</w:t>
            </w:r>
          </w:p>
        </w:tc>
        <w:tc>
          <w:tcPr>
            <w:tcW w:w="33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实现数据的监测预警。建立患者血糖的预警机制，当患者血糖出发预警时，可通过多种方式提醒患者的主治医生、护士或相关人员进行及时跟进。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9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数据挖掘</w:t>
            </w:r>
          </w:p>
        </w:tc>
        <w:tc>
          <w:tcPr>
            <w:tcW w:w="33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通过分析患者海量的血糖数据及其他医疗数据，配套不同的数据分析模型与算法进行数据挖掘与分析，提供科研与诊断的决策参考。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9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患者血糖日历</w:t>
            </w:r>
          </w:p>
        </w:tc>
        <w:tc>
          <w:tcPr>
            <w:tcW w:w="33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患者血糖日历模块，主要是提供查询日期所在前后三天的血糖各时段均值的展示。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系统提供科室、患者姓名、住院号、查询日期作为检索条件。系统默认以用户所在的科室以及当天的日期作为检索条件，显示查询日期前一天、当天、后一天的血糖各时段均值数据，并且根据策略管理显示不同数据代表不同的颜色。</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当鼠标移动到血糖数据所在的位置时，系统提示该数据的录入时间，录入方式，录入端口以及录入人信息，当数据来源于仪器自动采集是，则显示仪器品牌和仪器编号信息。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9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患者血糖详情</w:t>
            </w:r>
          </w:p>
        </w:tc>
        <w:tc>
          <w:tcPr>
            <w:tcW w:w="33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通过点击患者血糖日历中患者的姓名，则进入该患者详细的血糖详情模块。界面显示患者的基本信息，包括姓名，性别，年龄，住院号，住院状态，入院时间，出院时间、科室、病床等。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系统提供开始日期与结束日期作为检索条件，默认结束日期为当天日期，开始日期为患者的入院日期。</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检索的信息包括血糖各时段的均值以及其他数据，包括血酮、糖化血红蛋白、糖化白蛋白、血压、体重、BMI和自定义数据。当用户存在自定义数据时则可单击自定义数据查看按钮查看患者的自定义数据。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血糖各时段显示的是血糖均值以及正常率，当鼠标单击数值时，则显示具体的详情数据，包括数据总数，正常率，录入时间，录入数值以及录入方式等。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可以查看患者的医嘱记录，饮食以及药物记录。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9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患者血糖评估报告</w:t>
            </w:r>
          </w:p>
        </w:tc>
        <w:tc>
          <w:tcPr>
            <w:tcW w:w="33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按时间周期导出患者详细的血糖评估报告，报告包含患者基本信息，平均血糖值，低血糖风险等级，每日血糖曲线，多日对比曲线等。要求对接设备厂商的详细的血糖报告。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39" w:type="pct"/>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动态血糖管理</w:t>
            </w:r>
          </w:p>
        </w:tc>
        <w:tc>
          <w:tcPr>
            <w:tcW w:w="9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动态血糖实时监测</w:t>
            </w:r>
          </w:p>
        </w:tc>
        <w:tc>
          <w:tcPr>
            <w:tcW w:w="33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系统对接动态血糖仪，设置和选择患者绑定的动态血糖仪，可以通过图表的形式呈现患者当天各时间端的血糖曲线，通过鼠标可以查看到某个时刻的血糖值。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9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数据叠加呈现</w:t>
            </w:r>
          </w:p>
        </w:tc>
        <w:tc>
          <w:tcPr>
            <w:tcW w:w="33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在动态血糖实时监测曲线图中，允许用户叠加患者的其他数据，包括普通测量数据、指尖血糖数据、糖化血红蛋白数据。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9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预警阈值设置</w:t>
            </w:r>
          </w:p>
        </w:tc>
        <w:tc>
          <w:tcPr>
            <w:tcW w:w="33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设置血糖高低的预警阈值，可以精确到患者个人的预警阈值设置。当患者的血糖达到高低的预警阈值时，在系统界面设置明显的提示以及消息通知。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739" w:type="pct"/>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患者全景血糖</w:t>
            </w:r>
          </w:p>
        </w:tc>
        <w:tc>
          <w:tcPr>
            <w:tcW w:w="9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患者实时血糖</w:t>
            </w:r>
          </w:p>
        </w:tc>
        <w:tc>
          <w:tcPr>
            <w:tcW w:w="33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以患者为维度，通过不同数据源的采集和血糖数据录入，显示患者最后一次的血糖值，并且根据策略和预警阈值设置不同的显示方式。同时在显示患者实时的动态血糖曲线缩略图，单击缩略图可以显示放大的动态血糖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9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血糖可视化报告</w:t>
            </w:r>
          </w:p>
        </w:tc>
        <w:tc>
          <w:tcPr>
            <w:tcW w:w="33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根据维度提供患者的血糖可视化报告，包括不同时段的血糖高低报告、血糖散点图报告、血糖趋势报告、血糖柱状分布、动态血糖曲线等。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5"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9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相关指标录入与标记</w:t>
            </w:r>
          </w:p>
        </w:tc>
        <w:tc>
          <w:tcPr>
            <w:tcW w:w="33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对接医院检验系统、HIS系统，按时间轴展示患者的相关检验指标数据，</w:t>
            </w:r>
            <w:r>
              <w:rPr>
                <w:rStyle w:val="70"/>
                <w:rFonts w:hint="eastAsia" w:ascii="宋体" w:hAnsi="宋体" w:eastAsia="宋体" w:cs="宋体"/>
                <w:sz w:val="24"/>
                <w:szCs w:val="24"/>
                <w:bdr w:val="none" w:color="auto" w:sz="0" w:space="0"/>
                <w:lang w:val="en-US" w:eastAsia="zh-CN" w:bidi="ar"/>
              </w:rPr>
              <w:t>包括但不限于</w:t>
            </w:r>
            <w:r>
              <w:rPr>
                <w:rStyle w:val="71"/>
                <w:rFonts w:hint="eastAsia" w:ascii="宋体" w:hAnsi="宋体" w:eastAsia="宋体" w:cs="宋体"/>
                <w:sz w:val="24"/>
                <w:szCs w:val="24"/>
                <w:bdr w:val="none" w:color="auto" w:sz="0" w:space="0"/>
                <w:lang w:val="en-US" w:eastAsia="zh-CN" w:bidi="ar"/>
              </w:rPr>
              <w:t>HbA1c、血</w:t>
            </w:r>
            <w:r>
              <w:rPr>
                <w:rStyle w:val="71"/>
                <w:rFonts w:hint="eastAsia" w:ascii="宋体" w:hAnsi="宋体" w:eastAsia="宋体" w:cs="宋体"/>
                <w:i w:val="0"/>
                <w:iCs w:val="0"/>
                <w:color w:val="000000"/>
                <w:sz w:val="24"/>
                <w:szCs w:val="24"/>
                <w:lang w:val="en-US" w:eastAsia="zh-CN" w:bidi="ar"/>
              </w:rPr>
              <w:t>酮、乳酸、尿UACR、用药情况。同时，支持人工录入患者标记，如饮食情况，用药情况等。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9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科室综合可视化大屏</w:t>
            </w:r>
          </w:p>
        </w:tc>
        <w:tc>
          <w:tcPr>
            <w:tcW w:w="33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以科室为维度建立科室综合可视化大屏，显示科室目前住院的患者清单，以及该患者实时动态的血糖曲线以及最新的血糖数值，通过规则显示预警情况。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9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院外移动端</w:t>
            </w:r>
          </w:p>
        </w:tc>
        <w:tc>
          <w:tcPr>
            <w:tcW w:w="33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需提供院外移动端（微信小程序）打通院内外血糖数据，满足出院患者全周期的血糖监测与管理。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0" w:hRule="atLeast"/>
        </w:trPr>
        <w:tc>
          <w:tcPr>
            <w:tcW w:w="739" w:type="pct"/>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后台管理</w:t>
            </w:r>
          </w:p>
        </w:tc>
        <w:tc>
          <w:tcPr>
            <w:tcW w:w="9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科室管理</w:t>
            </w:r>
          </w:p>
        </w:tc>
        <w:tc>
          <w:tcPr>
            <w:tcW w:w="33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科室管理模块主要管理和维护系统使用的科室信息，包括科室名称，科室编号，备注，是否启用等。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9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用户管理</w:t>
            </w:r>
          </w:p>
        </w:tc>
        <w:tc>
          <w:tcPr>
            <w:tcW w:w="33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用户管理模块主要管理和维护系统使用的用户，这类用户是可以操作和使用系统的用户，包括用户姓名，用户角色（科室主任、主治医生、护士长、护士），用户权限（医生、护士）、所属科室，是否启用等。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不同的用户角色具备不同的操作权限，禁用的用户将无法使用该系统。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9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时段管理</w:t>
            </w:r>
          </w:p>
        </w:tc>
        <w:tc>
          <w:tcPr>
            <w:tcW w:w="33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时段管理模块主要用于配置系统关于血糖记录的时段信息，通过设置时段的开始时间和结束时间后，血糖数据经过录入或者自动采集时，将根据所在的时间端匹配对应的时段，用于统计分析与数据展示。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时段管理模块主要包括时段名称、开始时间、结束时间、备注、是否启用等。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9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策略管理</w:t>
            </w:r>
          </w:p>
        </w:tc>
        <w:tc>
          <w:tcPr>
            <w:tcW w:w="33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策略管理模块主要用户配置系统关于血糖高低的策略，通过设置最大值最小值后，血糖数据经过策略的判断，将能标记出低血糖，血糖过低，血糖过高，高血糖，正常血糖等情况。</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策略管理模块主要包括策略名称，时段，最大值，最小值，备注，是否启用等。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9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自定义数据类型管理</w:t>
            </w:r>
          </w:p>
        </w:tc>
        <w:tc>
          <w:tcPr>
            <w:tcW w:w="33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自定义数据类型模块主要是配置允许系统用户给患者录入的自定义数据类型，比如尿酸、身高等参数。系统默认设置了血酮、糖化血红蛋白、糖化白蛋白、血压、体重、BMI这类数据类型给用户选择。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9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仪器设备管理</w:t>
            </w:r>
          </w:p>
        </w:tc>
        <w:tc>
          <w:tcPr>
            <w:tcW w:w="33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仪器设备管理模块主要管理和维护与系统进行数据传输的仪器设备，比如血糖仪、动态血糖仪等。主要包括仪器的品牌、型号、编号、使用位置、使用科室、是否启用等。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9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设备质控管理</w:t>
            </w:r>
          </w:p>
        </w:tc>
        <w:tc>
          <w:tcPr>
            <w:tcW w:w="33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支持仪器设备的质控数据的采集以及查询与管理，支持显示仪器的质控报告。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9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操作日志</w:t>
            </w:r>
          </w:p>
        </w:tc>
        <w:tc>
          <w:tcPr>
            <w:tcW w:w="33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操作日志模块主要记录系统所有用户的操作行为，包括登陆、创建、编辑、删除、查询、下载等行为。主要包括操作时间、操作模块、操作动作、操作内容、账户ID、客户端IP等。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9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数据采集日志</w:t>
            </w:r>
          </w:p>
        </w:tc>
        <w:tc>
          <w:tcPr>
            <w:tcW w:w="33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数据采集日志主要记录系统数据采集的日志，包括采集接口，采集对象、采集时间、采集内容等。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39" w:type="pct"/>
            <w:vMerge w:val="continue"/>
            <w:tcBorders>
              <w:top w:val="single" w:color="000000" w:sz="4" w:space="0"/>
              <w:left w:val="single" w:color="000000" w:sz="4" w:space="0"/>
              <w:bottom w:val="single" w:color="auto"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924" w:type="pct"/>
            <w:tcBorders>
              <w:top w:val="single" w:color="000000" w:sz="4" w:space="0"/>
              <w:left w:val="single" w:color="000000" w:sz="4" w:space="0"/>
              <w:bottom w:val="single" w:color="auto"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血糖采集管理</w:t>
            </w:r>
          </w:p>
        </w:tc>
        <w:tc>
          <w:tcPr>
            <w:tcW w:w="33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血糖采集模块主要管理和设置与系统进行数据传输交互的应用信息，包括仪器信息、应用名称、应用编号、应用密钥、采集方式、是否开启等。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739" w:type="pct"/>
            <w:vMerge w:val="restart"/>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数据对接</w:t>
            </w:r>
          </w:p>
        </w:tc>
        <w:tc>
          <w:tcPr>
            <w:tcW w:w="924" w:type="pct"/>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数据采集对接</w:t>
            </w:r>
          </w:p>
        </w:tc>
        <w:tc>
          <w:tcPr>
            <w:tcW w:w="3336" w:type="pct"/>
            <w:tcBorders>
              <w:top w:val="single" w:color="000000" w:sz="4" w:space="0"/>
              <w:left w:val="single" w:color="auto"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按医院要求实现数据对接，包括但不限于科室接口协议、患者接口协议、血糖数据上报协议等，形式不限于webservice、mq消息。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支持对接nova血糖仪、美敦力动态血糖监测仪、雅培瞬感动态血糖监测仪、硅基动态血糖监测仪等。需要根据医院的要求新增对接其他厂商。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9" w:type="pct"/>
            <w:vMerge w:val="continue"/>
            <w:tcBorders>
              <w:top w:val="single" w:color="auto" w:sz="4" w:space="0"/>
              <w:left w:val="single" w:color="auto" w:sz="4" w:space="0"/>
              <w:bottom w:val="single" w:color="auto" w:sz="4" w:space="0"/>
              <w:right w:val="single" w:color="auto"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924" w:type="pct"/>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与医院系统集成对接</w:t>
            </w:r>
          </w:p>
        </w:tc>
        <w:tc>
          <w:tcPr>
            <w:tcW w:w="3336" w:type="pct"/>
            <w:tcBorders>
              <w:top w:val="single" w:color="000000" w:sz="4" w:space="0"/>
              <w:left w:val="single" w:color="auto"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系统需要对接医院HIS系统，单点登录与统一认证，科室数据、医生工作站、护士工作站、患者数据、医嘱数据、消息通知等。</w:t>
            </w:r>
          </w:p>
        </w:tc>
      </w:tr>
    </w:tbl>
    <w:p>
      <w:pPr>
        <w:pStyle w:val="6"/>
        <w:spacing w:before="0" w:after="0"/>
        <w:rPr>
          <w:rFonts w:hint="eastAsia" w:ascii="宋体" w:hAnsi="宋体" w:eastAsia="宋体" w:cs="宋体"/>
          <w:sz w:val="24"/>
          <w:szCs w:val="24"/>
          <w:vertAlign w:val="baseline"/>
          <w:lang w:val="en-US" w:eastAsia="zh-CN"/>
        </w:rPr>
      </w:pPr>
      <w:r>
        <w:rPr>
          <w:rFonts w:ascii="宋体" w:hAnsi="宋体" w:eastAsia="宋体"/>
          <w:sz w:val="24"/>
          <w:szCs w:val="24"/>
        </w:rPr>
        <w:t>3.</w:t>
      </w:r>
      <w:r>
        <w:rPr>
          <w:rFonts w:hint="eastAsia" w:ascii="宋体" w:hAnsi="宋体" w:eastAsia="宋体"/>
          <w:sz w:val="24"/>
          <w:szCs w:val="24"/>
          <w:lang w:val="en-US" w:eastAsia="zh-CN"/>
        </w:rPr>
        <w:t>5眼病</w:t>
      </w:r>
      <w:r>
        <w:rPr>
          <w:rFonts w:hint="eastAsia" w:ascii="宋体" w:hAnsi="宋体" w:eastAsia="宋体" w:cs="宋体"/>
          <w:sz w:val="24"/>
          <w:szCs w:val="24"/>
          <w:vertAlign w:val="baseline"/>
          <w:lang w:val="en-US" w:eastAsia="zh-CN"/>
        </w:rPr>
        <w:t>专病库</w:t>
      </w:r>
    </w:p>
    <w:tbl>
      <w:tblPr>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281"/>
        <w:gridCol w:w="2736"/>
        <w:gridCol w:w="52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690" w:type="pct"/>
            <w:tcBorders>
              <w:top w:val="single" w:color="000000" w:sz="8" w:space="0"/>
              <w:left w:val="single" w:color="000000" w:sz="8" w:space="0"/>
              <w:bottom w:val="single" w:color="000000" w:sz="8" w:space="0"/>
              <w:right w:val="single" w:color="000000" w:sz="8" w:space="0"/>
            </w:tcBorders>
            <w:shd w:val="clear" w:color="auto" w:fill="80C588"/>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一级功能</w:t>
            </w:r>
          </w:p>
        </w:tc>
        <w:tc>
          <w:tcPr>
            <w:tcW w:w="1474" w:type="pct"/>
            <w:tcBorders>
              <w:top w:val="single" w:color="000000" w:sz="8" w:space="0"/>
              <w:left w:val="single" w:color="000000" w:sz="8" w:space="0"/>
              <w:bottom w:val="single" w:color="000000" w:sz="8" w:space="0"/>
              <w:right w:val="single" w:color="000000" w:sz="8" w:space="0"/>
            </w:tcBorders>
            <w:shd w:val="clear" w:color="auto" w:fill="80C588"/>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二级功能</w:t>
            </w:r>
          </w:p>
        </w:tc>
        <w:tc>
          <w:tcPr>
            <w:tcW w:w="2835" w:type="pct"/>
            <w:tcBorders>
              <w:top w:val="single" w:color="000000" w:sz="8" w:space="0"/>
              <w:left w:val="single" w:color="000000" w:sz="8" w:space="0"/>
              <w:bottom w:val="single" w:color="000000" w:sz="8" w:space="0"/>
              <w:right w:val="single" w:color="000000" w:sz="8" w:space="0"/>
            </w:tcBorders>
            <w:shd w:val="clear" w:color="auto" w:fill="80C588"/>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690" w:type="pct"/>
            <w:vMerge w:val="restart"/>
            <w:tcBorders>
              <w:top w:val="nil"/>
              <w:left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视光数据管理</w:t>
            </w:r>
          </w:p>
        </w:tc>
        <w:tc>
          <w:tcPr>
            <w:tcW w:w="1474"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眼科检查设备连接模块</w:t>
            </w:r>
          </w:p>
        </w:tc>
        <w:tc>
          <w:tcPr>
            <w:tcW w:w="283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对尚未入网的眼科检查设备（包括视力、眼压、Orbscan角膜地形图、眼像差检查</w:t>
            </w:r>
            <w:r>
              <w:rPr>
                <w:rFonts w:hint="eastAsia" w:ascii="宋体" w:hAnsi="宋体" w:cs="宋体"/>
                <w:i w:val="0"/>
                <w:iCs w:val="0"/>
                <w:color w:val="000000"/>
                <w:kern w:val="0"/>
                <w:sz w:val="24"/>
                <w:szCs w:val="24"/>
                <w:u w:val="none"/>
                <w:bdr w:val="none" w:color="auto" w:sz="0" w:space="0"/>
                <w:lang w:val="en-US" w:eastAsia="zh-CN" w:bidi="ar"/>
              </w:rPr>
              <w:t>等</w:t>
            </w:r>
            <w:r>
              <w:rPr>
                <w:rFonts w:hint="eastAsia" w:ascii="宋体" w:hAnsi="宋体" w:eastAsia="宋体" w:cs="宋体"/>
                <w:i w:val="0"/>
                <w:iCs w:val="0"/>
                <w:color w:val="000000"/>
                <w:kern w:val="0"/>
                <w:sz w:val="24"/>
                <w:szCs w:val="24"/>
                <w:u w:val="none"/>
                <w:bdr w:val="none" w:color="auto" w:sz="0" w:space="0"/>
                <w:lang w:val="en-US" w:eastAsia="zh-CN" w:bidi="ar"/>
              </w:rPr>
              <w:t>）进行连接，获取原始报告及影像。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10" w:hRule="atLeast"/>
        </w:trPr>
        <w:tc>
          <w:tcPr>
            <w:tcW w:w="690" w:type="pct"/>
            <w:vMerge w:val="continue"/>
            <w:tcBorders>
              <w:left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1474"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电子档案模块</w:t>
            </w:r>
          </w:p>
        </w:tc>
        <w:tc>
          <w:tcPr>
            <w:tcW w:w="283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建立以患者为中心的全生命周期眼健康电子屈光档案，以及屈光手术围手术期屈光病历，查询档案、选取模板、档案的锁定/解锁、病历的归档封存、撤销管理。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690" w:type="pct"/>
            <w:vMerge w:val="continue"/>
            <w:tcBorders>
              <w:left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1474"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档案编辑模块</w:t>
            </w:r>
          </w:p>
        </w:tc>
        <w:tc>
          <w:tcPr>
            <w:tcW w:w="283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按照电子病历的操作习惯，支持复选、单选、下拉框、文本编辑完成电子档案中人工填写部分的编辑。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690" w:type="pct"/>
            <w:vMerge w:val="continue"/>
            <w:tcBorders>
              <w:left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1474"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指标预警模块</w:t>
            </w:r>
          </w:p>
        </w:tc>
        <w:tc>
          <w:tcPr>
            <w:tcW w:w="283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建立数据的指标范围以及逻辑关系规则，按照规则自动评估，对于异常值进行提醒。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690" w:type="pct"/>
            <w:vMerge w:val="continue"/>
            <w:tcBorders>
              <w:left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1474"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眼专科患者360视图模块</w:t>
            </w:r>
          </w:p>
        </w:tc>
        <w:tc>
          <w:tcPr>
            <w:tcW w:w="283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对于患者的数据，屈光手术前后、历次屈光检查数据、斜弱视等疾病治疗前后进行视力、屈光度、裂隙灯检查、眼轴、角膜曲率、角膜地形图、眼位、双眼视功能等数据进行回顾比较，将比较结果以图表形式进行展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690" w:type="pct"/>
            <w:vMerge w:val="continue"/>
            <w:tcBorders>
              <w:left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1474"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统计分析模块</w:t>
            </w:r>
          </w:p>
        </w:tc>
        <w:tc>
          <w:tcPr>
            <w:tcW w:w="283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对于相关业务进展情况的统计，如档案分类的数量、随访率、医生业务量等非医学的统计。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690" w:type="pct"/>
            <w:vMerge w:val="continue"/>
            <w:tcBorders>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1474"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定制数据采集工作站模块</w:t>
            </w:r>
          </w:p>
        </w:tc>
        <w:tc>
          <w:tcPr>
            <w:tcW w:w="283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针对部分特殊设置的检查项目需要进行采集数据。针对目前医院内纸质图形、和手写记录，增加对应的定制数据采集报告工作站完成电子图文报告的生成和数据采集。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690"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眼病随访管理</w:t>
            </w:r>
          </w:p>
        </w:tc>
        <w:tc>
          <w:tcPr>
            <w:tcW w:w="1474"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眼病样本库管理模块</w:t>
            </w:r>
          </w:p>
        </w:tc>
        <w:tc>
          <w:tcPr>
            <w:tcW w:w="283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对临床引入的眼病病患进行查看，审核是否进入样本库。支持对现有样本进行自定义查询，对受试者库中的样本进分类确认，分类包含入组、非入组、待入库分类。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10" w:hRule="atLeast"/>
        </w:trPr>
        <w:tc>
          <w:tcPr>
            <w:tcW w:w="690"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1474" w:type="pct"/>
            <w:tcBorders>
              <w:top w:val="nil"/>
              <w:left w:val="single" w:color="000000" w:sz="8" w:space="0"/>
              <w:bottom w:val="single" w:color="auto" w:sz="4"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随访项目管理模块</w:t>
            </w:r>
          </w:p>
        </w:tc>
        <w:tc>
          <w:tcPr>
            <w:tcW w:w="2835" w:type="pct"/>
            <w:tcBorders>
              <w:top w:val="nil"/>
              <w:left w:val="single" w:color="000000" w:sz="8" w:space="0"/>
              <w:bottom w:val="single" w:color="auto" w:sz="4"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究者建立项目，支持录入内容包含项目类型、目的、设计、样本需求、纳入/排除标准、检查项目、使用的检查设备、检查使用的参数、注意事项、审批附件等信息，支持后续的项目信息修改、撤销维护。支持建立研究者团队人员信息、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690"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147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随访表单管理模块</w:t>
            </w:r>
          </w:p>
        </w:tc>
        <w:tc>
          <w:tcPr>
            <w:tcW w:w="283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电子随访表单，支持自定义样式，结合提取数值直接填入表格，方便录入，检索，导出，统计。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690" w:type="pct"/>
            <w:vMerge w:val="continue"/>
            <w:tcBorders>
              <w:top w:val="nil"/>
              <w:left w:val="single" w:color="000000" w:sz="8" w:space="0"/>
              <w:bottom w:val="single" w:color="000000" w:sz="8" w:space="0"/>
              <w:right w:val="single" w:color="auto" w:sz="4" w:space="0"/>
            </w:tcBorders>
            <w:shd w:val="clear"/>
            <w:vAlign w:val="center"/>
          </w:tcPr>
          <w:p>
            <w:pPr>
              <w:jc w:val="center"/>
              <w:rPr>
                <w:rFonts w:hint="eastAsia" w:ascii="宋体" w:hAnsi="宋体" w:eastAsia="宋体" w:cs="宋体"/>
                <w:i w:val="0"/>
                <w:iCs w:val="0"/>
                <w:color w:val="000000"/>
                <w:sz w:val="24"/>
                <w:szCs w:val="24"/>
                <w:u w:val="none"/>
              </w:rPr>
            </w:pPr>
          </w:p>
        </w:tc>
        <w:tc>
          <w:tcPr>
            <w:tcW w:w="1474" w:type="pct"/>
            <w:vMerge w:val="restart"/>
            <w:tcBorders>
              <w:top w:val="single" w:color="auto" w:sz="4" w:space="0"/>
              <w:left w:val="single" w:color="auto" w:sz="4" w:space="0"/>
              <w:right w:val="single" w:color="auto" w:sz="4" w:space="0"/>
            </w:tcBorders>
            <w:shd w:val="clear"/>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纳排入组管理模块</w:t>
            </w:r>
          </w:p>
        </w:tc>
        <w:tc>
          <w:tcPr>
            <w:tcW w:w="283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同时，支持通过电话对病人进行智能语音随访，支持通过短信、微信小程序推送随访表单。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690" w:type="pct"/>
            <w:vMerge w:val="continue"/>
            <w:tcBorders>
              <w:top w:val="nil"/>
              <w:left w:val="single" w:color="000000" w:sz="8" w:space="0"/>
              <w:bottom w:val="single" w:color="000000" w:sz="8" w:space="0"/>
              <w:right w:val="single" w:color="auto" w:sz="4" w:space="0"/>
            </w:tcBorders>
            <w:shd w:val="clear"/>
            <w:vAlign w:val="center"/>
          </w:tcPr>
          <w:p>
            <w:pPr>
              <w:jc w:val="center"/>
              <w:rPr>
                <w:rFonts w:hint="eastAsia" w:ascii="宋体" w:hAnsi="宋体" w:eastAsia="宋体" w:cs="宋体"/>
                <w:i w:val="0"/>
                <w:iCs w:val="0"/>
                <w:color w:val="000000"/>
                <w:sz w:val="24"/>
                <w:szCs w:val="24"/>
                <w:u w:val="none"/>
              </w:rPr>
            </w:pPr>
          </w:p>
        </w:tc>
        <w:tc>
          <w:tcPr>
            <w:tcW w:w="1474" w:type="pct"/>
            <w:vMerge w:val="continue"/>
            <w:tcBorders>
              <w:left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835" w:type="pct"/>
            <w:tcBorders>
              <w:top w:val="single" w:color="auto" w:sz="4"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前瞻性研究，支持在项目内设置纳入、排除的标准，支持不同时期、不同来访次数设置不同的纳入、排除标准，系统根据纳排标准在选定的随访样本库、现有入组的样本库中执行纳排标准进行筛选，将符合纳入排除标准的样本列出待确认入组或排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690"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1474"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随访样本360视图模块</w:t>
            </w:r>
          </w:p>
        </w:tc>
        <w:tc>
          <w:tcPr>
            <w:tcW w:w="283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按照每个患者的就诊时间轴为顺序，将患者的就诊门诊数据、住院数据、提取数据、随访数据、异常指标等有关患者历次就诊进行展现，360度让医生全方位地历史地掌握样本数据。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10" w:hRule="atLeast"/>
        </w:trPr>
        <w:tc>
          <w:tcPr>
            <w:tcW w:w="690"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1474"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数据搜索引擎模块</w:t>
            </w:r>
          </w:p>
        </w:tc>
        <w:tc>
          <w:tcPr>
            <w:tcW w:w="283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支持在现有的数据库中按照患者信息、指标数据、就诊信息等进行多条逻辑关系进行快速海量数据搜索。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690"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1474"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搜索样本展现模块</w:t>
            </w:r>
          </w:p>
        </w:tc>
        <w:tc>
          <w:tcPr>
            <w:tcW w:w="283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搜索出的结果以摘要列表的形式提供概要信息，其中概要信息包含患者信息、诊断疾病、就诊情况、检查情况等概况信息以方便研究者快速了解样本的情况评判是否关注，对于关注的样本支持查看详细信息、收藏、导出操作。详细信息展示该样本的详细信息以方便进一步评判。支持将关注的病例引入样本库中的待入库中，然后进一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50" w:hRule="atLeast"/>
        </w:trPr>
        <w:tc>
          <w:tcPr>
            <w:tcW w:w="690"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1474"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随访提醒模块</w:t>
            </w:r>
          </w:p>
        </w:tc>
        <w:tc>
          <w:tcPr>
            <w:tcW w:w="283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按照医生给患者定制的随访周期和内容，自由设定提醒日期，以消息形式提醒患者进行到院随访。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7" w:hRule="atLeast"/>
        </w:trPr>
        <w:tc>
          <w:tcPr>
            <w:tcW w:w="690"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1474"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随访记录模块</w:t>
            </w:r>
          </w:p>
        </w:tc>
        <w:tc>
          <w:tcPr>
            <w:tcW w:w="283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对于随访进行文书方式的录入，建立随访记录。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7" w:hRule="atLeast"/>
        </w:trPr>
        <w:tc>
          <w:tcPr>
            <w:tcW w:w="690"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1474"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样本批量数据导出模块</w:t>
            </w:r>
          </w:p>
        </w:tc>
        <w:tc>
          <w:tcPr>
            <w:tcW w:w="283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支持选择一批样本的数据，提交后将这些数据下载导出。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690"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1474"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系统应用平台软件</w:t>
            </w:r>
          </w:p>
        </w:tc>
        <w:tc>
          <w:tcPr>
            <w:tcW w:w="283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提供服务端WEB服务，数据库服务，数据通讯服务，一键传输服务，数据自动匹配服务，数据自动上传服务等。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690"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数据对接</w:t>
            </w:r>
          </w:p>
        </w:tc>
        <w:tc>
          <w:tcPr>
            <w:tcW w:w="1474"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文件传输与解析服务模块</w:t>
            </w:r>
          </w:p>
        </w:tc>
        <w:tc>
          <w:tcPr>
            <w:tcW w:w="283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支持DICOM与非DICOM的文件接收，并针对不同设备进行文件解析，传输包含HTTP，FTP，DICOM的接收节点的建立DICOM Storage SCP服务。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10" w:hRule="atLeast"/>
        </w:trPr>
        <w:tc>
          <w:tcPr>
            <w:tcW w:w="690"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1474"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眼科电子数据采集模块</w:t>
            </w:r>
          </w:p>
        </w:tc>
        <w:tc>
          <w:tcPr>
            <w:tcW w:w="283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对于相应眼科检查，深入对原始数据进行提取，得到数值型的元数据，为后续数据引用和数据挖掘提供数据检索、统计分析等使用。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90"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1474"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接口定制开发</w:t>
            </w:r>
          </w:p>
        </w:tc>
        <w:tc>
          <w:tcPr>
            <w:tcW w:w="283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对接</w:t>
            </w:r>
            <w:r>
              <w:rPr>
                <w:rFonts w:hint="eastAsia" w:ascii="宋体" w:hAnsi="宋体" w:eastAsia="宋体" w:cs="宋体"/>
                <w:i w:val="0"/>
                <w:iCs w:val="0"/>
                <w:color w:val="000000"/>
                <w:kern w:val="0"/>
                <w:sz w:val="24"/>
                <w:szCs w:val="24"/>
                <w:u w:val="none"/>
                <w:lang w:val="en-US" w:eastAsia="zh-CN" w:bidi="ar"/>
              </w:rPr>
              <w:t>HIS\EMR\集成平台等第三方系统软件接口的工作。</w:t>
            </w:r>
          </w:p>
        </w:tc>
      </w:tr>
    </w:tbl>
    <w:p>
      <w:pPr>
        <w:pStyle w:val="3"/>
        <w:rPr>
          <w:sz w:val="32"/>
          <w:szCs w:val="32"/>
        </w:rPr>
      </w:pPr>
    </w:p>
    <w:p>
      <w:pPr>
        <w:pStyle w:val="4"/>
      </w:pPr>
    </w:p>
    <w:p>
      <w:pPr>
        <w:pStyle w:val="5"/>
        <w:numPr>
          <w:ilvl w:val="0"/>
          <w:numId w:val="3"/>
        </w:numPr>
        <w:spacing w:before="0" w:after="0"/>
        <w:rPr>
          <w:rFonts w:ascii="宋体" w:hAnsi="宋体"/>
          <w:sz w:val="21"/>
          <w:szCs w:val="21"/>
        </w:rPr>
      </w:pPr>
      <w:r>
        <w:rPr>
          <w:rFonts w:hint="eastAsia" w:ascii="宋体" w:hAnsi="宋体"/>
          <w:sz w:val="32"/>
          <w:szCs w:val="32"/>
        </w:rPr>
        <w:t>项目工期</w:t>
      </w:r>
    </w:p>
    <w:p>
      <w:pPr>
        <w:numPr>
          <w:ilvl w:val="0"/>
          <w:numId w:val="7"/>
        </w:numPr>
        <w:tabs>
          <w:tab w:val="left" w:pos="420"/>
          <w:tab w:val="left" w:pos="780"/>
        </w:tabs>
        <w:spacing w:before="156" w:beforeLines="50" w:line="360" w:lineRule="auto"/>
        <w:outlineLvl w:val="0"/>
        <w:rPr>
          <w:rFonts w:hint="eastAsia" w:ascii="宋体" w:hAnsi="宋体" w:cs="宋体"/>
          <w:sz w:val="24"/>
          <w:szCs w:val="24"/>
        </w:rPr>
      </w:pPr>
      <w:r>
        <w:rPr>
          <w:rFonts w:hint="eastAsia" w:ascii="宋体" w:hAnsi="宋体" w:cs="宋体"/>
          <w:sz w:val="24"/>
          <w:szCs w:val="24"/>
        </w:rPr>
        <w:t>自合同签订日起，须在</w:t>
      </w:r>
      <w:r>
        <w:rPr>
          <w:rFonts w:hint="eastAsia" w:ascii="宋体" w:hAnsi="宋体" w:cs="宋体"/>
          <w:sz w:val="24"/>
          <w:szCs w:val="24"/>
          <w:u w:val="single"/>
          <w:lang w:val="en-US" w:eastAsia="zh-CN"/>
        </w:rPr>
        <w:t>30</w:t>
      </w:r>
      <w:r>
        <w:rPr>
          <w:rFonts w:hint="eastAsia" w:ascii="宋体" w:hAnsi="宋体" w:cs="宋体"/>
          <w:sz w:val="24"/>
          <w:szCs w:val="24"/>
        </w:rPr>
        <w:t>个工作日内对《用户需求说明书》进行补充、确认或提出意见。</w:t>
      </w:r>
    </w:p>
    <w:p>
      <w:pPr>
        <w:numPr>
          <w:ilvl w:val="0"/>
          <w:numId w:val="7"/>
        </w:numPr>
        <w:tabs>
          <w:tab w:val="left" w:pos="780"/>
        </w:tabs>
        <w:spacing w:before="156" w:beforeLines="50" w:line="360" w:lineRule="auto"/>
        <w:outlineLvl w:val="0"/>
        <w:rPr>
          <w:rFonts w:hint="eastAsia" w:ascii="宋体" w:hAnsi="宋体" w:cs="宋体"/>
          <w:sz w:val="24"/>
          <w:szCs w:val="24"/>
        </w:rPr>
      </w:pPr>
      <w:r>
        <w:rPr>
          <w:rFonts w:hint="eastAsia" w:ascii="宋体" w:hAnsi="宋体" w:cs="宋体"/>
          <w:sz w:val="24"/>
          <w:szCs w:val="24"/>
        </w:rPr>
        <w:t>对《用户需求说明书》提出意见后，院方组织进行用户需求调研，根据调研情况提供业务调研记录、现况分析、功能设计及说明，双方共同整理并在</w:t>
      </w:r>
      <w:r>
        <w:rPr>
          <w:rFonts w:hint="eastAsia" w:ascii="宋体" w:hAnsi="宋体" w:cs="宋体"/>
          <w:sz w:val="24"/>
          <w:szCs w:val="24"/>
          <w:u w:val="single"/>
          <w:lang w:val="en-US" w:eastAsia="zh-CN"/>
        </w:rPr>
        <w:t>15</w:t>
      </w:r>
      <w:r>
        <w:rPr>
          <w:rFonts w:hint="eastAsia" w:ascii="宋体" w:hAnsi="宋体" w:cs="宋体"/>
          <w:sz w:val="24"/>
          <w:szCs w:val="24"/>
        </w:rPr>
        <w:t>个工作日内确认《需求规格说明书》。</w:t>
      </w:r>
    </w:p>
    <w:p>
      <w:pPr>
        <w:numPr>
          <w:ilvl w:val="0"/>
          <w:numId w:val="7"/>
        </w:numPr>
        <w:tabs>
          <w:tab w:val="left" w:pos="780"/>
        </w:tabs>
        <w:spacing w:before="156" w:beforeLines="50" w:line="360" w:lineRule="auto"/>
        <w:outlineLvl w:val="0"/>
        <w:rPr>
          <w:rFonts w:hint="eastAsia" w:ascii="宋体" w:hAnsi="宋体" w:cs="宋体"/>
          <w:sz w:val="24"/>
          <w:szCs w:val="24"/>
        </w:rPr>
      </w:pPr>
      <w:r>
        <w:rPr>
          <w:rFonts w:hint="eastAsia" w:ascii="宋体" w:hAnsi="宋体" w:cs="宋体"/>
          <w:sz w:val="24"/>
          <w:szCs w:val="24"/>
        </w:rPr>
        <w:t>须在《需求规格说明书》确认后的</w:t>
      </w:r>
      <w:r>
        <w:rPr>
          <w:rFonts w:hint="eastAsia" w:ascii="宋体" w:hAnsi="宋体" w:cs="宋体"/>
          <w:sz w:val="24"/>
          <w:szCs w:val="24"/>
          <w:u w:val="single"/>
          <w:lang w:val="en-US" w:eastAsia="zh-CN"/>
        </w:rPr>
        <w:t>250</w:t>
      </w:r>
      <w:r>
        <w:rPr>
          <w:rFonts w:hint="eastAsia" w:ascii="宋体" w:hAnsi="宋体" w:cs="宋体"/>
          <w:sz w:val="24"/>
          <w:szCs w:val="24"/>
        </w:rPr>
        <w:t>个工作日内完成实施导入和保证系统正常工作。</w:t>
      </w:r>
    </w:p>
    <w:p>
      <w:pPr>
        <w:numPr>
          <w:ilvl w:val="0"/>
          <w:numId w:val="7"/>
        </w:numPr>
        <w:tabs>
          <w:tab w:val="left" w:pos="780"/>
        </w:tabs>
        <w:spacing w:before="156" w:beforeLines="50" w:line="360" w:lineRule="auto"/>
        <w:outlineLvl w:val="0"/>
        <w:rPr>
          <w:rFonts w:hint="eastAsia" w:ascii="宋体" w:hAnsi="宋体" w:cs="宋体"/>
          <w:sz w:val="24"/>
          <w:szCs w:val="24"/>
        </w:rPr>
      </w:pPr>
      <w:r>
        <w:rPr>
          <w:rFonts w:hint="eastAsia" w:ascii="宋体" w:hAnsi="宋体" w:cs="宋体"/>
          <w:sz w:val="24"/>
          <w:szCs w:val="24"/>
        </w:rPr>
        <w:t>完成软件实施，并根据院方提出的新需求完成修改后，系统运行</w:t>
      </w:r>
      <w:r>
        <w:rPr>
          <w:rFonts w:hint="eastAsia" w:ascii="宋体" w:hAnsi="宋体" w:cs="宋体"/>
          <w:sz w:val="24"/>
          <w:szCs w:val="24"/>
          <w:lang w:val="en-US" w:eastAsia="zh-CN"/>
        </w:rPr>
        <w:t>3</w:t>
      </w:r>
      <w:r>
        <w:rPr>
          <w:rFonts w:hint="eastAsia" w:ascii="宋体" w:hAnsi="宋体" w:cs="宋体"/>
          <w:sz w:val="24"/>
          <w:szCs w:val="24"/>
        </w:rPr>
        <w:t>个月以上无软件故障出现，则向院方申请验收。</w:t>
      </w:r>
    </w:p>
    <w:p>
      <w:pPr>
        <w:rPr>
          <w:lang w:val="zh-CN" w:eastAsia="zh-CN"/>
        </w:rPr>
      </w:pPr>
    </w:p>
    <w:p>
      <w:pPr>
        <w:pStyle w:val="5"/>
        <w:numPr>
          <w:ilvl w:val="0"/>
          <w:numId w:val="3"/>
        </w:numPr>
        <w:spacing w:before="0" w:after="0"/>
        <w:rPr>
          <w:rFonts w:ascii="宋体" w:hAnsi="宋体"/>
          <w:color w:val="FF0000"/>
          <w:sz w:val="32"/>
          <w:szCs w:val="32"/>
        </w:rPr>
      </w:pPr>
      <w:r>
        <w:rPr>
          <w:rFonts w:hint="eastAsia" w:ascii="宋体" w:hAnsi="宋体"/>
          <w:sz w:val="32"/>
          <w:szCs w:val="32"/>
        </w:rPr>
        <w:t>集成技术及实施</w:t>
      </w:r>
      <w:r>
        <w:rPr>
          <w:rFonts w:ascii="宋体" w:hAnsi="宋体"/>
          <w:sz w:val="32"/>
          <w:szCs w:val="32"/>
        </w:rPr>
        <w:t>服务要求</w:t>
      </w:r>
    </w:p>
    <w:p>
      <w:pPr>
        <w:tabs>
          <w:tab w:val="left" w:pos="780"/>
        </w:tabs>
        <w:spacing w:before="156" w:beforeLines="50" w:line="360" w:lineRule="auto"/>
        <w:ind w:firstLine="480" w:firstLineChars="200"/>
        <w:outlineLvl w:val="0"/>
        <w:rPr>
          <w:rFonts w:ascii="宋体" w:hAnsi="宋体" w:cs="宋体"/>
          <w:sz w:val="24"/>
          <w:szCs w:val="24"/>
        </w:rPr>
      </w:pPr>
      <w:r>
        <w:rPr>
          <w:rFonts w:hint="eastAsia" w:ascii="宋体" w:hAnsi="宋体" w:cs="宋体"/>
          <w:sz w:val="24"/>
          <w:szCs w:val="24"/>
        </w:rPr>
        <w:t>项目实施</w:t>
      </w:r>
      <w:r>
        <w:rPr>
          <w:rFonts w:ascii="宋体" w:hAnsi="宋体" w:cs="宋体"/>
          <w:sz w:val="24"/>
          <w:szCs w:val="24"/>
        </w:rPr>
        <w:t>期</w:t>
      </w:r>
      <w:r>
        <w:rPr>
          <w:rFonts w:hint="eastAsia" w:ascii="宋体" w:hAnsi="宋体" w:cs="宋体"/>
          <w:sz w:val="24"/>
          <w:szCs w:val="24"/>
        </w:rPr>
        <w:t>内承建商提供专职工程师</w:t>
      </w:r>
      <w:r>
        <w:rPr>
          <w:rFonts w:ascii="宋体" w:hAnsi="宋体" w:cs="宋体"/>
          <w:sz w:val="24"/>
          <w:szCs w:val="24"/>
          <w:u w:val="single"/>
        </w:rPr>
        <w:t xml:space="preserve"> </w:t>
      </w:r>
      <w:r>
        <w:rPr>
          <w:rFonts w:hint="eastAsia" w:ascii="宋体" w:hAnsi="宋体" w:cs="宋体"/>
          <w:sz w:val="24"/>
          <w:szCs w:val="24"/>
          <w:u w:val="single"/>
          <w:lang w:val="en-US" w:eastAsia="zh-CN"/>
        </w:rPr>
        <w:t>1</w:t>
      </w:r>
      <w:r>
        <w:rPr>
          <w:rFonts w:ascii="宋体" w:hAnsi="宋体" w:cs="宋体"/>
          <w:sz w:val="24"/>
          <w:szCs w:val="24"/>
          <w:u w:val="single"/>
        </w:rPr>
        <w:t xml:space="preserve"> </w:t>
      </w:r>
      <w:r>
        <w:rPr>
          <w:rFonts w:hint="eastAsia" w:ascii="宋体" w:hAnsi="宋体" w:cs="宋体"/>
          <w:sz w:val="24"/>
          <w:szCs w:val="24"/>
        </w:rPr>
        <w:t>名驻扎本院，工作时间与院方工作时间一致，并且提供7*24小时响应服务。</w:t>
      </w:r>
    </w:p>
    <w:p>
      <w:pPr>
        <w:tabs>
          <w:tab w:val="left" w:pos="780"/>
        </w:tabs>
        <w:spacing w:before="156" w:beforeLines="50" w:line="360" w:lineRule="auto"/>
        <w:ind w:firstLine="480" w:firstLineChars="200"/>
        <w:outlineLvl w:val="0"/>
        <w:rPr>
          <w:rFonts w:ascii="宋体" w:hAnsi="宋体" w:cs="宋体"/>
          <w:sz w:val="24"/>
          <w:szCs w:val="24"/>
        </w:rPr>
      </w:pPr>
      <w:r>
        <w:rPr>
          <w:rFonts w:hint="eastAsia" w:ascii="宋体" w:hAnsi="宋体" w:cs="宋体"/>
          <w:sz w:val="24"/>
          <w:szCs w:val="24"/>
        </w:rPr>
        <w:t>在项目实施前，结合院方项目需求，根据《网络安全等级保护制度》自评等保级别。需向医院提交设计方案进行安全评审，保证安全技术措施同步规划，系统建设根据信息系统安全等级保护要求进行建设。</w:t>
      </w:r>
    </w:p>
    <w:p>
      <w:pPr>
        <w:tabs>
          <w:tab w:val="left" w:pos="780"/>
        </w:tabs>
        <w:spacing w:before="156" w:beforeLines="50" w:line="360" w:lineRule="auto"/>
        <w:ind w:firstLine="480" w:firstLineChars="200"/>
        <w:outlineLvl w:val="0"/>
        <w:rPr>
          <w:rFonts w:ascii="宋体" w:hAnsi="宋体" w:cs="宋体"/>
          <w:sz w:val="24"/>
          <w:szCs w:val="24"/>
        </w:rPr>
      </w:pPr>
      <w:r>
        <w:rPr>
          <w:rFonts w:hint="eastAsia" w:ascii="宋体" w:hAnsi="宋体" w:cs="宋体"/>
          <w:sz w:val="24"/>
          <w:szCs w:val="24"/>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pPr>
        <w:tabs>
          <w:tab w:val="left" w:pos="780"/>
        </w:tabs>
        <w:spacing w:before="156" w:beforeLines="50" w:line="360" w:lineRule="auto"/>
        <w:ind w:firstLine="480" w:firstLineChars="200"/>
        <w:outlineLvl w:val="0"/>
        <w:rPr>
          <w:rFonts w:ascii="宋体" w:hAnsi="宋体" w:cs="宋体"/>
          <w:sz w:val="24"/>
          <w:szCs w:val="24"/>
        </w:rPr>
      </w:pPr>
      <w:r>
        <w:rPr>
          <w:rFonts w:hint="eastAsia" w:ascii="宋体" w:hAnsi="宋体" w:cs="宋体"/>
          <w:sz w:val="24"/>
          <w:szCs w:val="24"/>
        </w:rPr>
        <w:t>项目承建商需根据院方的详细需求，提交项目系统的安装、调试及培训实施方案，方案得到院方确认后实施，保证系统按时、正常地投入运行。</w:t>
      </w:r>
    </w:p>
    <w:p>
      <w:pPr>
        <w:tabs>
          <w:tab w:val="left" w:pos="780"/>
        </w:tabs>
        <w:spacing w:before="156" w:beforeLines="50" w:line="360" w:lineRule="auto"/>
        <w:ind w:firstLine="480" w:firstLineChars="200"/>
        <w:outlineLvl w:val="0"/>
        <w:rPr>
          <w:rFonts w:hint="eastAsia" w:ascii="宋体" w:hAnsi="宋体" w:cs="宋体"/>
          <w:sz w:val="24"/>
          <w:szCs w:val="24"/>
        </w:rPr>
      </w:pPr>
      <w:r>
        <w:rPr>
          <w:rFonts w:hint="eastAsia" w:ascii="宋体" w:hAnsi="宋体" w:cs="宋体"/>
          <w:sz w:val="24"/>
          <w:szCs w:val="24"/>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pPr>
        <w:tabs>
          <w:tab w:val="left" w:pos="780"/>
        </w:tabs>
        <w:spacing w:before="156" w:beforeLines="50" w:line="360" w:lineRule="auto"/>
        <w:ind w:firstLine="480" w:firstLineChars="200"/>
        <w:outlineLvl w:val="0"/>
        <w:rPr>
          <w:rFonts w:hint="eastAsia" w:ascii="宋体" w:hAnsi="宋体" w:cs="宋体"/>
          <w:sz w:val="24"/>
          <w:szCs w:val="24"/>
        </w:rPr>
      </w:pPr>
      <w:r>
        <w:rPr>
          <w:rFonts w:hint="eastAsia" w:ascii="宋体" w:hAnsi="宋体" w:cs="宋体"/>
          <w:sz w:val="24"/>
          <w:szCs w:val="24"/>
        </w:rPr>
        <w:t>验收由承建商给出具体的验收计划、测试的内容和方法，经院方审核通过后，方可进行验收测试。</w:t>
      </w:r>
    </w:p>
    <w:p>
      <w:pPr>
        <w:rPr>
          <w:rFonts w:hint="eastAsia"/>
          <w:lang w:eastAsia="zh-CN"/>
        </w:rPr>
      </w:pPr>
    </w:p>
    <w:p>
      <w:pPr>
        <w:pStyle w:val="5"/>
        <w:numPr>
          <w:ilvl w:val="0"/>
          <w:numId w:val="3"/>
        </w:numPr>
        <w:spacing w:before="0" w:after="0"/>
        <w:rPr>
          <w:rFonts w:ascii="宋体" w:hAnsi="宋体"/>
          <w:color w:val="FF0000"/>
          <w:sz w:val="32"/>
          <w:szCs w:val="32"/>
        </w:rPr>
      </w:pPr>
      <w:r>
        <w:rPr>
          <w:rFonts w:hint="eastAsia" w:ascii="宋体" w:hAnsi="宋体"/>
          <w:sz w:val="32"/>
          <w:szCs w:val="32"/>
        </w:rPr>
        <w:t>后续维护服务</w:t>
      </w:r>
    </w:p>
    <w:p>
      <w:pPr>
        <w:tabs>
          <w:tab w:val="left" w:pos="780"/>
        </w:tabs>
        <w:spacing w:before="156" w:beforeLines="50" w:line="360" w:lineRule="auto"/>
        <w:ind w:firstLine="480" w:firstLineChars="200"/>
        <w:outlineLvl w:val="0"/>
        <w:rPr>
          <w:rFonts w:ascii="宋体" w:hAnsi="宋体" w:cs="宋体"/>
          <w:sz w:val="24"/>
          <w:szCs w:val="24"/>
        </w:rPr>
      </w:pPr>
      <w:r>
        <w:rPr>
          <w:rFonts w:hint="eastAsia" w:ascii="宋体" w:hAnsi="宋体" w:cs="宋体"/>
          <w:sz w:val="24"/>
          <w:szCs w:val="24"/>
        </w:rPr>
        <w:t>软件免费维护期从合同标的验收合格之日算起，期限为</w:t>
      </w:r>
      <w:r>
        <w:rPr>
          <w:rFonts w:hint="eastAsia" w:ascii="宋体" w:hAnsi="宋体" w:cs="宋体"/>
          <w:sz w:val="24"/>
          <w:szCs w:val="24"/>
          <w:u w:val="single"/>
          <w:lang w:val="en-US" w:eastAsia="zh-CN"/>
        </w:rPr>
        <w:t>24</w:t>
      </w:r>
      <w:r>
        <w:rPr>
          <w:rFonts w:hint="eastAsia" w:ascii="宋体" w:hAnsi="宋体" w:cs="宋体"/>
          <w:sz w:val="24"/>
          <w:szCs w:val="24"/>
        </w:rPr>
        <w:t>个月。在免费维护期内，承建商提供技术支持和指导，以及软件的局部改进完善以及故障情况下的现场问题解决。</w:t>
      </w:r>
    </w:p>
    <w:p>
      <w:pPr>
        <w:tabs>
          <w:tab w:val="left" w:pos="780"/>
        </w:tabs>
        <w:spacing w:before="156" w:beforeLines="50" w:line="360" w:lineRule="auto"/>
        <w:ind w:firstLine="480" w:firstLineChars="200"/>
        <w:outlineLvl w:val="0"/>
        <w:rPr>
          <w:rFonts w:hint="eastAsia" w:ascii="宋体" w:hAnsi="宋体" w:cs="宋体"/>
          <w:sz w:val="24"/>
          <w:szCs w:val="24"/>
        </w:rPr>
      </w:pPr>
      <w:r>
        <w:rPr>
          <w:rFonts w:hint="eastAsia" w:ascii="宋体" w:hAnsi="宋体" w:cs="宋体"/>
          <w:sz w:val="24"/>
          <w:szCs w:val="24"/>
        </w:rPr>
        <w:t>免费维保期内承建商为院方提供维护及服务的部门及固定的专职技术人员。承建商提供专职工程师</w:t>
      </w:r>
      <w:r>
        <w:rPr>
          <w:rFonts w:ascii="宋体" w:hAnsi="宋体" w:cs="宋体"/>
          <w:sz w:val="24"/>
          <w:szCs w:val="24"/>
          <w:u w:val="single"/>
        </w:rPr>
        <w:t xml:space="preserve"> </w:t>
      </w:r>
      <w:r>
        <w:rPr>
          <w:rFonts w:hint="eastAsia" w:ascii="宋体" w:hAnsi="宋体" w:cs="宋体"/>
          <w:sz w:val="24"/>
          <w:szCs w:val="24"/>
          <w:u w:val="single"/>
          <w:lang w:val="en-US" w:eastAsia="zh-CN"/>
        </w:rPr>
        <w:t>1</w:t>
      </w:r>
      <w:r>
        <w:rPr>
          <w:rFonts w:ascii="宋体" w:hAnsi="宋体" w:cs="宋体"/>
          <w:sz w:val="24"/>
          <w:szCs w:val="24"/>
          <w:u w:val="single"/>
        </w:rPr>
        <w:t xml:space="preserve"> </w:t>
      </w:r>
      <w:r>
        <w:rPr>
          <w:rFonts w:hint="eastAsia" w:ascii="宋体" w:hAnsi="宋体" w:cs="宋体"/>
          <w:sz w:val="24"/>
          <w:szCs w:val="24"/>
        </w:rPr>
        <w:t>名驻扎本院，工作时间与院方工作时间一致，并且提供7*24小时响应服务。</w:t>
      </w:r>
    </w:p>
    <w:p>
      <w:pPr>
        <w:tabs>
          <w:tab w:val="left" w:pos="780"/>
        </w:tabs>
        <w:spacing w:before="156" w:beforeLines="50" w:line="360" w:lineRule="auto"/>
        <w:ind w:firstLine="480" w:firstLineChars="200"/>
        <w:outlineLvl w:val="0"/>
        <w:rPr>
          <w:rFonts w:ascii="宋体" w:hAnsi="宋体" w:cs="宋体"/>
          <w:sz w:val="24"/>
          <w:szCs w:val="24"/>
        </w:rPr>
      </w:pPr>
      <w:r>
        <w:rPr>
          <w:rFonts w:hint="eastAsia" w:ascii="宋体" w:hAnsi="宋体" w:cs="宋体"/>
          <w:sz w:val="24"/>
          <w:szCs w:val="24"/>
        </w:rPr>
        <w:t>在免费维护期结束前，须由承建商和院方进行一次全面检查，任何缺陷必须由承建商负责修复，在修复之后，承建商应将缺陷原因、修复内容、完成修理及恢复正常的时间和日期等报告给院方，形成项目总结报告。</w:t>
      </w:r>
    </w:p>
    <w:p>
      <w:pPr>
        <w:tabs>
          <w:tab w:val="left" w:pos="780"/>
        </w:tabs>
        <w:spacing w:before="156" w:beforeLines="50" w:line="360" w:lineRule="auto"/>
        <w:ind w:firstLine="480" w:firstLineChars="200"/>
        <w:outlineLvl w:val="0"/>
        <w:rPr>
          <w:rFonts w:ascii="宋体" w:hAnsi="宋体" w:cs="宋体"/>
          <w:sz w:val="24"/>
          <w:szCs w:val="24"/>
        </w:rPr>
      </w:pPr>
      <w:r>
        <w:rPr>
          <w:rFonts w:hint="eastAsia" w:ascii="宋体" w:hAnsi="宋体" w:cs="宋体"/>
          <w:sz w:val="24"/>
          <w:szCs w:val="24"/>
        </w:rPr>
        <w:t>超过免费维护期的，双方另行协商签订维护合同，服务方报价不超过合同软件部分金额的8%。</w:t>
      </w:r>
    </w:p>
    <w:p>
      <w:pPr>
        <w:pStyle w:val="5"/>
        <w:numPr>
          <w:ilvl w:val="0"/>
          <w:numId w:val="3"/>
        </w:numPr>
        <w:spacing w:before="0" w:after="0"/>
        <w:rPr>
          <w:rFonts w:ascii="宋体" w:hAnsi="宋体"/>
          <w:color w:val="FF0000"/>
          <w:sz w:val="32"/>
          <w:szCs w:val="32"/>
        </w:rPr>
      </w:pPr>
      <w:r>
        <w:rPr>
          <w:rFonts w:hint="eastAsia" w:ascii="宋体" w:hAnsi="宋体"/>
          <w:sz w:val="32"/>
          <w:szCs w:val="32"/>
        </w:rPr>
        <w:t>合同款支付方式</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(一)合同签订后，在收到承建商开具相应金额正式发票后，支付合同总金额的30%。</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(二)软件验收通过后，在收到承建商开具相应金额正式发票后，支付合同总金额的65%。</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(三)免费维护期结束后，由院方对承建商在服务期内应完成任务进行确认并通过后1个月内，支付最后一笔尾款。</w:t>
      </w:r>
    </w:p>
    <w:p>
      <w:pPr>
        <w:tabs>
          <w:tab w:val="left" w:pos="780"/>
        </w:tabs>
        <w:spacing w:before="156" w:beforeLines="50" w:line="360" w:lineRule="auto"/>
        <w:ind w:firstLine="904" w:firstLineChars="300"/>
        <w:outlineLvl w:val="0"/>
        <w:rPr>
          <w:rFonts w:hint="eastAsia" w:ascii="宋体" w:hAnsi="宋体" w:cs="宋体"/>
          <w:b/>
          <w:color w:val="FF0000"/>
          <w:sz w:val="30"/>
          <w:szCs w:val="30"/>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eastAsia="zh-CN"/>
      </w:rPr>
      <w:t>1</w:t>
    </w:r>
    <w:r>
      <w:rPr>
        <w:caps/>
        <w:color w:val="5B9BD5"/>
      </w:rPr>
      <w:fldChar w:fldCharType="end"/>
    </w:r>
  </w:p>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661DA0"/>
    <w:multiLevelType w:val="singleLevel"/>
    <w:tmpl w:val="F5661DA0"/>
    <w:lvl w:ilvl="0" w:tentative="0">
      <w:start w:val="1"/>
      <w:numFmt w:val="decimal"/>
      <w:suff w:val="nothing"/>
      <w:lvlText w:val="%1、"/>
      <w:lvlJc w:val="left"/>
    </w:lvl>
  </w:abstractNum>
  <w:abstractNum w:abstractNumId="1">
    <w:nsid w:val="04BAD5B0"/>
    <w:multiLevelType w:val="singleLevel"/>
    <w:tmpl w:val="04BAD5B0"/>
    <w:lvl w:ilvl="0" w:tentative="0">
      <w:start w:val="1"/>
      <w:numFmt w:val="bullet"/>
      <w:lvlText w:val=""/>
      <w:lvlJc w:val="left"/>
      <w:pPr>
        <w:ind w:left="420" w:hanging="420"/>
      </w:pPr>
      <w:rPr>
        <w:rFonts w:hint="default" w:ascii="Wingdings" w:hAnsi="Wingdings"/>
      </w:rPr>
    </w:lvl>
  </w:abstractNum>
  <w:abstractNum w:abstractNumId="2">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9015205"/>
    <w:multiLevelType w:val="multilevel"/>
    <w:tmpl w:val="29015205"/>
    <w:lvl w:ilvl="0" w:tentative="0">
      <w:start w:val="1"/>
      <w:numFmt w:val="decimal"/>
      <w:pStyle w:val="5"/>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8"/>
      <w:lvlText w:val="5.1.1.%4"/>
      <w:lvlJc w:val="left"/>
      <w:pPr>
        <w:ind w:left="864" w:hanging="864"/>
      </w:pPr>
      <w:rPr>
        <w:rFonts w:hint="eastAsia"/>
      </w:rPr>
    </w:lvl>
    <w:lvl w:ilvl="4" w:tentative="0">
      <w:start w:val="1"/>
      <w:numFmt w:val="decimal"/>
      <w:pStyle w:val="9"/>
      <w:lvlText w:val="5.1.1.1.%5"/>
      <w:lvlJc w:val="left"/>
      <w:pPr>
        <w:ind w:left="2142" w:hanging="1008"/>
      </w:pPr>
      <w:rPr>
        <w:rFonts w:hint="eastAsia"/>
      </w:rPr>
    </w:lvl>
    <w:lvl w:ilvl="5" w:tentative="0">
      <w:start w:val="1"/>
      <w:numFmt w:val="decimal"/>
      <w:pStyle w:val="10"/>
      <w:lvlText w:val="%1.%2.%3.%4.%5.%6"/>
      <w:lvlJc w:val="left"/>
      <w:pPr>
        <w:ind w:left="1152" w:hanging="1152"/>
      </w:pPr>
      <w:rPr>
        <w:rFonts w:hint="eastAsia"/>
      </w:rPr>
    </w:lvl>
    <w:lvl w:ilvl="6" w:tentative="0">
      <w:start w:val="1"/>
      <w:numFmt w:val="decimal"/>
      <w:pStyle w:val="11"/>
      <w:lvlText w:val="%1.%2.%3.%4.%5.%6.%7"/>
      <w:lvlJc w:val="left"/>
      <w:pPr>
        <w:ind w:left="1296" w:hanging="1296"/>
      </w:pPr>
      <w:rPr>
        <w:rFonts w:hint="eastAsia"/>
      </w:rPr>
    </w:lvl>
    <w:lvl w:ilvl="7" w:tentative="0">
      <w:start w:val="1"/>
      <w:numFmt w:val="decimal"/>
      <w:pStyle w:val="12"/>
      <w:lvlText w:val="%1.%2.%3.%4.%5.%6.%7.%8"/>
      <w:lvlJc w:val="left"/>
      <w:pPr>
        <w:ind w:left="1440" w:hanging="1440"/>
      </w:pPr>
      <w:rPr>
        <w:rFonts w:hint="eastAsia"/>
      </w:rPr>
    </w:lvl>
    <w:lvl w:ilvl="8" w:tentative="0">
      <w:start w:val="1"/>
      <w:numFmt w:val="decimal"/>
      <w:pStyle w:val="13"/>
      <w:lvlText w:val="%1.%2.%3.%4.%5.%6.%7.%8.%9"/>
      <w:lvlJc w:val="left"/>
      <w:pPr>
        <w:ind w:left="1584" w:hanging="1584"/>
      </w:pPr>
      <w:rPr>
        <w:rFonts w:hint="eastAsia"/>
      </w:rPr>
    </w:lvl>
  </w:abstractNum>
  <w:abstractNum w:abstractNumId="4">
    <w:nsid w:val="3DAE5329"/>
    <w:multiLevelType w:val="singleLevel"/>
    <w:tmpl w:val="3DAE5329"/>
    <w:lvl w:ilvl="0" w:tentative="0">
      <w:start w:val="1"/>
      <w:numFmt w:val="decimal"/>
      <w:suff w:val="nothing"/>
      <w:lvlText w:val="%1、"/>
      <w:lvlJc w:val="left"/>
    </w:lvl>
  </w:abstractNum>
  <w:abstractNum w:abstractNumId="5">
    <w:nsid w:val="3EBB3C91"/>
    <w:multiLevelType w:val="multilevel"/>
    <w:tmpl w:val="3EBB3C91"/>
    <w:lvl w:ilvl="0" w:tentative="0">
      <w:start w:val="1"/>
      <w:numFmt w:val="decimal"/>
      <w:pStyle w:val="60"/>
      <w:lvlText w:val="%1. "/>
      <w:lvlJc w:val="left"/>
      <w:pPr>
        <w:ind w:left="420" w:hanging="420"/>
      </w:pPr>
      <w:rPr>
        <w:rFonts w:hint="default" w:ascii="Times New Roman" w:hAnsi="Times New Roman" w:eastAsia="宋体"/>
        <w:b/>
        <w:i w:val="0"/>
      </w:rPr>
    </w:lvl>
    <w:lvl w:ilvl="1" w:tentative="0">
      <w:start w:val="1"/>
      <w:numFmt w:val="decimal"/>
      <w:pStyle w:val="53"/>
      <w:isLgl/>
      <w:suff w:val="space"/>
      <w:lvlText w:val="%1.%2 "/>
      <w:lvlJc w:val="left"/>
      <w:pPr>
        <w:ind w:left="3913" w:hanging="794"/>
      </w:pPr>
      <w:rPr>
        <w:rFonts w:hint="eastAsia"/>
      </w:rPr>
    </w:lvl>
    <w:lvl w:ilvl="2" w:tentative="0">
      <w:start w:val="1"/>
      <w:numFmt w:val="decimal"/>
      <w:pStyle w:val="59"/>
      <w:isLgl/>
      <w:suff w:val="space"/>
      <w:lvlText w:val="%1.%2.%3 "/>
      <w:lvlJc w:val="left"/>
      <w:pPr>
        <w:ind w:left="907" w:hanging="907"/>
      </w:pPr>
      <w:rPr>
        <w:rFonts w:hint="eastAsia"/>
      </w:rPr>
    </w:lvl>
    <w:lvl w:ilvl="3" w:tentative="0">
      <w:start w:val="1"/>
      <w:numFmt w:val="decimal"/>
      <w:pStyle w:val="58"/>
      <w:isLgl/>
      <w:suff w:val="space"/>
      <w:lvlText w:val="%1.%2.%3.%4 "/>
      <w:lvlJc w:val="left"/>
      <w:pPr>
        <w:ind w:left="1021" w:hanging="1021"/>
      </w:pPr>
      <w:rPr>
        <w:rFonts w:hint="eastAsia"/>
      </w:rPr>
    </w:lvl>
    <w:lvl w:ilvl="4" w:tentative="0">
      <w:start w:val="1"/>
      <w:numFmt w:val="decimal"/>
      <w:pStyle w:val="63"/>
      <w:isLgl/>
      <w:suff w:val="space"/>
      <w:lvlText w:val="%1.%2.%3.%4.%5 "/>
      <w:lvlJc w:val="left"/>
      <w:pPr>
        <w:ind w:left="1134" w:hanging="1134"/>
      </w:pPr>
      <w:rPr>
        <w:rFonts w:hint="eastAsia"/>
      </w:rPr>
    </w:lvl>
    <w:lvl w:ilvl="5" w:tentative="0">
      <w:start w:val="1"/>
      <w:numFmt w:val="decimal"/>
      <w:pStyle w:val="57"/>
      <w:isLgl/>
      <w:suff w:val="space"/>
      <w:lvlText w:val="%1.%2.%3.%4.%5.%6 "/>
      <w:lvlJc w:val="left"/>
      <w:pPr>
        <w:ind w:left="1247" w:hanging="1247"/>
      </w:pPr>
      <w:rPr>
        <w:rFonts w:hint="eastAsia"/>
      </w:rPr>
    </w:lvl>
    <w:lvl w:ilvl="6" w:tentative="0">
      <w:start w:val="1"/>
      <w:numFmt w:val="decimal"/>
      <w:lvlRestart w:val="1"/>
      <w:pStyle w:val="52"/>
      <w:isLgl/>
      <w:suff w:val="space"/>
      <w:lvlText w:val="图 %1.%7 "/>
      <w:lvlJc w:val="left"/>
      <w:pPr>
        <w:ind w:left="0" w:firstLine="0"/>
      </w:pPr>
      <w:rPr>
        <w:rFonts w:hint="eastAsia"/>
      </w:rPr>
    </w:lvl>
    <w:lvl w:ilvl="7" w:tentative="0">
      <w:start w:val="1"/>
      <w:numFmt w:val="decimal"/>
      <w:lvlRestart w:val="1"/>
      <w:pStyle w:val="62"/>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3"/>
  </w:num>
  <w:num w:numId="2">
    <w:abstractNumId w:val="5"/>
  </w:num>
  <w:num w:numId="3">
    <w:abstractNumId w:val="6"/>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3NWFkNzJiYTU4OGM5OTE2MjhjYzE1Y2Q3OTJkOTMifQ=="/>
  </w:docVars>
  <w:rsids>
    <w:rsidRoot w:val="00303343"/>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0F955B19"/>
    <w:rsid w:val="28EE7842"/>
    <w:rsid w:val="42200080"/>
    <w:rsid w:val="488C513A"/>
    <w:rsid w:val="55A30152"/>
    <w:rsid w:val="5AA508C1"/>
    <w:rsid w:val="62FF2387"/>
    <w:rsid w:val="68215B4D"/>
    <w:rsid w:val="7D6F6469"/>
    <w:rsid w:val="7E161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7"/>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6">
    <w:name w:val="heading 2"/>
    <w:basedOn w:val="1"/>
    <w:next w:val="1"/>
    <w:link w:val="28"/>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7">
    <w:name w:val="heading 3"/>
    <w:basedOn w:val="1"/>
    <w:next w:val="1"/>
    <w:link w:val="29"/>
    <w:qFormat/>
    <w:uiPriority w:val="0"/>
    <w:pPr>
      <w:keepNext/>
      <w:keepLines/>
      <w:spacing w:before="260" w:after="260" w:line="416" w:lineRule="auto"/>
      <w:outlineLvl w:val="2"/>
    </w:pPr>
    <w:rPr>
      <w:b/>
      <w:bCs/>
      <w:sz w:val="30"/>
      <w:szCs w:val="30"/>
      <w:lang w:val="zh-CN" w:eastAsia="zh-CN"/>
    </w:rPr>
  </w:style>
  <w:style w:type="paragraph" w:styleId="8">
    <w:name w:val="heading 4"/>
    <w:basedOn w:val="1"/>
    <w:next w:val="1"/>
    <w:link w:val="30"/>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9">
    <w:name w:val="heading 5"/>
    <w:basedOn w:val="1"/>
    <w:next w:val="1"/>
    <w:link w:val="31"/>
    <w:qFormat/>
    <w:uiPriority w:val="0"/>
    <w:pPr>
      <w:keepNext/>
      <w:keepLines/>
      <w:numPr>
        <w:ilvl w:val="4"/>
        <w:numId w:val="1"/>
      </w:numPr>
      <w:spacing w:before="280" w:after="290" w:line="376" w:lineRule="auto"/>
      <w:outlineLvl w:val="4"/>
    </w:pPr>
    <w:rPr>
      <w:b/>
      <w:bCs/>
      <w:sz w:val="28"/>
      <w:szCs w:val="28"/>
      <w:lang w:val="zh-CN" w:eastAsia="zh-CN"/>
    </w:rPr>
  </w:style>
  <w:style w:type="paragraph" w:styleId="10">
    <w:name w:val="heading 6"/>
    <w:basedOn w:val="1"/>
    <w:next w:val="1"/>
    <w:link w:val="32"/>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11">
    <w:name w:val="heading 7"/>
    <w:basedOn w:val="1"/>
    <w:next w:val="1"/>
    <w:link w:val="33"/>
    <w:qFormat/>
    <w:uiPriority w:val="0"/>
    <w:pPr>
      <w:keepNext/>
      <w:keepLines/>
      <w:numPr>
        <w:ilvl w:val="6"/>
        <w:numId w:val="1"/>
      </w:numPr>
      <w:spacing w:before="240" w:after="64" w:line="320" w:lineRule="auto"/>
      <w:outlineLvl w:val="6"/>
    </w:pPr>
    <w:rPr>
      <w:b/>
      <w:bCs/>
      <w:sz w:val="24"/>
      <w:lang w:val="zh-CN" w:eastAsia="zh-CN"/>
    </w:rPr>
  </w:style>
  <w:style w:type="paragraph" w:styleId="12">
    <w:name w:val="heading 8"/>
    <w:basedOn w:val="1"/>
    <w:next w:val="1"/>
    <w:link w:val="34"/>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3">
    <w:name w:val="heading 9"/>
    <w:basedOn w:val="1"/>
    <w:next w:val="1"/>
    <w:link w:val="35"/>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4">
    <w:name w:val="Default Paragraph Font"/>
    <w:semiHidden/>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envelope return"/>
    <w:basedOn w:val="1"/>
    <w:qFormat/>
    <w:uiPriority w:val="0"/>
    <w:pPr>
      <w:snapToGrid w:val="0"/>
    </w:pPr>
    <w:rPr>
      <w:rFonts w:ascii="Arial" w:hAnsi="Arial" w:eastAsia="宋体" w:cs="Times New Roman"/>
      <w:sz w:val="21"/>
    </w:rPr>
  </w:style>
  <w:style w:type="paragraph" w:styleId="14">
    <w:name w:val="Normal Indent"/>
    <w:basedOn w:val="1"/>
    <w:link w:val="36"/>
    <w:qFormat/>
    <w:uiPriority w:val="99"/>
    <w:pPr>
      <w:spacing w:before="120" w:beforeLines="50" w:line="360" w:lineRule="auto"/>
      <w:ind w:firstLine="512" w:firstLineChars="200"/>
    </w:pPr>
    <w:rPr>
      <w:spacing w:val="8"/>
      <w:sz w:val="24"/>
      <w:szCs w:val="20"/>
      <w:lang w:val="en-US" w:eastAsia="zh-CN"/>
    </w:rPr>
  </w:style>
  <w:style w:type="paragraph" w:styleId="15">
    <w:name w:val="annotation text"/>
    <w:basedOn w:val="1"/>
    <w:link w:val="37"/>
    <w:unhideWhenUsed/>
    <w:qFormat/>
    <w:uiPriority w:val="0"/>
    <w:pPr>
      <w:jc w:val="left"/>
    </w:pPr>
    <w:rPr>
      <w:kern w:val="0"/>
      <w:sz w:val="20"/>
      <w:lang w:val="zh-CN" w:eastAsia="zh-CN"/>
    </w:rPr>
  </w:style>
  <w:style w:type="paragraph" w:styleId="16">
    <w:name w:val="Plain Text"/>
    <w:basedOn w:val="1"/>
    <w:link w:val="38"/>
    <w:uiPriority w:val="0"/>
    <w:rPr>
      <w:rFonts w:ascii="Calibri" w:hAnsi="Courier New"/>
      <w:szCs w:val="20"/>
      <w:lang w:val="zh-CN" w:eastAsia="zh-CN"/>
    </w:rPr>
  </w:style>
  <w:style w:type="paragraph" w:styleId="17">
    <w:name w:val="Balloon Text"/>
    <w:basedOn w:val="1"/>
    <w:link w:val="39"/>
    <w:qFormat/>
    <w:uiPriority w:val="0"/>
    <w:rPr>
      <w:sz w:val="18"/>
      <w:szCs w:val="18"/>
      <w:lang w:val="zh-CN" w:eastAsia="zh-CN"/>
    </w:rPr>
  </w:style>
  <w:style w:type="paragraph" w:styleId="18">
    <w:name w:val="footer"/>
    <w:basedOn w:val="1"/>
    <w:link w:val="40"/>
    <w:uiPriority w:val="0"/>
    <w:pPr>
      <w:tabs>
        <w:tab w:val="center" w:pos="4153"/>
        <w:tab w:val="right" w:pos="8306"/>
      </w:tabs>
      <w:snapToGrid w:val="0"/>
      <w:jc w:val="left"/>
    </w:pPr>
    <w:rPr>
      <w:sz w:val="18"/>
      <w:szCs w:val="18"/>
      <w:lang w:val="zh-CN" w:eastAsia="zh-CN"/>
    </w:rPr>
  </w:style>
  <w:style w:type="paragraph" w:styleId="19">
    <w:name w:val="header"/>
    <w:basedOn w:val="1"/>
    <w:link w:val="41"/>
    <w:uiPriority w:val="0"/>
    <w:pPr>
      <w:pBdr>
        <w:bottom w:val="single" w:color="auto" w:sz="6" w:space="1"/>
      </w:pBdr>
      <w:tabs>
        <w:tab w:val="center" w:pos="4153"/>
        <w:tab w:val="right" w:pos="8306"/>
      </w:tabs>
      <w:snapToGrid w:val="0"/>
      <w:jc w:val="center"/>
    </w:pPr>
    <w:rPr>
      <w:sz w:val="18"/>
      <w:szCs w:val="18"/>
      <w:lang w:val="zh-CN" w:eastAsia="zh-CN"/>
    </w:rPr>
  </w:style>
  <w:style w:type="paragraph" w:styleId="20">
    <w:name w:val="Subtitle"/>
    <w:basedOn w:val="1"/>
    <w:next w:val="1"/>
    <w:link w:val="66"/>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3">
    <w:name w:val="Table Grid"/>
    <w:basedOn w:val="2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Hyperlink"/>
    <w:qFormat/>
    <w:uiPriority w:val="0"/>
    <w:rPr>
      <w:color w:val="0563C1"/>
      <w:u w:val="single"/>
    </w:rPr>
  </w:style>
  <w:style w:type="character" w:styleId="26">
    <w:name w:val="annotation reference"/>
    <w:unhideWhenUsed/>
    <w:qFormat/>
    <w:uiPriority w:val="99"/>
    <w:rPr>
      <w:sz w:val="21"/>
      <w:szCs w:val="21"/>
    </w:rPr>
  </w:style>
  <w:style w:type="character" w:customStyle="1" w:styleId="27">
    <w:name w:val="标题 1 Char"/>
    <w:link w:val="5"/>
    <w:uiPriority w:val="0"/>
    <w:rPr>
      <w:b/>
      <w:bCs/>
      <w:kern w:val="44"/>
      <w:sz w:val="44"/>
      <w:szCs w:val="44"/>
      <w:lang w:val="zh-CN" w:eastAsia="zh-CN"/>
    </w:rPr>
  </w:style>
  <w:style w:type="character" w:customStyle="1" w:styleId="28">
    <w:name w:val="标题 2 Char"/>
    <w:link w:val="6"/>
    <w:qFormat/>
    <w:uiPriority w:val="0"/>
    <w:rPr>
      <w:rFonts w:ascii="等线 Light" w:hAnsi="等线 Light" w:eastAsia="等线 Light" w:cs="Times New Roman"/>
      <w:b/>
      <w:bCs/>
      <w:kern w:val="2"/>
      <w:sz w:val="32"/>
      <w:szCs w:val="32"/>
    </w:rPr>
  </w:style>
  <w:style w:type="character" w:customStyle="1" w:styleId="29">
    <w:name w:val="标题 3 Char"/>
    <w:link w:val="7"/>
    <w:uiPriority w:val="0"/>
    <w:rPr>
      <w:b/>
      <w:bCs/>
      <w:kern w:val="2"/>
      <w:sz w:val="30"/>
      <w:szCs w:val="30"/>
    </w:rPr>
  </w:style>
  <w:style w:type="character" w:customStyle="1" w:styleId="30">
    <w:name w:val="标题 4 Char"/>
    <w:link w:val="8"/>
    <w:uiPriority w:val="0"/>
    <w:rPr>
      <w:rFonts w:ascii="宋体" w:hAnsi="宋体"/>
      <w:b/>
      <w:bCs/>
      <w:kern w:val="2"/>
      <w:sz w:val="28"/>
      <w:szCs w:val="28"/>
    </w:rPr>
  </w:style>
  <w:style w:type="character" w:customStyle="1" w:styleId="31">
    <w:name w:val="标题 5 Char"/>
    <w:link w:val="9"/>
    <w:qFormat/>
    <w:uiPriority w:val="0"/>
    <w:rPr>
      <w:b/>
      <w:bCs/>
      <w:kern w:val="2"/>
      <w:sz w:val="28"/>
      <w:szCs w:val="28"/>
    </w:rPr>
  </w:style>
  <w:style w:type="character" w:customStyle="1" w:styleId="32">
    <w:name w:val="标题 6 Char"/>
    <w:link w:val="10"/>
    <w:semiHidden/>
    <w:qFormat/>
    <w:uiPriority w:val="0"/>
    <w:rPr>
      <w:rFonts w:ascii="等线 Light" w:hAnsi="等线 Light" w:eastAsia="等线 Light"/>
      <w:b/>
      <w:bCs/>
      <w:kern w:val="2"/>
      <w:sz w:val="24"/>
      <w:szCs w:val="24"/>
    </w:rPr>
  </w:style>
  <w:style w:type="character" w:customStyle="1" w:styleId="33">
    <w:name w:val="标题 7 Char"/>
    <w:link w:val="11"/>
    <w:semiHidden/>
    <w:qFormat/>
    <w:uiPriority w:val="0"/>
    <w:rPr>
      <w:b/>
      <w:bCs/>
      <w:kern w:val="2"/>
      <w:sz w:val="24"/>
      <w:szCs w:val="24"/>
    </w:rPr>
  </w:style>
  <w:style w:type="character" w:customStyle="1" w:styleId="34">
    <w:name w:val="标题 8 Char"/>
    <w:link w:val="12"/>
    <w:semiHidden/>
    <w:uiPriority w:val="0"/>
    <w:rPr>
      <w:rFonts w:ascii="等线 Light" w:hAnsi="等线 Light" w:eastAsia="等线 Light"/>
      <w:kern w:val="2"/>
      <w:sz w:val="24"/>
      <w:szCs w:val="24"/>
    </w:rPr>
  </w:style>
  <w:style w:type="character" w:customStyle="1" w:styleId="35">
    <w:name w:val="标题 9 Char"/>
    <w:link w:val="13"/>
    <w:semiHidden/>
    <w:qFormat/>
    <w:uiPriority w:val="0"/>
    <w:rPr>
      <w:rFonts w:ascii="等线 Light" w:hAnsi="等线 Light" w:eastAsia="等线 Light"/>
      <w:kern w:val="2"/>
      <w:sz w:val="21"/>
      <w:szCs w:val="21"/>
    </w:rPr>
  </w:style>
  <w:style w:type="character" w:customStyle="1" w:styleId="36">
    <w:name w:val="正文缩进 Char"/>
    <w:link w:val="14"/>
    <w:qFormat/>
    <w:uiPriority w:val="99"/>
    <w:rPr>
      <w:spacing w:val="8"/>
      <w:kern w:val="2"/>
      <w:sz w:val="24"/>
      <w:lang w:val="en-US" w:eastAsia="zh-CN"/>
    </w:rPr>
  </w:style>
  <w:style w:type="character" w:customStyle="1" w:styleId="37">
    <w:name w:val="批注文字 Char"/>
    <w:link w:val="15"/>
    <w:uiPriority w:val="0"/>
    <w:rPr>
      <w:szCs w:val="24"/>
    </w:rPr>
  </w:style>
  <w:style w:type="character" w:customStyle="1" w:styleId="38">
    <w:name w:val="纯文本 Char"/>
    <w:link w:val="16"/>
    <w:uiPriority w:val="0"/>
    <w:rPr>
      <w:rFonts w:ascii="Calibri" w:hAnsi="Courier New"/>
      <w:kern w:val="2"/>
      <w:sz w:val="21"/>
    </w:rPr>
  </w:style>
  <w:style w:type="character" w:customStyle="1" w:styleId="39">
    <w:name w:val="批注框文本 Char"/>
    <w:link w:val="17"/>
    <w:uiPriority w:val="0"/>
    <w:rPr>
      <w:kern w:val="2"/>
      <w:sz w:val="18"/>
      <w:szCs w:val="18"/>
    </w:rPr>
  </w:style>
  <w:style w:type="character" w:customStyle="1" w:styleId="40">
    <w:name w:val="页脚 Char"/>
    <w:link w:val="18"/>
    <w:qFormat/>
    <w:uiPriority w:val="0"/>
    <w:rPr>
      <w:kern w:val="2"/>
      <w:sz w:val="18"/>
      <w:szCs w:val="18"/>
    </w:rPr>
  </w:style>
  <w:style w:type="character" w:customStyle="1" w:styleId="41">
    <w:name w:val="页眉 Char"/>
    <w:link w:val="19"/>
    <w:uiPriority w:val="0"/>
    <w:rPr>
      <w:kern w:val="2"/>
      <w:sz w:val="18"/>
      <w:szCs w:val="18"/>
    </w:rPr>
  </w:style>
  <w:style w:type="character" w:customStyle="1" w:styleId="42">
    <w:name w:val="已访问的超链接1"/>
    <w:uiPriority w:val="0"/>
    <w:rPr>
      <w:color w:val="800080"/>
      <w:u w:val="single"/>
    </w:rPr>
  </w:style>
  <w:style w:type="character" w:customStyle="1" w:styleId="43">
    <w:name w:val="正文（首行缩进2字符） Char"/>
    <w:link w:val="44"/>
    <w:uiPriority w:val="0"/>
    <w:rPr>
      <w:kern w:val="2"/>
      <w:sz w:val="24"/>
      <w:szCs w:val="24"/>
    </w:rPr>
  </w:style>
  <w:style w:type="paragraph" w:customStyle="1" w:styleId="44">
    <w:name w:val="正文（首行缩进2字符）"/>
    <w:basedOn w:val="1"/>
    <w:link w:val="43"/>
    <w:qFormat/>
    <w:uiPriority w:val="0"/>
    <w:pPr>
      <w:spacing w:line="360" w:lineRule="auto"/>
      <w:ind w:firstLine="480" w:firstLineChars="200"/>
    </w:pPr>
    <w:rPr>
      <w:sz w:val="24"/>
      <w:lang w:val="zh-CN" w:eastAsia="zh-CN"/>
    </w:rPr>
  </w:style>
  <w:style w:type="character" w:customStyle="1" w:styleId="45">
    <w:name w:val="段落 Char1"/>
    <w:link w:val="46"/>
    <w:qFormat/>
    <w:uiPriority w:val="0"/>
    <w:rPr>
      <w:rFonts w:eastAsia="仿宋_GB2312"/>
      <w:sz w:val="24"/>
      <w:szCs w:val="24"/>
      <w:lang w:val="en-US" w:eastAsia="zh-CN" w:bidi="ar-SA"/>
    </w:rPr>
  </w:style>
  <w:style w:type="paragraph" w:customStyle="1" w:styleId="46">
    <w:name w:val="段落"/>
    <w:link w:val="45"/>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7">
    <w:name w:val="正文（安华金和） Char"/>
    <w:link w:val="48"/>
    <w:qFormat/>
    <w:uiPriority w:val="0"/>
    <w:rPr>
      <w:rFonts w:ascii="Arial" w:hAnsi="Arial"/>
      <w:sz w:val="21"/>
      <w:szCs w:val="21"/>
      <w:lang w:val="en-US" w:eastAsia="zh-CN" w:bidi="ar-SA"/>
    </w:rPr>
  </w:style>
  <w:style w:type="paragraph" w:customStyle="1" w:styleId="48">
    <w:name w:val="正文（安华金和）"/>
    <w:link w:val="47"/>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9">
    <w:name w:val="页脚 字符"/>
    <w:qFormat/>
    <w:uiPriority w:val="99"/>
  </w:style>
  <w:style w:type="character" w:customStyle="1" w:styleId="50">
    <w:name w:val="列出段落 Char"/>
    <w:link w:val="51"/>
    <w:qFormat/>
    <w:uiPriority w:val="34"/>
    <w:rPr>
      <w:rFonts w:ascii="等线" w:hAnsi="等线" w:eastAsia="等线"/>
      <w:kern w:val="2"/>
      <w:sz w:val="21"/>
      <w:szCs w:val="22"/>
    </w:rPr>
  </w:style>
  <w:style w:type="paragraph" w:styleId="51">
    <w:name w:val="List Paragraph"/>
    <w:basedOn w:val="1"/>
    <w:link w:val="50"/>
    <w:qFormat/>
    <w:uiPriority w:val="34"/>
    <w:pPr>
      <w:ind w:firstLine="420" w:firstLineChars="200"/>
    </w:pPr>
    <w:rPr>
      <w:rFonts w:ascii="等线" w:hAnsi="等线" w:eastAsia="等线"/>
      <w:szCs w:val="22"/>
      <w:lang w:val="zh-CN" w:eastAsia="zh-CN"/>
    </w:rPr>
  </w:style>
  <w:style w:type="paragraph" w:customStyle="1" w:styleId="52">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3">
    <w:name w:val="标题 2（DBSec）"/>
    <w:basedOn w:val="6"/>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4">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5">
    <w:name w:val="_Style 27"/>
    <w:basedOn w:val="1"/>
    <w:next w:val="51"/>
    <w:qFormat/>
    <w:uiPriority w:val="34"/>
    <w:pPr>
      <w:widowControl/>
      <w:spacing w:line="240" w:lineRule="atLeast"/>
      <w:ind w:firstLine="420" w:firstLineChars="200"/>
    </w:pPr>
    <w:rPr>
      <w:rFonts w:ascii="Arial" w:hAnsi="Arial"/>
      <w:kern w:val="0"/>
      <w:szCs w:val="21"/>
    </w:rPr>
  </w:style>
  <w:style w:type="paragraph" w:customStyle="1" w:styleId="56">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7">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8">
    <w:name w:val="标题 4（DBSec）"/>
    <w:basedOn w:val="8"/>
    <w:next w:val="1"/>
    <w:qFormat/>
    <w:uiPriority w:val="0"/>
    <w:pPr>
      <w:widowControl/>
      <w:numPr>
        <w:numId w:val="2"/>
      </w:numPr>
      <w:spacing w:after="156"/>
      <w:ind w:leftChars="200"/>
      <w:jc w:val="left"/>
    </w:pPr>
    <w:rPr>
      <w:rFonts w:ascii="Arial" w:hAnsi="Arial" w:eastAsia="黑体"/>
      <w:bCs w:val="0"/>
      <w:kern w:val="0"/>
    </w:rPr>
  </w:style>
  <w:style w:type="paragraph" w:customStyle="1" w:styleId="59">
    <w:name w:val="标题 3（DBSec）"/>
    <w:basedOn w:val="7"/>
    <w:next w:val="1"/>
    <w:qFormat/>
    <w:uiPriority w:val="0"/>
    <w:pPr>
      <w:numPr>
        <w:ilvl w:val="2"/>
        <w:numId w:val="2"/>
      </w:numPr>
      <w:tabs>
        <w:tab w:val="left" w:pos="960"/>
      </w:tabs>
      <w:spacing w:line="415" w:lineRule="auto"/>
      <w:ind w:leftChars="200"/>
      <w:jc w:val="left"/>
    </w:pPr>
    <w:rPr>
      <w:rFonts w:ascii="Arial" w:hAnsi="Arial" w:eastAsia="黑体"/>
      <w:bCs w:val="0"/>
      <w:kern w:val="0"/>
    </w:rPr>
  </w:style>
  <w:style w:type="paragraph" w:customStyle="1" w:styleId="60">
    <w:name w:val="标题 1（DBSec）"/>
    <w:basedOn w:val="5"/>
    <w:next w:val="1"/>
    <w:qFormat/>
    <w:uiPriority w:val="0"/>
    <w:pPr>
      <w:pageBreakBefore/>
      <w:numPr>
        <w:numId w:val="2"/>
      </w:numPr>
      <w:pBdr>
        <w:bottom w:val="single" w:color="auto" w:sz="48" w:space="1"/>
      </w:pBdr>
      <w:spacing w:before="600" w:line="576" w:lineRule="auto"/>
      <w:ind w:leftChars="200"/>
      <w:jc w:val="left"/>
    </w:pPr>
    <w:rPr>
      <w:rFonts w:ascii="Arial" w:hAnsi="Arial" w:eastAsia="黑体"/>
      <w:lang w:val="en-US" w:eastAsia="zh-CN"/>
    </w:rPr>
  </w:style>
  <w:style w:type="paragraph" w:customStyle="1" w:styleId="61">
    <w:name w:val="彩色列表 - 着色 11"/>
    <w:basedOn w:val="1"/>
    <w:qFormat/>
    <w:uiPriority w:val="34"/>
    <w:pPr>
      <w:spacing w:line="360" w:lineRule="auto"/>
      <w:ind w:firstLine="420" w:firstLineChars="200"/>
    </w:pPr>
    <w:rPr>
      <w:rFonts w:ascii="Arial" w:hAnsi="Arial"/>
      <w:szCs w:val="21"/>
    </w:rPr>
  </w:style>
  <w:style w:type="paragraph" w:customStyle="1" w:styleId="62">
    <w:name w:val="表格标注（安华金和）"/>
    <w:basedOn w:val="52"/>
    <w:next w:val="1"/>
    <w:qFormat/>
    <w:uiPriority w:val="0"/>
    <w:pPr>
      <w:numPr>
        <w:ilvl w:val="7"/>
      </w:numPr>
    </w:pPr>
  </w:style>
  <w:style w:type="paragraph" w:customStyle="1" w:styleId="63">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4">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5">
    <w:name w:val="批注文字 字符"/>
    <w:qFormat/>
    <w:uiPriority w:val="99"/>
    <w:rPr>
      <w:kern w:val="2"/>
      <w:sz w:val="21"/>
      <w:szCs w:val="24"/>
    </w:rPr>
  </w:style>
  <w:style w:type="character" w:customStyle="1" w:styleId="66">
    <w:name w:val="副标题 字符"/>
    <w:link w:val="20"/>
    <w:qFormat/>
    <w:uiPriority w:val="0"/>
    <w:rPr>
      <w:rFonts w:ascii="Cambria" w:hAnsi="Cambria"/>
      <w:b/>
      <w:bCs/>
      <w:kern w:val="28"/>
      <w:sz w:val="32"/>
      <w:szCs w:val="32"/>
      <w:lang w:eastAsia="en-US"/>
    </w:rPr>
  </w:style>
  <w:style w:type="character" w:customStyle="1" w:styleId="67">
    <w:name w:val="font31"/>
    <w:basedOn w:val="24"/>
    <w:qFormat/>
    <w:uiPriority w:val="0"/>
    <w:rPr>
      <w:rFonts w:hint="eastAsia" w:ascii="宋体" w:hAnsi="宋体" w:eastAsia="宋体" w:cs="宋体"/>
      <w:color w:val="000000"/>
      <w:sz w:val="24"/>
      <w:szCs w:val="24"/>
      <w:u w:val="none"/>
    </w:rPr>
  </w:style>
  <w:style w:type="character" w:customStyle="1" w:styleId="68">
    <w:name w:val="font01"/>
    <w:basedOn w:val="24"/>
    <w:qFormat/>
    <w:uiPriority w:val="0"/>
    <w:rPr>
      <w:rFonts w:ascii="仿宋" w:hAnsi="仿宋" w:eastAsia="仿宋" w:cs="仿宋"/>
      <w:color w:val="000000"/>
      <w:sz w:val="28"/>
      <w:szCs w:val="28"/>
      <w:u w:val="none"/>
    </w:rPr>
  </w:style>
  <w:style w:type="character" w:customStyle="1" w:styleId="69">
    <w:name w:val="font51"/>
    <w:basedOn w:val="24"/>
    <w:uiPriority w:val="0"/>
    <w:rPr>
      <w:rFonts w:hint="eastAsia" w:ascii="宋体" w:hAnsi="宋体" w:eastAsia="宋体" w:cs="宋体"/>
      <w:color w:val="000000"/>
      <w:sz w:val="32"/>
      <w:szCs w:val="32"/>
      <w:u w:val="none"/>
    </w:rPr>
  </w:style>
  <w:style w:type="character" w:customStyle="1" w:styleId="70">
    <w:name w:val="font61"/>
    <w:basedOn w:val="24"/>
    <w:uiPriority w:val="0"/>
    <w:rPr>
      <w:rFonts w:hint="eastAsia" w:ascii="仿宋" w:hAnsi="仿宋" w:eastAsia="仿宋" w:cs="仿宋"/>
      <w:b/>
      <w:bCs/>
      <w:color w:val="000000"/>
      <w:sz w:val="28"/>
      <w:szCs w:val="28"/>
      <w:u w:val="none"/>
    </w:rPr>
  </w:style>
  <w:style w:type="character" w:customStyle="1" w:styleId="71">
    <w:name w:val="font41"/>
    <w:basedOn w:val="24"/>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11074</Words>
  <Characters>11361</Characters>
  <Lines>10</Lines>
  <Paragraphs>2</Paragraphs>
  <TotalTime>6</TotalTime>
  <ScaleCrop>false</ScaleCrop>
  <LinksUpToDate>false</LinksUpToDate>
  <CharactersWithSpaces>11934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netuser</cp:lastModifiedBy>
  <dcterms:modified xsi:type="dcterms:W3CDTF">2023-04-26T09:15:30Z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9774A19872D644F4A5979CAD534A411E_13</vt:lpwstr>
  </property>
</Properties>
</file>