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采购银联对账接口服务项目需求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项目名称：采购银联对账接口服务项目</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rPr>
                <w:rFonts w:hint="eastAsia"/>
              </w:rPr>
            </w:pPr>
            <w:r>
              <w:rPr>
                <w:rFonts w:hint="eastAsia"/>
              </w:rPr>
              <w:t>采购银联对账接口服务项目</w:t>
            </w:r>
          </w:p>
        </w:tc>
        <w:tc>
          <w:tcPr>
            <w:tcW w:w="4536" w:type="dxa"/>
          </w:tcPr>
          <w:p>
            <w:r>
              <w:fldChar w:fldCharType="begin"/>
            </w:r>
            <w:r>
              <w:instrText xml:space="preserve"> HYPERLINK \l "_6.1.1、大数据服务器" </w:instrText>
            </w:r>
            <w:r>
              <w:fldChar w:fldCharType="separate"/>
            </w:r>
            <w:r>
              <w:rPr>
                <w:rFonts w:hint="eastAsia"/>
                <w:lang w:eastAsia="zh-CN"/>
              </w:rPr>
              <w:t>需求</w:t>
            </w:r>
            <w:r>
              <w:rPr>
                <w:rStyle w:val="22"/>
                <w:rFonts w:hint="eastAsia"/>
              </w:rPr>
              <w:t>详见3</w:t>
            </w:r>
            <w:r>
              <w:rPr>
                <w:rStyle w:val="22"/>
              </w:rPr>
              <w:t>.</w:t>
            </w:r>
            <w:r>
              <w:rPr>
                <w:rStyle w:val="22"/>
                <w:rFonts w:hint="eastAsia"/>
              </w:rPr>
              <w:t>1</w:t>
            </w:r>
            <w:r>
              <w:rPr>
                <w:rStyle w:val="22"/>
                <w:rFonts w:hint="eastAsia"/>
              </w:rPr>
              <w:fldChar w:fldCharType="end"/>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2"/>
        <w:numPr>
          <w:ilvl w:val="0"/>
          <w:numId w:val="0"/>
        </w:numPr>
        <w:spacing w:line="579" w:lineRule="auto"/>
        <w:ind w:leftChars="0"/>
        <w:jc w:val="left"/>
        <w:rPr>
          <w:rFonts w:hint="eastAsia" w:ascii="宋体" w:hAnsi="宋体" w:eastAsia="宋体" w:cs="宋体"/>
          <w:color w:val="000000" w:themeColor="text1"/>
          <w:sz w:val="21"/>
          <w:szCs w:val="21"/>
          <w14:textFill>
            <w14:solidFill>
              <w14:schemeClr w14:val="tx1"/>
            </w14:solidFill>
          </w14:textFill>
        </w:rPr>
      </w:pPr>
      <w:bookmarkStart w:id="0" w:name="_6.1.1、大数据服务器"/>
      <w:bookmarkEnd w:id="0"/>
      <w:bookmarkStart w:id="1" w:name="_6.1.2、容器服务器"/>
      <w:bookmarkEnd w:id="1"/>
      <w:r>
        <w:rPr>
          <w:rFonts w:hint="eastAsia" w:ascii="宋体" w:hAnsi="宋体" w:eastAsia="宋体" w:cs="宋体"/>
          <w:color w:val="000000" w:themeColor="text1"/>
          <w:sz w:val="21"/>
          <w:szCs w:val="21"/>
          <w:lang w:val="en-US" w:eastAsia="zh-CN"/>
          <w14:textFill>
            <w14:solidFill>
              <w14:schemeClr w14:val="tx1"/>
            </w14:solidFill>
          </w14:textFill>
        </w:rPr>
        <w:t>3.1.1</w:t>
      </w:r>
      <w:r>
        <w:rPr>
          <w:rFonts w:hint="eastAsia" w:ascii="宋体" w:hAnsi="宋体" w:eastAsia="宋体" w:cs="宋体"/>
          <w:color w:val="000000" w:themeColor="text1"/>
          <w:sz w:val="21"/>
          <w:szCs w:val="21"/>
          <w14:textFill>
            <w14:solidFill>
              <w14:schemeClr w14:val="tx1"/>
            </w14:solidFill>
          </w14:textFill>
        </w:rPr>
        <w:t>需求</w:t>
      </w:r>
      <w:r>
        <w:rPr>
          <w:rFonts w:hint="eastAsia" w:ascii="宋体" w:hAnsi="宋体" w:eastAsia="宋体" w:cs="宋体"/>
          <w:color w:val="000000" w:themeColor="text1"/>
          <w:sz w:val="21"/>
          <w:szCs w:val="21"/>
          <w:lang w:eastAsia="zh-CN"/>
          <w14:textFill>
            <w14:solidFill>
              <w14:schemeClr w14:val="tx1"/>
            </w14:solidFill>
          </w14:textFill>
        </w:rPr>
        <w:t>总</w:t>
      </w:r>
      <w:r>
        <w:rPr>
          <w:rFonts w:hint="eastAsia" w:ascii="宋体" w:hAnsi="宋体" w:eastAsia="宋体" w:cs="宋体"/>
          <w:color w:val="000000" w:themeColor="text1"/>
          <w:sz w:val="21"/>
          <w:szCs w:val="21"/>
          <w14:textFill>
            <w14:solidFill>
              <w14:schemeClr w14:val="tx1"/>
            </w14:solidFill>
          </w14:textFill>
        </w:rPr>
        <w:t>述</w:t>
      </w:r>
    </w:p>
    <w:p>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按日提供银行卡刷卡、社保卡/医保电子凭证（医保个账）、微信/支付宝、无感信用支付的交易对账单，包括但不限于以下场景、支付方式和银行商户：</w:t>
      </w:r>
    </w:p>
    <w:tbl>
      <w:tblPr>
        <w:tblStyle w:val="20"/>
        <w:tblW w:w="6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4472C4" w:themeFill="accent5"/>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场景</w:t>
            </w:r>
          </w:p>
        </w:tc>
        <w:tc>
          <w:tcPr>
            <w:tcW w:w="3827" w:type="dxa"/>
            <w:shd w:val="clear" w:color="auto" w:fill="4472C4" w:themeFill="accent5"/>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线下收费窗口</w:t>
            </w: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社保卡（医保个账）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医保电子凭证（医保个账）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无感信用支付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自助机</w:t>
            </w: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社保卡（医保个账）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医保电子凭证（医保个账）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无感信用支付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微信公众号、诊间处方扫码等线上场景</w:t>
            </w:r>
          </w:p>
        </w:tc>
        <w:tc>
          <w:tcPr>
            <w:tcW w:w="382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无感信用支付</w:t>
            </w:r>
          </w:p>
        </w:tc>
      </w:tr>
    </w:tbl>
    <w:p>
      <w:pPr>
        <w:rPr>
          <w:rFonts w:hint="eastAsia" w:ascii="宋体" w:hAnsi="宋体" w:eastAsia="宋体" w:cs="宋体"/>
          <w:color w:val="000000" w:themeColor="text1"/>
          <w:sz w:val="21"/>
          <w:szCs w:val="21"/>
          <w14:textFill>
            <w14:solidFill>
              <w14:schemeClr w14:val="tx1"/>
            </w14:solidFill>
          </w14:textFill>
        </w:rPr>
      </w:pPr>
    </w:p>
    <w:p>
      <w:pPr>
        <w:pStyle w:val="2"/>
        <w:numPr>
          <w:ilvl w:val="0"/>
          <w:numId w:val="0"/>
        </w:numPr>
        <w:spacing w:line="579"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3.1.2</w:t>
      </w:r>
      <w:r>
        <w:rPr>
          <w:rFonts w:hint="eastAsia" w:ascii="宋体" w:hAnsi="宋体" w:eastAsia="宋体" w:cs="宋体"/>
          <w:color w:val="000000" w:themeColor="text1"/>
          <w:sz w:val="21"/>
          <w:szCs w:val="21"/>
          <w14:textFill>
            <w14:solidFill>
              <w14:schemeClr w14:val="tx1"/>
            </w14:solidFill>
          </w14:textFill>
        </w:rPr>
        <w:t>数据说明</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账单数据至少包含但不限于以下内容：</w:t>
      </w:r>
    </w:p>
    <w:p>
      <w:pPr>
        <w:pStyle w:val="48"/>
        <w:numPr>
          <w:ilvl w:val="0"/>
          <w:numId w:val="4"/>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汇总数</w:t>
      </w:r>
    </w:p>
    <w:p>
      <w:pPr>
        <w:pStyle w:val="48"/>
        <w:numPr>
          <w:ilvl w:val="0"/>
          <w:numId w:val="5"/>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总交易笔数、收款笔数、收款金额、退款笔数、退款金额</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二、明细字段</w:t>
      </w:r>
    </w:p>
    <w:tbl>
      <w:tblPr>
        <w:tblStyle w:val="19"/>
        <w:tblW w:w="8214" w:type="dxa"/>
        <w:tblInd w:w="0" w:type="dxa"/>
        <w:tblLayout w:type="fixed"/>
        <w:tblCellMar>
          <w:top w:w="15" w:type="dxa"/>
          <w:left w:w="15" w:type="dxa"/>
          <w:bottom w:w="15" w:type="dxa"/>
          <w:right w:w="15" w:type="dxa"/>
        </w:tblCellMar>
      </w:tblPr>
      <w:tblGrid>
        <w:gridCol w:w="1128"/>
        <w:gridCol w:w="2692"/>
        <w:gridCol w:w="4394"/>
      </w:tblGrid>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shd w:val="clear" w:color="auto" w:fill="5B9BD5" w:themeFill="accent1"/>
            <w:tcMar>
              <w:top w:w="60" w:type="dxa"/>
              <w:left w:w="120" w:type="dxa"/>
              <w:bottom w:w="60" w:type="dxa"/>
              <w:right w:w="120" w:type="dxa"/>
            </w:tcMar>
            <w:vAlign w:val="center"/>
          </w:tcPr>
          <w:p>
            <w:pPr>
              <w:widowControl/>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2692" w:type="dxa"/>
            <w:tcBorders>
              <w:top w:val="single" w:color="D9D9D9" w:sz="6" w:space="0"/>
              <w:left w:val="single" w:color="D9D9D9" w:sz="6" w:space="0"/>
              <w:bottom w:val="single" w:color="D9D9D9" w:sz="6" w:space="0"/>
              <w:right w:val="single" w:color="D9D9D9" w:sz="6" w:space="0"/>
            </w:tcBorders>
            <w:shd w:val="clear" w:color="auto" w:fill="5B9BD5" w:themeFill="accent1"/>
            <w:tcMar>
              <w:top w:w="60" w:type="dxa"/>
              <w:left w:w="120" w:type="dxa"/>
              <w:bottom w:w="60" w:type="dxa"/>
              <w:right w:w="120" w:type="dxa"/>
            </w:tcMar>
            <w:vAlign w:val="center"/>
          </w:tcPr>
          <w:p>
            <w:pPr>
              <w:widowControl/>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参数</w:t>
            </w:r>
          </w:p>
        </w:tc>
        <w:tc>
          <w:tcPr>
            <w:tcW w:w="4394" w:type="dxa"/>
            <w:tcBorders>
              <w:top w:val="single" w:color="D9D9D9" w:sz="6" w:space="0"/>
              <w:left w:val="single" w:color="D9D9D9" w:sz="6" w:space="0"/>
              <w:bottom w:val="single" w:color="D9D9D9" w:sz="6" w:space="0"/>
              <w:right w:val="single" w:color="D9D9D9" w:sz="6" w:space="0"/>
            </w:tcBorders>
            <w:shd w:val="clear" w:color="auto" w:fill="5B9BD5" w:themeFill="accent1"/>
            <w:tcMar>
              <w:top w:w="60" w:type="dxa"/>
              <w:left w:w="120" w:type="dxa"/>
              <w:bottom w:w="60" w:type="dxa"/>
              <w:right w:w="120" w:type="dxa"/>
            </w:tcMar>
            <w:vAlign w:val="center"/>
          </w:tcPr>
          <w:p>
            <w:pPr>
              <w:widowControl/>
              <w:spacing w:line="360" w:lineRule="auto"/>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说明</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收单机构名称</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商户号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商户名称</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终端编号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有终端设备时必填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交易方式</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银行卡</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社保卡（医保个账）</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医保电子凭证（医保个账）</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微信</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支付宝</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无感信用支付</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系统参考号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刷卡交易必填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交易流水号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微信/支付宝/无感信用支付交易必填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商户流水号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商户支付/退款时上送的商户流水号</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交易日期</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交易时间</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交易类型</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（收款/退款）</w:t>
            </w:r>
          </w:p>
        </w:tc>
      </w:tr>
      <w:tr>
        <w:tblPrEx>
          <w:tblCellMar>
            <w:top w:w="15" w:type="dxa"/>
            <w:left w:w="15" w:type="dxa"/>
            <w:bottom w:w="15" w:type="dxa"/>
            <w:right w:w="15" w:type="dxa"/>
          </w:tblCellMar>
        </w:tblPrEx>
        <w:trPr>
          <w:trHeight w:val="90"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交易金额</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银行账号（卡号）</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刷卡交易必填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发卡行</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刷卡交易必填</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卡类别</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刷卡交易选填</w:t>
            </w:r>
          </w:p>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（借记卡/贷记卡）</w:t>
            </w:r>
          </w:p>
        </w:tc>
      </w:tr>
      <w:tr>
        <w:tblPrEx>
          <w:tblCellMar>
            <w:top w:w="15" w:type="dxa"/>
            <w:left w:w="15" w:type="dxa"/>
            <w:bottom w:w="15" w:type="dxa"/>
            <w:right w:w="15" w:type="dxa"/>
          </w:tblCellMar>
        </w:tblPrEx>
        <w:trPr>
          <w:trHeight w:val="495" w:hRule="atLeast"/>
        </w:trPr>
        <w:tc>
          <w:tcPr>
            <w:tcW w:w="1128"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2692"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备注</w:t>
            </w:r>
          </w:p>
        </w:tc>
        <w:tc>
          <w:tcPr>
            <w:tcW w:w="4394" w:type="dxa"/>
            <w:tcBorders>
              <w:top w:val="single" w:color="D9D9D9" w:sz="6" w:space="0"/>
              <w:left w:val="single" w:color="D9D9D9" w:sz="6" w:space="0"/>
              <w:bottom w:val="single" w:color="D9D9D9" w:sz="6" w:space="0"/>
              <w:right w:val="single" w:color="D9D9D9" w:sz="6" w:space="0"/>
            </w:tcBorders>
            <w:tcMar>
              <w:top w:w="60" w:type="dxa"/>
              <w:left w:w="120" w:type="dxa"/>
              <w:bottom w:w="60" w:type="dxa"/>
              <w:right w:w="120" w:type="dxa"/>
            </w:tcMar>
            <w:vAlign w:val="bottom"/>
          </w:tcPr>
          <w:p>
            <w:pPr>
              <w:widowControl/>
              <w:spacing w:line="360" w:lineRule="auto"/>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选填</w:t>
            </w:r>
          </w:p>
        </w:tc>
      </w:tr>
    </w:tbl>
    <w:p>
      <w:pPr>
        <w:rPr>
          <w:rFonts w:hint="eastAsia" w:ascii="宋体" w:hAnsi="宋体" w:eastAsia="宋体" w:cs="宋体"/>
          <w:color w:val="000000" w:themeColor="text1"/>
          <w:sz w:val="21"/>
          <w:szCs w:val="21"/>
          <w14:textFill>
            <w14:solidFill>
              <w14:schemeClr w14:val="tx1"/>
            </w14:solidFill>
          </w14:textFill>
        </w:rPr>
      </w:pPr>
    </w:p>
    <w:p>
      <w:pPr>
        <w:pStyle w:val="2"/>
        <w:numPr>
          <w:ilvl w:val="0"/>
          <w:numId w:val="0"/>
        </w:numPr>
        <w:spacing w:line="579"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3.1.3</w:t>
      </w:r>
      <w:r>
        <w:rPr>
          <w:rFonts w:hint="eastAsia" w:ascii="宋体" w:hAnsi="宋体" w:eastAsia="宋体" w:cs="宋体"/>
          <w:color w:val="000000" w:themeColor="text1"/>
          <w:sz w:val="21"/>
          <w:szCs w:val="21"/>
          <w14:textFill>
            <w14:solidFill>
              <w14:schemeClr w14:val="tx1"/>
            </w14:solidFill>
          </w14:textFill>
        </w:rPr>
        <w:t>格式说明</w:t>
      </w:r>
    </w:p>
    <w:p>
      <w:pPr>
        <w:widowControl/>
        <w:spacing w:line="360" w:lineRule="auto"/>
        <w:jc w:val="lef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方式：</w:t>
      </w:r>
      <w:r>
        <w:rPr>
          <w:rFonts w:hint="eastAsia" w:ascii="宋体" w:hAnsi="宋体" w:eastAsia="宋体" w:cs="宋体"/>
          <w:color w:val="000000" w:themeColor="text1"/>
          <w:sz w:val="21"/>
          <w:szCs w:val="21"/>
          <w14:textFill>
            <w14:solidFill>
              <w14:schemeClr w14:val="tx1"/>
            </w14:solidFill>
          </w14:textFill>
        </w:rPr>
        <w:t>支持按日期、商户号实时查询交易对账单</w:t>
      </w:r>
    </w:p>
    <w:p>
      <w:pPr>
        <w:widowControl/>
        <w:spacing w:line="360" w:lineRule="auto"/>
        <w:jc w:val="lef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--此方式需提供接口文档说明、接口地址及调用参数（含生产环境、测试环境）</w:t>
      </w:r>
    </w:p>
    <w:p>
      <w:pPr>
        <w:rPr>
          <w:rFonts w:hint="eastAsia" w:ascii="宋体" w:hAnsi="宋体" w:eastAsia="宋体" w:cs="宋体"/>
          <w:color w:val="000000" w:themeColor="text1"/>
          <w:sz w:val="21"/>
          <w:szCs w:val="21"/>
          <w14:textFill>
            <w14:solidFill>
              <w14:schemeClr w14:val="tx1"/>
            </w14:solidFill>
          </w14:textFill>
        </w:rPr>
      </w:pPr>
    </w:p>
    <w:p>
      <w:pPr>
        <w:pStyle w:val="2"/>
        <w:numPr>
          <w:ilvl w:val="0"/>
          <w:numId w:val="0"/>
        </w:numPr>
        <w:spacing w:line="579" w:lineRule="auto"/>
        <w:ind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3.1.4扩展应用</w:t>
      </w:r>
      <w:r>
        <w:rPr>
          <w:rFonts w:hint="eastAsia" w:ascii="宋体" w:hAnsi="宋体" w:eastAsia="宋体" w:cs="宋体"/>
          <w:color w:val="000000" w:themeColor="text1"/>
          <w:sz w:val="21"/>
          <w:szCs w:val="21"/>
          <w14:textFill>
            <w14:solidFill>
              <w14:schemeClr w14:val="tx1"/>
            </w14:solidFill>
          </w14:textFill>
        </w:rPr>
        <w:t>说明</w:t>
      </w:r>
    </w:p>
    <w:p>
      <w:pPr>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根据未来业务发展，若有新增支付场景、支付方式和合作银行，需按相同要求字段提供账单数据</w:t>
      </w:r>
      <w:r>
        <w:rPr>
          <w:rFonts w:hint="eastAsia" w:ascii="宋体" w:hAnsi="宋体" w:eastAsia="宋体" w:cs="宋体"/>
          <w:color w:val="000000" w:themeColor="text1"/>
          <w:sz w:val="21"/>
          <w:szCs w:val="21"/>
          <w:lang w:eastAsia="zh-CN"/>
          <w14:textFill>
            <w14:solidFill>
              <w14:schemeClr w14:val="tx1"/>
            </w14:solidFill>
          </w14:textFill>
        </w:rPr>
        <w:t>，不再额外收费</w:t>
      </w:r>
      <w:r>
        <w:rPr>
          <w:rFonts w:hint="eastAsia" w:ascii="宋体" w:hAnsi="宋体" w:eastAsia="宋体" w:cs="宋体"/>
          <w:color w:val="000000" w:themeColor="text1"/>
          <w:sz w:val="21"/>
          <w:szCs w:val="21"/>
          <w14:textFill>
            <w14:solidFill>
              <w14:schemeClr w14:val="tx1"/>
            </w14:solidFill>
          </w14:textFill>
        </w:rPr>
        <w:t>。</w:t>
      </w:r>
    </w:p>
    <w:p>
      <w:pPr>
        <w:rPr>
          <w:sz w:val="32"/>
          <w:szCs w:val="32"/>
        </w:rPr>
      </w:pP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6"/>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自合同签订日起，须在__</w:t>
      </w:r>
      <w:r>
        <w:rPr>
          <w:rFonts w:hint="eastAsia" w:ascii="宋体" w:hAnsi="宋体" w:cs="宋体"/>
          <w:szCs w:val="21"/>
          <w:lang w:val="en-US" w:eastAsia="zh-CN"/>
        </w:rPr>
        <w:t>5</w:t>
      </w:r>
      <w:r>
        <w:rPr>
          <w:rFonts w:hint="eastAsia" w:ascii="宋体" w:hAnsi="宋体" w:cs="宋体"/>
          <w:szCs w:val="21"/>
        </w:rPr>
        <w:t>___个工作日内对《用户需求说明书》进行补充、确认或提出意见。</w:t>
      </w:r>
    </w:p>
    <w:p>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须在《需求规格说明书》确认后的___</w:t>
      </w:r>
      <w:r>
        <w:rPr>
          <w:rFonts w:hint="eastAsia" w:ascii="宋体" w:hAnsi="宋体" w:cs="宋体"/>
          <w:szCs w:val="21"/>
          <w:lang w:val="en-US" w:eastAsia="zh-CN"/>
        </w:rPr>
        <w:t>30</w:t>
      </w:r>
      <w:r>
        <w:rPr>
          <w:rFonts w:hint="eastAsia" w:ascii="宋体" w:hAnsi="宋体" w:cs="宋体"/>
          <w:szCs w:val="21"/>
        </w:rPr>
        <w:t>__个工作日内完成实施导入和保证系统正常工作。</w:t>
      </w:r>
    </w:p>
    <w:p>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完成软件实施，并根据院方提出的新需求完成修改后，系统运行__</w:t>
      </w:r>
      <w:r>
        <w:rPr>
          <w:rFonts w:hint="eastAsia" w:ascii="宋体" w:hAnsi="宋体" w:cs="宋体"/>
          <w:szCs w:val="21"/>
          <w:lang w:val="en-US" w:eastAsia="zh-CN"/>
        </w:rPr>
        <w:t>1</w:t>
      </w:r>
      <w:r>
        <w:rPr>
          <w:rFonts w:hint="eastAsia" w:ascii="宋体" w:hAnsi="宋体" w:cs="宋体"/>
          <w:szCs w:val="21"/>
        </w:rPr>
        <w:t>___个月以上无软件故障出现，则向院方申请验收。</w:t>
      </w:r>
    </w:p>
    <w:p>
      <w:pPr>
        <w:rPr>
          <w:lang w:val="zh-CN" w:eastAsia="zh-CN"/>
        </w:rPr>
      </w:pP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24</w:t>
      </w:r>
      <w:r>
        <w:rPr>
          <w:rFonts w:ascii="宋体" w:hAnsi="宋体" w:cs="宋体"/>
          <w:szCs w:val="21"/>
          <w:u w:val="single"/>
        </w:rPr>
        <w:t xml:space="preserve">   </w:t>
      </w:r>
      <w:r>
        <w:rPr>
          <w:rFonts w:hint="eastAsia" w:ascii="宋体" w:hAnsi="宋体" w:cs="宋体"/>
          <w:szCs w:val="21"/>
        </w:rPr>
        <w:t>个月。在维护期内，承建商提供技术支持和指导，以及软件的局部改进完善以及故障情况下的现场问题解决。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630" w:firstLineChars="300"/>
        <w:rPr>
          <w:rFonts w:hint="eastAsia" w:ascii="宋体" w:hAnsi="宋体" w:cs="宋体"/>
          <w:szCs w:val="21"/>
        </w:rPr>
      </w:pPr>
      <w:r>
        <w:rPr>
          <w:rFonts w:hint="eastAsia" w:ascii="宋体" w:hAnsi="宋体" w:cs="宋体"/>
          <w:szCs w:val="21"/>
        </w:rPr>
        <w:t>(三)免费维护期结束后，由院方对承建商在服务期内应完成任务进行确认并通过后1个月内，支付最后一笔尾款。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B5F78DA"/>
    <w:multiLevelType w:val="multilevel"/>
    <w:tmpl w:val="6B5F78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8B051EF"/>
    <w:multiLevelType w:val="multilevel"/>
    <w:tmpl w:val="78B051EF"/>
    <w:lvl w:ilvl="0" w:tentative="0">
      <w:start w:val="1"/>
      <w:numFmt w:val="japaneseCounting"/>
      <w:lvlText w:val="%1、"/>
      <w:lvlJc w:val="left"/>
      <w:pPr>
        <w:ind w:left="560" w:hanging="5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42200080"/>
    <w:rsid w:val="488C513A"/>
    <w:rsid w:val="77E13482"/>
    <w:rsid w:val="7EF0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uiPriority w:val="0"/>
    <w:rPr>
      <w:szCs w:val="24"/>
    </w:rPr>
  </w:style>
  <w:style w:type="character" w:customStyle="1" w:styleId="35">
    <w:name w:val="纯文本 Char"/>
    <w:link w:val="13"/>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1284</Words>
  <Characters>1336</Characters>
  <Lines>10</Lines>
  <Paragraphs>2</Paragraphs>
  <TotalTime>29</TotalTime>
  <ScaleCrop>false</ScaleCrop>
  <LinksUpToDate>false</LinksUpToDate>
  <CharactersWithSpaces>1348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dcterms:modified xsi:type="dcterms:W3CDTF">2023-05-22T06:30:48Z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2047A09A69D643A4B4A152C80A0CCC99_13</vt:lpwstr>
  </property>
</Properties>
</file>