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22" w:rsidRPr="00800E0F" w:rsidRDefault="0020290E">
      <w:pPr>
        <w:spacing w:beforeLines="200" w:before="624" w:afterLines="100" w:after="312" w:line="360" w:lineRule="auto"/>
        <w:jc w:val="center"/>
        <w:rPr>
          <w:rFonts w:asciiTheme="minorEastAsia" w:eastAsiaTheme="minorEastAsia" w:hAnsiTheme="minorEastAsia"/>
          <w:b/>
          <w:sz w:val="44"/>
          <w:szCs w:val="30"/>
        </w:rPr>
      </w:pPr>
      <w:r w:rsidRPr="00800E0F">
        <w:rPr>
          <w:rFonts w:asciiTheme="minorEastAsia" w:eastAsiaTheme="minorEastAsia" w:hAnsiTheme="minorEastAsia"/>
          <w:b/>
          <w:sz w:val="44"/>
          <w:szCs w:val="30"/>
        </w:rPr>
        <w:t>2023年</w:t>
      </w:r>
      <w:proofErr w:type="gramStart"/>
      <w:r w:rsidRPr="00800E0F">
        <w:rPr>
          <w:rFonts w:asciiTheme="minorEastAsia" w:eastAsiaTheme="minorEastAsia" w:hAnsiTheme="minorEastAsia"/>
          <w:b/>
          <w:sz w:val="44"/>
          <w:szCs w:val="30"/>
        </w:rPr>
        <w:t>数据湖</w:t>
      </w:r>
      <w:proofErr w:type="gramEnd"/>
      <w:r w:rsidRPr="00800E0F">
        <w:rPr>
          <w:rFonts w:asciiTheme="minorEastAsia" w:eastAsiaTheme="minorEastAsia" w:hAnsiTheme="minorEastAsia"/>
          <w:b/>
          <w:sz w:val="44"/>
          <w:szCs w:val="30"/>
        </w:rPr>
        <w:t>建设配套硬件资源项目</w:t>
      </w:r>
    </w:p>
    <w:p w:rsidR="00812822" w:rsidRPr="00800E0F" w:rsidRDefault="0020290E">
      <w:pPr>
        <w:pStyle w:val="1"/>
        <w:widowControl w:val="0"/>
        <w:numPr>
          <w:ilvl w:val="0"/>
          <w:numId w:val="0"/>
        </w:numPr>
        <w:ind w:left="432" w:hanging="432"/>
        <w:jc w:val="both"/>
      </w:pPr>
      <w:r w:rsidRPr="00800E0F">
        <w:rPr>
          <w:rFonts w:hint="eastAsia"/>
        </w:rPr>
        <w:t>一、项目名称</w:t>
      </w:r>
    </w:p>
    <w:p w:rsidR="00812822" w:rsidRPr="00800E0F" w:rsidRDefault="0020290E">
      <w:pPr>
        <w:spacing w:line="360" w:lineRule="auto"/>
        <w:ind w:left="432"/>
        <w:rPr>
          <w:rFonts w:asciiTheme="minorEastAsia" w:eastAsiaTheme="minorEastAsia" w:hAnsiTheme="minorEastAsia"/>
          <w:sz w:val="22"/>
        </w:rPr>
      </w:pPr>
      <w:r w:rsidRPr="00800E0F">
        <w:rPr>
          <w:rFonts w:asciiTheme="minorEastAsia" w:eastAsiaTheme="minorEastAsia" w:hAnsiTheme="minorEastAsia" w:hint="eastAsia"/>
        </w:rPr>
        <w:t>项目名称：</w:t>
      </w:r>
      <w:r w:rsidRPr="00800E0F">
        <w:rPr>
          <w:rFonts w:hint="eastAsia"/>
        </w:rPr>
        <w:t>2023年</w:t>
      </w:r>
      <w:proofErr w:type="gramStart"/>
      <w:r w:rsidRPr="00800E0F">
        <w:rPr>
          <w:rFonts w:hint="eastAsia"/>
        </w:rPr>
        <w:t>数据湖</w:t>
      </w:r>
      <w:proofErr w:type="gramEnd"/>
      <w:r w:rsidRPr="00800E0F">
        <w:rPr>
          <w:rFonts w:hint="eastAsia"/>
        </w:rPr>
        <w:t>建设配套硬件资源项目</w:t>
      </w:r>
    </w:p>
    <w:p w:rsidR="00812822" w:rsidRPr="00800E0F" w:rsidRDefault="0020290E">
      <w:pPr>
        <w:pStyle w:val="1"/>
        <w:widowControl w:val="0"/>
        <w:numPr>
          <w:ilvl w:val="0"/>
          <w:numId w:val="0"/>
        </w:numPr>
        <w:ind w:left="432" w:hanging="432"/>
        <w:jc w:val="both"/>
      </w:pPr>
      <w:r w:rsidRPr="00800E0F">
        <w:rPr>
          <w:rFonts w:hint="eastAsia"/>
        </w:rPr>
        <w:t>二、采购清单</w:t>
      </w:r>
    </w:p>
    <w:p w:rsidR="00812822" w:rsidRPr="00800E0F" w:rsidRDefault="0020290E">
      <w:r w:rsidRPr="00800E0F">
        <w:rPr>
          <w:rFonts w:hint="eastAsia"/>
        </w:rPr>
        <w:t>采购设备及数量如下：</w:t>
      </w:r>
    </w:p>
    <w:tbl>
      <w:tblPr>
        <w:tblW w:w="8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8"/>
        <w:gridCol w:w="1948"/>
        <w:gridCol w:w="1948"/>
      </w:tblGrid>
      <w:tr w:rsidR="00812822" w:rsidRPr="00800E0F">
        <w:trPr>
          <w:jc w:val="center"/>
        </w:trPr>
        <w:tc>
          <w:tcPr>
            <w:tcW w:w="1276" w:type="dxa"/>
          </w:tcPr>
          <w:p w:rsidR="00812822" w:rsidRPr="00800E0F" w:rsidRDefault="0020290E">
            <w:pPr>
              <w:jc w:val="center"/>
            </w:pPr>
            <w:r w:rsidRPr="00800E0F">
              <w:rPr>
                <w:rFonts w:hint="eastAsia"/>
              </w:rPr>
              <w:t>序号</w:t>
            </w:r>
          </w:p>
        </w:tc>
        <w:tc>
          <w:tcPr>
            <w:tcW w:w="3118" w:type="dxa"/>
          </w:tcPr>
          <w:p w:rsidR="00812822" w:rsidRPr="00800E0F" w:rsidRDefault="0020290E">
            <w:pPr>
              <w:jc w:val="center"/>
            </w:pPr>
            <w:r w:rsidRPr="00800E0F">
              <w:rPr>
                <w:rFonts w:hint="eastAsia"/>
              </w:rPr>
              <w:t>名称</w:t>
            </w:r>
          </w:p>
        </w:tc>
        <w:tc>
          <w:tcPr>
            <w:tcW w:w="1948" w:type="dxa"/>
          </w:tcPr>
          <w:p w:rsidR="00812822" w:rsidRPr="00800E0F" w:rsidRDefault="0020290E">
            <w:pPr>
              <w:jc w:val="center"/>
            </w:pPr>
            <w:r w:rsidRPr="00800E0F">
              <w:rPr>
                <w:rFonts w:hint="eastAsia"/>
              </w:rPr>
              <w:t>详细配置参数</w:t>
            </w:r>
          </w:p>
        </w:tc>
        <w:tc>
          <w:tcPr>
            <w:tcW w:w="1948" w:type="dxa"/>
          </w:tcPr>
          <w:p w:rsidR="00812822" w:rsidRPr="00800E0F" w:rsidRDefault="0020290E">
            <w:pPr>
              <w:jc w:val="center"/>
            </w:pPr>
            <w:r w:rsidRPr="00800E0F">
              <w:rPr>
                <w:rFonts w:hint="eastAsia"/>
              </w:rPr>
              <w:t>数量</w:t>
            </w:r>
          </w:p>
        </w:tc>
      </w:tr>
      <w:tr w:rsidR="00812822" w:rsidRPr="00800E0F">
        <w:trPr>
          <w:jc w:val="center"/>
        </w:trPr>
        <w:tc>
          <w:tcPr>
            <w:tcW w:w="1276" w:type="dxa"/>
          </w:tcPr>
          <w:p w:rsidR="00812822" w:rsidRPr="00800E0F" w:rsidRDefault="0020290E">
            <w:pPr>
              <w:jc w:val="center"/>
            </w:pPr>
            <w:r w:rsidRPr="00800E0F">
              <w:t>1</w:t>
            </w:r>
          </w:p>
        </w:tc>
        <w:tc>
          <w:tcPr>
            <w:tcW w:w="3118" w:type="dxa"/>
          </w:tcPr>
          <w:p w:rsidR="00812822" w:rsidRPr="00800E0F" w:rsidRDefault="0020290E">
            <w:pPr>
              <w:jc w:val="center"/>
            </w:pPr>
            <w:r w:rsidRPr="00800E0F">
              <w:rPr>
                <w:rFonts w:hint="eastAsia"/>
              </w:rPr>
              <w:t>AI服务器</w:t>
            </w:r>
          </w:p>
        </w:tc>
        <w:tc>
          <w:tcPr>
            <w:tcW w:w="1948" w:type="dxa"/>
          </w:tcPr>
          <w:p w:rsidR="00812822" w:rsidRPr="00800E0F" w:rsidRDefault="0020290E">
            <w:pPr>
              <w:jc w:val="center"/>
              <w:rPr>
                <w:color w:val="000000"/>
              </w:rPr>
            </w:pPr>
            <w:r w:rsidRPr="00800E0F">
              <w:rPr>
                <w:rFonts w:hint="eastAsia"/>
                <w:color w:val="000000"/>
              </w:rPr>
              <w:t>详见</w:t>
            </w:r>
            <w:r w:rsidRPr="00800E0F">
              <w:rPr>
                <w:color w:val="000000"/>
              </w:rPr>
              <w:t xml:space="preserve">3.1 </w:t>
            </w:r>
          </w:p>
        </w:tc>
        <w:tc>
          <w:tcPr>
            <w:tcW w:w="1948" w:type="dxa"/>
            <w:vAlign w:val="center"/>
          </w:tcPr>
          <w:p w:rsidR="00812822" w:rsidRPr="00800E0F" w:rsidRDefault="0020290E">
            <w:pPr>
              <w:jc w:val="center"/>
              <w:rPr>
                <w:color w:val="000000"/>
              </w:rPr>
            </w:pPr>
            <w:r w:rsidRPr="00800E0F">
              <w:rPr>
                <w:color w:val="000000"/>
              </w:rPr>
              <w:t>6</w:t>
            </w:r>
            <w:r w:rsidRPr="00800E0F">
              <w:rPr>
                <w:rFonts w:hint="eastAsia"/>
                <w:color w:val="000000"/>
              </w:rPr>
              <w:t>台</w:t>
            </w:r>
          </w:p>
        </w:tc>
      </w:tr>
      <w:tr w:rsidR="00812822" w:rsidRPr="00800E0F">
        <w:trPr>
          <w:jc w:val="center"/>
        </w:trPr>
        <w:tc>
          <w:tcPr>
            <w:tcW w:w="1276" w:type="dxa"/>
          </w:tcPr>
          <w:p w:rsidR="00812822" w:rsidRPr="00800E0F" w:rsidRDefault="0020290E">
            <w:pPr>
              <w:jc w:val="center"/>
            </w:pPr>
            <w:r w:rsidRPr="00800E0F">
              <w:rPr>
                <w:rFonts w:hint="eastAsia"/>
              </w:rPr>
              <w:t>2</w:t>
            </w:r>
          </w:p>
        </w:tc>
        <w:tc>
          <w:tcPr>
            <w:tcW w:w="3118" w:type="dxa"/>
          </w:tcPr>
          <w:p w:rsidR="00812822" w:rsidRPr="00800E0F" w:rsidRDefault="0020290E">
            <w:pPr>
              <w:jc w:val="center"/>
            </w:pPr>
            <w:r w:rsidRPr="00800E0F">
              <w:rPr>
                <w:rFonts w:hint="eastAsia"/>
              </w:rPr>
              <w:t>虚拟化服务器</w:t>
            </w:r>
          </w:p>
        </w:tc>
        <w:tc>
          <w:tcPr>
            <w:tcW w:w="1948" w:type="dxa"/>
          </w:tcPr>
          <w:p w:rsidR="00812822" w:rsidRPr="00800E0F" w:rsidRDefault="0020290E">
            <w:pPr>
              <w:jc w:val="center"/>
            </w:pPr>
            <w:r w:rsidRPr="00800E0F">
              <w:rPr>
                <w:rFonts w:hint="eastAsia"/>
                <w:color w:val="000000"/>
              </w:rPr>
              <w:t>详见</w:t>
            </w:r>
            <w:r w:rsidRPr="00800E0F">
              <w:rPr>
                <w:color w:val="000000"/>
              </w:rPr>
              <w:t>3.2</w:t>
            </w:r>
          </w:p>
        </w:tc>
        <w:tc>
          <w:tcPr>
            <w:tcW w:w="1948" w:type="dxa"/>
            <w:vAlign w:val="center"/>
          </w:tcPr>
          <w:p w:rsidR="00812822" w:rsidRPr="00800E0F" w:rsidRDefault="0020290E">
            <w:pPr>
              <w:jc w:val="center"/>
              <w:rPr>
                <w:color w:val="000000"/>
              </w:rPr>
            </w:pPr>
            <w:r w:rsidRPr="00800E0F">
              <w:rPr>
                <w:color w:val="000000"/>
              </w:rPr>
              <w:t>6</w:t>
            </w:r>
            <w:r w:rsidRPr="00800E0F">
              <w:rPr>
                <w:rFonts w:hint="eastAsia"/>
                <w:color w:val="000000"/>
              </w:rPr>
              <w:t>台</w:t>
            </w:r>
          </w:p>
        </w:tc>
      </w:tr>
      <w:tr w:rsidR="00812822" w:rsidRPr="00800E0F">
        <w:trPr>
          <w:trHeight w:val="90"/>
          <w:jc w:val="center"/>
        </w:trPr>
        <w:tc>
          <w:tcPr>
            <w:tcW w:w="1276" w:type="dxa"/>
          </w:tcPr>
          <w:p w:rsidR="00812822" w:rsidRPr="00800E0F" w:rsidRDefault="0020290E">
            <w:pPr>
              <w:jc w:val="center"/>
            </w:pPr>
            <w:r w:rsidRPr="00800E0F">
              <w:rPr>
                <w:rFonts w:hint="eastAsia"/>
              </w:rPr>
              <w:t>3</w:t>
            </w:r>
          </w:p>
        </w:tc>
        <w:tc>
          <w:tcPr>
            <w:tcW w:w="3118" w:type="dxa"/>
          </w:tcPr>
          <w:p w:rsidR="00812822" w:rsidRPr="00800E0F" w:rsidRDefault="00C8702E">
            <w:pPr>
              <w:jc w:val="center"/>
            </w:pPr>
            <w:r>
              <w:rPr>
                <w:rFonts w:hint="eastAsia"/>
              </w:rPr>
              <w:t>虚拟化平台</w:t>
            </w:r>
            <w:r w:rsidRPr="00800E0F">
              <w:rPr>
                <w:rFonts w:hint="eastAsia"/>
              </w:rPr>
              <w:t>交换机</w:t>
            </w:r>
          </w:p>
        </w:tc>
        <w:tc>
          <w:tcPr>
            <w:tcW w:w="1948" w:type="dxa"/>
          </w:tcPr>
          <w:p w:rsidR="00812822" w:rsidRPr="00800E0F" w:rsidRDefault="0020290E">
            <w:pPr>
              <w:jc w:val="center"/>
            </w:pPr>
            <w:r w:rsidRPr="00800E0F">
              <w:rPr>
                <w:rFonts w:hint="eastAsia"/>
                <w:color w:val="000000"/>
              </w:rPr>
              <w:t>详见</w:t>
            </w:r>
            <w:r w:rsidRPr="00800E0F">
              <w:rPr>
                <w:color w:val="000000"/>
              </w:rPr>
              <w:t>3.3</w:t>
            </w:r>
          </w:p>
        </w:tc>
        <w:tc>
          <w:tcPr>
            <w:tcW w:w="1948" w:type="dxa"/>
            <w:vAlign w:val="center"/>
          </w:tcPr>
          <w:p w:rsidR="00812822" w:rsidRPr="00800E0F" w:rsidRDefault="00C8702E">
            <w:pPr>
              <w:jc w:val="center"/>
              <w:rPr>
                <w:color w:val="000000"/>
              </w:rPr>
            </w:pPr>
            <w:r>
              <w:rPr>
                <w:color w:val="000000"/>
              </w:rPr>
              <w:t>2</w:t>
            </w:r>
            <w:r w:rsidR="0020290E" w:rsidRPr="00800E0F">
              <w:rPr>
                <w:rFonts w:hint="eastAsia"/>
                <w:color w:val="000000"/>
              </w:rPr>
              <w:t>台</w:t>
            </w:r>
          </w:p>
        </w:tc>
      </w:tr>
      <w:tr w:rsidR="00812822" w:rsidRPr="00800E0F">
        <w:trPr>
          <w:jc w:val="center"/>
        </w:trPr>
        <w:tc>
          <w:tcPr>
            <w:tcW w:w="1276" w:type="dxa"/>
          </w:tcPr>
          <w:p w:rsidR="00812822" w:rsidRPr="00800E0F" w:rsidRDefault="0020290E">
            <w:pPr>
              <w:jc w:val="center"/>
            </w:pPr>
            <w:r w:rsidRPr="00800E0F">
              <w:rPr>
                <w:rFonts w:hint="eastAsia"/>
              </w:rPr>
              <w:t>4</w:t>
            </w:r>
          </w:p>
        </w:tc>
        <w:tc>
          <w:tcPr>
            <w:tcW w:w="3118" w:type="dxa"/>
          </w:tcPr>
          <w:p w:rsidR="00812822" w:rsidRPr="00800E0F" w:rsidRDefault="0020290E">
            <w:pPr>
              <w:jc w:val="center"/>
            </w:pPr>
            <w:r w:rsidRPr="00800E0F">
              <w:rPr>
                <w:rFonts w:hint="eastAsia"/>
              </w:rPr>
              <w:t>虚拟化服务</w:t>
            </w:r>
          </w:p>
        </w:tc>
        <w:tc>
          <w:tcPr>
            <w:tcW w:w="1948" w:type="dxa"/>
          </w:tcPr>
          <w:p w:rsidR="00812822" w:rsidRPr="00800E0F" w:rsidRDefault="0020290E">
            <w:pPr>
              <w:jc w:val="center"/>
            </w:pPr>
            <w:r w:rsidRPr="00800E0F">
              <w:rPr>
                <w:rFonts w:hint="eastAsia"/>
                <w:color w:val="000000"/>
              </w:rPr>
              <w:t>详见</w:t>
            </w:r>
            <w:r w:rsidRPr="00800E0F">
              <w:rPr>
                <w:color w:val="000000"/>
              </w:rPr>
              <w:t>3.4</w:t>
            </w:r>
          </w:p>
        </w:tc>
        <w:tc>
          <w:tcPr>
            <w:tcW w:w="1948" w:type="dxa"/>
            <w:vAlign w:val="center"/>
          </w:tcPr>
          <w:p w:rsidR="00812822" w:rsidRPr="00800E0F" w:rsidRDefault="0020290E">
            <w:pPr>
              <w:jc w:val="center"/>
            </w:pPr>
            <w:r w:rsidRPr="00800E0F">
              <w:t>1</w:t>
            </w:r>
            <w:r w:rsidRPr="00800E0F">
              <w:rPr>
                <w:rFonts w:hint="eastAsia"/>
              </w:rPr>
              <w:t>套</w:t>
            </w:r>
          </w:p>
        </w:tc>
      </w:tr>
      <w:tr w:rsidR="00812822" w:rsidRPr="00800E0F">
        <w:trPr>
          <w:jc w:val="center"/>
        </w:trPr>
        <w:tc>
          <w:tcPr>
            <w:tcW w:w="1276" w:type="dxa"/>
          </w:tcPr>
          <w:p w:rsidR="00812822" w:rsidRPr="00800E0F" w:rsidRDefault="0020290E">
            <w:pPr>
              <w:jc w:val="center"/>
            </w:pPr>
            <w:r w:rsidRPr="00800E0F">
              <w:t>5</w:t>
            </w:r>
          </w:p>
        </w:tc>
        <w:tc>
          <w:tcPr>
            <w:tcW w:w="3118" w:type="dxa"/>
          </w:tcPr>
          <w:p w:rsidR="00812822" w:rsidRPr="00800E0F" w:rsidRDefault="0020290E">
            <w:pPr>
              <w:jc w:val="center"/>
            </w:pPr>
            <w:r w:rsidRPr="00800E0F">
              <w:rPr>
                <w:rFonts w:hint="eastAsia"/>
              </w:rPr>
              <w:t>分布式存储</w:t>
            </w:r>
          </w:p>
        </w:tc>
        <w:tc>
          <w:tcPr>
            <w:tcW w:w="1948" w:type="dxa"/>
          </w:tcPr>
          <w:p w:rsidR="00812822" w:rsidRPr="00800E0F" w:rsidRDefault="0020290E">
            <w:pPr>
              <w:jc w:val="center"/>
            </w:pPr>
            <w:r w:rsidRPr="00800E0F">
              <w:rPr>
                <w:rFonts w:hint="eastAsia"/>
                <w:color w:val="000000"/>
              </w:rPr>
              <w:t>详见</w:t>
            </w:r>
            <w:r w:rsidRPr="00800E0F">
              <w:rPr>
                <w:color w:val="000000"/>
              </w:rPr>
              <w:t>3.5</w:t>
            </w:r>
          </w:p>
        </w:tc>
        <w:tc>
          <w:tcPr>
            <w:tcW w:w="1948" w:type="dxa"/>
            <w:vAlign w:val="center"/>
          </w:tcPr>
          <w:p w:rsidR="00812822" w:rsidRPr="00800E0F" w:rsidRDefault="0020290E">
            <w:pPr>
              <w:jc w:val="center"/>
            </w:pPr>
            <w:r w:rsidRPr="00800E0F">
              <w:t>1</w:t>
            </w:r>
            <w:r w:rsidRPr="00800E0F">
              <w:rPr>
                <w:rFonts w:hint="eastAsia"/>
              </w:rPr>
              <w:t>套</w:t>
            </w:r>
          </w:p>
        </w:tc>
      </w:tr>
      <w:tr w:rsidR="00C8702E" w:rsidRPr="00800E0F">
        <w:trPr>
          <w:jc w:val="center"/>
        </w:trPr>
        <w:tc>
          <w:tcPr>
            <w:tcW w:w="1276" w:type="dxa"/>
          </w:tcPr>
          <w:p w:rsidR="00C8702E" w:rsidRPr="00800E0F" w:rsidRDefault="00C8702E">
            <w:pPr>
              <w:jc w:val="center"/>
            </w:pPr>
            <w:r>
              <w:rPr>
                <w:rFonts w:hint="eastAsia"/>
              </w:rPr>
              <w:t>6</w:t>
            </w:r>
          </w:p>
        </w:tc>
        <w:tc>
          <w:tcPr>
            <w:tcW w:w="3118" w:type="dxa"/>
          </w:tcPr>
          <w:p w:rsidR="00C8702E" w:rsidRPr="00800E0F" w:rsidRDefault="00C8702E">
            <w:pPr>
              <w:jc w:val="center"/>
            </w:pPr>
            <w:r>
              <w:rPr>
                <w:rFonts w:hint="eastAsia"/>
              </w:rPr>
              <w:t>分布式存储交换机</w:t>
            </w:r>
          </w:p>
        </w:tc>
        <w:tc>
          <w:tcPr>
            <w:tcW w:w="1948" w:type="dxa"/>
          </w:tcPr>
          <w:p w:rsidR="00C8702E" w:rsidRPr="00800E0F" w:rsidRDefault="00C8702E">
            <w:pPr>
              <w:jc w:val="center"/>
              <w:rPr>
                <w:color w:val="000000"/>
              </w:rPr>
            </w:pPr>
            <w:r>
              <w:rPr>
                <w:rFonts w:hint="eastAsia"/>
                <w:color w:val="000000"/>
              </w:rPr>
              <w:t>详见3</w:t>
            </w:r>
            <w:r>
              <w:rPr>
                <w:color w:val="000000"/>
              </w:rPr>
              <w:t>.6</w:t>
            </w:r>
          </w:p>
        </w:tc>
        <w:tc>
          <w:tcPr>
            <w:tcW w:w="1948" w:type="dxa"/>
            <w:vAlign w:val="center"/>
          </w:tcPr>
          <w:p w:rsidR="00C8702E" w:rsidRPr="00800E0F" w:rsidRDefault="00C8702E">
            <w:pPr>
              <w:jc w:val="center"/>
            </w:pPr>
            <w:r>
              <w:rPr>
                <w:rFonts w:hint="eastAsia"/>
              </w:rPr>
              <w:t>2台</w:t>
            </w:r>
          </w:p>
        </w:tc>
      </w:tr>
    </w:tbl>
    <w:p w:rsidR="00812822" w:rsidRPr="00800E0F" w:rsidRDefault="00812822">
      <w:pPr>
        <w:pStyle w:val="af1"/>
        <w:keepNext/>
        <w:keepLines/>
        <w:widowControl w:val="0"/>
        <w:numPr>
          <w:ilvl w:val="0"/>
          <w:numId w:val="2"/>
        </w:numPr>
        <w:spacing w:before="340" w:after="330" w:line="578" w:lineRule="auto"/>
        <w:ind w:firstLineChars="0"/>
        <w:jc w:val="both"/>
        <w:outlineLvl w:val="0"/>
        <w:rPr>
          <w:rFonts w:ascii="宋体" w:eastAsia="宋体" w:hAnsi="宋体"/>
          <w:b/>
          <w:bCs/>
          <w:vanish/>
          <w:kern w:val="44"/>
          <w:sz w:val="44"/>
          <w:szCs w:val="44"/>
        </w:rPr>
      </w:pPr>
    </w:p>
    <w:p w:rsidR="00812822" w:rsidRPr="00800E0F" w:rsidRDefault="00812822">
      <w:pPr>
        <w:pStyle w:val="af1"/>
        <w:keepNext/>
        <w:keepLines/>
        <w:widowControl w:val="0"/>
        <w:numPr>
          <w:ilvl w:val="0"/>
          <w:numId w:val="2"/>
        </w:numPr>
        <w:spacing w:before="340" w:after="330" w:line="578" w:lineRule="auto"/>
        <w:ind w:firstLineChars="0"/>
        <w:jc w:val="both"/>
        <w:outlineLvl w:val="0"/>
        <w:rPr>
          <w:rFonts w:ascii="宋体" w:eastAsia="宋体" w:hAnsi="宋体"/>
          <w:b/>
          <w:bCs/>
          <w:vanish/>
          <w:kern w:val="44"/>
          <w:sz w:val="44"/>
          <w:szCs w:val="44"/>
        </w:rPr>
      </w:pPr>
    </w:p>
    <w:p w:rsidR="00812822" w:rsidRPr="00800E0F" w:rsidRDefault="00812822">
      <w:pPr>
        <w:pStyle w:val="af1"/>
        <w:keepNext/>
        <w:keepLines/>
        <w:widowControl w:val="0"/>
        <w:numPr>
          <w:ilvl w:val="0"/>
          <w:numId w:val="2"/>
        </w:numPr>
        <w:spacing w:before="340" w:after="330" w:line="578" w:lineRule="auto"/>
        <w:ind w:firstLineChars="0"/>
        <w:jc w:val="both"/>
        <w:outlineLvl w:val="0"/>
        <w:rPr>
          <w:rFonts w:ascii="宋体" w:eastAsia="宋体" w:hAnsi="宋体"/>
          <w:b/>
          <w:bCs/>
          <w:vanish/>
          <w:kern w:val="44"/>
          <w:sz w:val="44"/>
          <w:szCs w:val="44"/>
        </w:rPr>
      </w:pPr>
    </w:p>
    <w:p w:rsidR="00812822" w:rsidRPr="00800E0F" w:rsidRDefault="00812822">
      <w:pPr>
        <w:pStyle w:val="af1"/>
        <w:keepNext/>
        <w:keepLines/>
        <w:widowControl w:val="0"/>
        <w:numPr>
          <w:ilvl w:val="1"/>
          <w:numId w:val="2"/>
        </w:numPr>
        <w:spacing w:before="340" w:after="330" w:line="578" w:lineRule="auto"/>
        <w:ind w:firstLineChars="0"/>
        <w:jc w:val="both"/>
        <w:outlineLvl w:val="0"/>
        <w:rPr>
          <w:rFonts w:ascii="宋体" w:eastAsia="宋体" w:hAnsi="宋体"/>
          <w:b/>
          <w:bCs/>
          <w:vanish/>
          <w:kern w:val="44"/>
          <w:sz w:val="44"/>
          <w:szCs w:val="44"/>
        </w:rPr>
      </w:pPr>
    </w:p>
    <w:p w:rsidR="00812822" w:rsidRPr="00800E0F" w:rsidRDefault="0020290E">
      <w:pPr>
        <w:pStyle w:val="1"/>
        <w:widowControl w:val="0"/>
        <w:numPr>
          <w:ilvl w:val="0"/>
          <w:numId w:val="3"/>
        </w:numPr>
        <w:jc w:val="both"/>
        <w:rPr>
          <w:color w:val="FF0000"/>
        </w:rPr>
      </w:pPr>
      <w:r w:rsidRPr="00800E0F">
        <w:rPr>
          <w:rFonts w:hint="eastAsia"/>
        </w:rPr>
        <w:t>详细配置参数</w:t>
      </w:r>
    </w:p>
    <w:p w:rsidR="00812822" w:rsidRPr="00800E0F" w:rsidRDefault="0020290E">
      <w:pPr>
        <w:pStyle w:val="3"/>
        <w:widowControl w:val="0"/>
        <w:numPr>
          <w:ilvl w:val="1"/>
          <w:numId w:val="4"/>
        </w:numPr>
        <w:ind w:leftChars="0" w:rightChars="0" w:right="0"/>
        <w:jc w:val="both"/>
      </w:pPr>
      <w:bookmarkStart w:id="0" w:name="_6.1.1、大数据服务器"/>
      <w:bookmarkEnd w:id="0"/>
      <w:r w:rsidRPr="00800E0F">
        <w:rPr>
          <w:rFonts w:hint="eastAsia"/>
        </w:rPr>
        <w:t>AI服务器参数要求</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7269"/>
      </w:tblGrid>
      <w:tr w:rsidR="00812822" w:rsidRPr="00800E0F">
        <w:trPr>
          <w:trHeight w:val="167"/>
          <w:tblHeader/>
          <w:jc w:val="center"/>
        </w:trPr>
        <w:tc>
          <w:tcPr>
            <w:tcW w:w="1602" w:type="dxa"/>
            <w:shd w:val="clear" w:color="auto" w:fill="D7D7D7"/>
            <w:vAlign w:val="center"/>
          </w:tcPr>
          <w:p w:rsidR="00812822" w:rsidRPr="00800E0F" w:rsidRDefault="0020290E">
            <w:pPr>
              <w:snapToGrid w:val="0"/>
              <w:jc w:val="center"/>
              <w:rPr>
                <w:szCs w:val="21"/>
              </w:rPr>
            </w:pPr>
            <w:r w:rsidRPr="00800E0F">
              <w:rPr>
                <w:rFonts w:hint="eastAsia"/>
                <w:szCs w:val="21"/>
              </w:rPr>
              <w:t>指标项</w:t>
            </w:r>
          </w:p>
        </w:tc>
        <w:tc>
          <w:tcPr>
            <w:tcW w:w="7269" w:type="dxa"/>
            <w:shd w:val="clear" w:color="auto" w:fill="D7D7D7"/>
            <w:vAlign w:val="center"/>
          </w:tcPr>
          <w:p w:rsidR="00812822" w:rsidRPr="00800E0F" w:rsidRDefault="0020290E">
            <w:pPr>
              <w:snapToGrid w:val="0"/>
              <w:jc w:val="center"/>
              <w:rPr>
                <w:szCs w:val="21"/>
              </w:rPr>
            </w:pPr>
            <w:r w:rsidRPr="00800E0F">
              <w:rPr>
                <w:rFonts w:hint="eastAsia"/>
                <w:szCs w:val="21"/>
              </w:rPr>
              <w:t>指标要求</w:t>
            </w:r>
          </w:p>
        </w:tc>
      </w:tr>
      <w:tr w:rsidR="00812822" w:rsidRPr="00800E0F">
        <w:trPr>
          <w:trHeight w:val="606"/>
          <w:jc w:val="center"/>
        </w:trPr>
        <w:tc>
          <w:tcPr>
            <w:tcW w:w="1602" w:type="dxa"/>
            <w:vAlign w:val="center"/>
          </w:tcPr>
          <w:p w:rsidR="00812822" w:rsidRPr="00800E0F" w:rsidRDefault="0020290E">
            <w:pPr>
              <w:snapToGrid w:val="0"/>
              <w:jc w:val="center"/>
              <w:rPr>
                <w:szCs w:val="21"/>
              </w:rPr>
            </w:pPr>
            <w:r w:rsidRPr="00800E0F">
              <w:rPr>
                <w:rFonts w:hint="eastAsia"/>
                <w:szCs w:val="21"/>
              </w:rPr>
              <w:t>基本要求</w:t>
            </w:r>
          </w:p>
        </w:tc>
        <w:tc>
          <w:tcPr>
            <w:tcW w:w="7269" w:type="dxa"/>
            <w:vAlign w:val="center"/>
          </w:tcPr>
          <w:p w:rsidR="00812822" w:rsidRPr="00800E0F" w:rsidRDefault="0020290E">
            <w:pPr>
              <w:snapToGrid w:val="0"/>
              <w:jc w:val="both"/>
              <w:rPr>
                <w:szCs w:val="21"/>
              </w:rPr>
            </w:pPr>
            <w:r w:rsidRPr="00800E0F">
              <w:rPr>
                <w:rFonts w:hint="eastAsia"/>
                <w:szCs w:val="21"/>
              </w:rPr>
              <w:t>节点数：配置≥6台服务器节点</w:t>
            </w:r>
          </w:p>
        </w:tc>
      </w:tr>
      <w:tr w:rsidR="00812822" w:rsidRPr="00800E0F">
        <w:trPr>
          <w:trHeight w:val="430"/>
          <w:jc w:val="center"/>
        </w:trPr>
        <w:tc>
          <w:tcPr>
            <w:tcW w:w="1602" w:type="dxa"/>
            <w:vMerge w:val="restart"/>
            <w:vAlign w:val="center"/>
          </w:tcPr>
          <w:p w:rsidR="00812822" w:rsidRPr="00800E0F" w:rsidRDefault="0020290E">
            <w:pPr>
              <w:snapToGrid w:val="0"/>
              <w:jc w:val="center"/>
              <w:rPr>
                <w:szCs w:val="21"/>
              </w:rPr>
            </w:pPr>
            <w:r w:rsidRPr="00800E0F">
              <w:rPr>
                <w:rFonts w:hint="eastAsia"/>
                <w:szCs w:val="21"/>
              </w:rPr>
              <w:t>整体性能要求</w:t>
            </w:r>
          </w:p>
        </w:tc>
        <w:tc>
          <w:tcPr>
            <w:tcW w:w="7269" w:type="dxa"/>
            <w:vAlign w:val="center"/>
          </w:tcPr>
          <w:p w:rsidR="00812822" w:rsidRPr="00800E0F" w:rsidRDefault="0020290E">
            <w:pPr>
              <w:snapToGrid w:val="0"/>
              <w:jc w:val="both"/>
              <w:rPr>
                <w:szCs w:val="21"/>
              </w:rPr>
            </w:pPr>
            <w:r w:rsidRPr="00800E0F">
              <w:rPr>
                <w:rFonts w:hint="eastAsia"/>
                <w:szCs w:val="21"/>
              </w:rPr>
              <w:t>C</w:t>
            </w:r>
            <w:r w:rsidRPr="00800E0F">
              <w:rPr>
                <w:szCs w:val="21"/>
              </w:rPr>
              <w:t>PU</w:t>
            </w:r>
            <w:r w:rsidRPr="00800E0F">
              <w:rPr>
                <w:rFonts w:hint="eastAsia"/>
                <w:szCs w:val="21"/>
              </w:rPr>
              <w:t>：C</w:t>
            </w:r>
            <w:r w:rsidRPr="00800E0F">
              <w:rPr>
                <w:szCs w:val="21"/>
              </w:rPr>
              <w:t>PU</w:t>
            </w:r>
            <w:r w:rsidRPr="00800E0F">
              <w:rPr>
                <w:rFonts w:hint="eastAsia"/>
                <w:szCs w:val="21"/>
              </w:rPr>
              <w:t>物理核总数≥</w:t>
            </w:r>
            <w:r w:rsidRPr="00800E0F">
              <w:rPr>
                <w:szCs w:val="21"/>
              </w:rPr>
              <w:t>384核</w:t>
            </w:r>
          </w:p>
        </w:tc>
      </w:tr>
      <w:tr w:rsidR="00812822" w:rsidRPr="00800E0F">
        <w:trPr>
          <w:trHeight w:val="408"/>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内存：内存总数≥6TB</w:t>
            </w:r>
          </w:p>
        </w:tc>
      </w:tr>
      <w:tr w:rsidR="00812822" w:rsidRPr="00800E0F">
        <w:trPr>
          <w:trHeight w:val="415"/>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存储：</w:t>
            </w:r>
            <w:proofErr w:type="gramStart"/>
            <w:r w:rsidRPr="00800E0F">
              <w:rPr>
                <w:rFonts w:hint="eastAsia"/>
                <w:szCs w:val="21"/>
              </w:rPr>
              <w:t>存储总</w:t>
            </w:r>
            <w:proofErr w:type="gramEnd"/>
            <w:r w:rsidRPr="00800E0F">
              <w:rPr>
                <w:rFonts w:hint="eastAsia"/>
                <w:szCs w:val="21"/>
              </w:rPr>
              <w:t>容量（裸容量）：≥</w:t>
            </w:r>
            <w:r w:rsidRPr="00800E0F">
              <w:rPr>
                <w:szCs w:val="21"/>
              </w:rPr>
              <w:t>233</w:t>
            </w:r>
            <w:r w:rsidRPr="00800E0F">
              <w:rPr>
                <w:rFonts w:hint="eastAsia"/>
                <w:szCs w:val="21"/>
              </w:rPr>
              <w:t>TB</w:t>
            </w:r>
          </w:p>
        </w:tc>
      </w:tr>
      <w:tr w:rsidR="00812822" w:rsidRPr="00800E0F">
        <w:trPr>
          <w:trHeight w:val="421"/>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集群算力：</w:t>
            </w:r>
            <w:proofErr w:type="gramStart"/>
            <w:r w:rsidRPr="00800E0F">
              <w:rPr>
                <w:rFonts w:hint="eastAsia"/>
                <w:szCs w:val="21"/>
              </w:rPr>
              <w:t>单精度算力</w:t>
            </w:r>
            <w:proofErr w:type="gramEnd"/>
            <w:r w:rsidRPr="00800E0F">
              <w:rPr>
                <w:rFonts w:hint="eastAsia"/>
                <w:szCs w:val="21"/>
              </w:rPr>
              <w:t>≥</w:t>
            </w:r>
            <w:r w:rsidRPr="00800E0F">
              <w:rPr>
                <w:szCs w:val="21"/>
              </w:rPr>
              <w:t xml:space="preserve">502.8 </w:t>
            </w:r>
            <w:proofErr w:type="spellStart"/>
            <w:r w:rsidRPr="00800E0F">
              <w:rPr>
                <w:szCs w:val="21"/>
              </w:rPr>
              <w:t>Tflops</w:t>
            </w:r>
            <w:proofErr w:type="spellEnd"/>
            <w:r w:rsidRPr="00800E0F">
              <w:rPr>
                <w:rFonts w:hint="eastAsia"/>
                <w:szCs w:val="21"/>
              </w:rPr>
              <w:t>；</w:t>
            </w:r>
            <w:proofErr w:type="gramStart"/>
            <w:r w:rsidRPr="00800E0F">
              <w:rPr>
                <w:rFonts w:hint="eastAsia"/>
                <w:szCs w:val="21"/>
              </w:rPr>
              <w:t>双精度算力</w:t>
            </w:r>
            <w:proofErr w:type="gramEnd"/>
            <w:r w:rsidRPr="00800E0F">
              <w:rPr>
                <w:rFonts w:hint="eastAsia"/>
                <w:szCs w:val="21"/>
              </w:rPr>
              <w:t>≥2</w:t>
            </w:r>
            <w:r w:rsidRPr="00800E0F">
              <w:rPr>
                <w:szCs w:val="21"/>
              </w:rPr>
              <w:t xml:space="preserve">7 </w:t>
            </w:r>
            <w:proofErr w:type="spellStart"/>
            <w:r w:rsidRPr="00800E0F">
              <w:rPr>
                <w:szCs w:val="21"/>
              </w:rPr>
              <w:t>Tflops</w:t>
            </w:r>
            <w:proofErr w:type="spellEnd"/>
          </w:p>
        </w:tc>
      </w:tr>
      <w:tr w:rsidR="00812822" w:rsidRPr="00800E0F">
        <w:trPr>
          <w:trHeight w:val="520"/>
          <w:jc w:val="center"/>
        </w:trPr>
        <w:tc>
          <w:tcPr>
            <w:tcW w:w="1602" w:type="dxa"/>
            <w:vMerge w:val="restart"/>
            <w:vAlign w:val="center"/>
          </w:tcPr>
          <w:p w:rsidR="00812822" w:rsidRPr="00800E0F" w:rsidRDefault="0020290E">
            <w:pPr>
              <w:snapToGrid w:val="0"/>
              <w:jc w:val="center"/>
              <w:rPr>
                <w:szCs w:val="21"/>
              </w:rPr>
            </w:pPr>
            <w:r w:rsidRPr="00800E0F">
              <w:rPr>
                <w:rFonts w:hint="eastAsia"/>
                <w:szCs w:val="21"/>
              </w:rPr>
              <w:t>每节点性能参数要求</w:t>
            </w:r>
          </w:p>
        </w:tc>
        <w:tc>
          <w:tcPr>
            <w:tcW w:w="7269" w:type="dxa"/>
            <w:vAlign w:val="center"/>
          </w:tcPr>
          <w:p w:rsidR="00812822" w:rsidRPr="00800E0F" w:rsidRDefault="0020290E">
            <w:pPr>
              <w:snapToGrid w:val="0"/>
              <w:jc w:val="both"/>
              <w:rPr>
                <w:szCs w:val="21"/>
              </w:rPr>
            </w:pPr>
            <w:r w:rsidRPr="00800E0F">
              <w:rPr>
                <w:szCs w:val="21"/>
              </w:rPr>
              <w:t>CPU</w:t>
            </w:r>
            <w:r w:rsidRPr="00800E0F">
              <w:rPr>
                <w:rFonts w:hint="eastAsia"/>
                <w:szCs w:val="21"/>
              </w:rPr>
              <w:t>：配置</w:t>
            </w:r>
            <w:r w:rsidRPr="00800E0F">
              <w:t>≥</w:t>
            </w:r>
            <w:r w:rsidRPr="00800E0F">
              <w:rPr>
                <w:rFonts w:hint="eastAsia"/>
              </w:rPr>
              <w:t>2颗CPU处理器，每个CPU处理器要求</w:t>
            </w:r>
            <w:r w:rsidRPr="00800E0F">
              <w:t xml:space="preserve">主频≥2.2GHz, </w:t>
            </w:r>
            <w:proofErr w:type="gramStart"/>
            <w:r w:rsidRPr="00800E0F">
              <w:rPr>
                <w:rFonts w:hint="eastAsia"/>
              </w:rPr>
              <w:t>内核数</w:t>
            </w:r>
            <w:proofErr w:type="gramEnd"/>
            <w:r w:rsidRPr="00800E0F">
              <w:t>≥32Core</w:t>
            </w:r>
            <w:r w:rsidRPr="00800E0F">
              <w:rPr>
                <w:rFonts w:hint="eastAsia"/>
              </w:rPr>
              <w:t>，</w:t>
            </w:r>
            <w:proofErr w:type="gramStart"/>
            <w:r w:rsidRPr="00800E0F">
              <w:rPr>
                <w:rFonts w:hint="eastAsia"/>
              </w:rPr>
              <w:t>线程数</w:t>
            </w:r>
            <w:proofErr w:type="gramEnd"/>
            <w:r w:rsidRPr="00800E0F">
              <w:t>≥64</w:t>
            </w:r>
            <w:r w:rsidRPr="00800E0F">
              <w:rPr>
                <w:rFonts w:hint="eastAsia"/>
              </w:rPr>
              <w:t>线程</w:t>
            </w:r>
            <w:r w:rsidRPr="00800E0F">
              <w:t>，</w:t>
            </w:r>
            <w:r w:rsidRPr="00800E0F">
              <w:rPr>
                <w:rFonts w:hint="eastAsia"/>
              </w:rPr>
              <w:t>高速缓存≥48</w:t>
            </w:r>
            <w:r w:rsidRPr="00800E0F">
              <w:t>MB</w:t>
            </w:r>
          </w:p>
        </w:tc>
      </w:tr>
      <w:tr w:rsidR="00812822" w:rsidRPr="00800E0F">
        <w:trPr>
          <w:trHeight w:val="427"/>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pPr>
            <w:r w:rsidRPr="00800E0F">
              <w:rPr>
                <w:rFonts w:hint="eastAsia"/>
              </w:rPr>
              <w:t>内存：配置</w:t>
            </w:r>
            <w:r w:rsidRPr="00800E0F">
              <w:t>≥1024GB DDR4 RDIMMs</w:t>
            </w:r>
            <w:r w:rsidRPr="00800E0F">
              <w:rPr>
                <w:rFonts w:hint="eastAsia"/>
              </w:rPr>
              <w:t>内存</w:t>
            </w:r>
          </w:p>
        </w:tc>
      </w:tr>
      <w:tr w:rsidR="00812822" w:rsidRPr="00800E0F">
        <w:trPr>
          <w:trHeight w:val="421"/>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系统盘：配置</w:t>
            </w:r>
            <w:r w:rsidRPr="00800E0F">
              <w:t>≥</w:t>
            </w:r>
            <w:r w:rsidRPr="00800E0F">
              <w:rPr>
                <w:szCs w:val="21"/>
              </w:rPr>
              <w:t>2</w:t>
            </w:r>
            <w:r w:rsidRPr="00800E0F">
              <w:rPr>
                <w:rFonts w:hint="eastAsia"/>
                <w:szCs w:val="21"/>
              </w:rPr>
              <w:t>块</w:t>
            </w:r>
            <w:r w:rsidRPr="00800E0F">
              <w:rPr>
                <w:szCs w:val="21"/>
              </w:rPr>
              <w:t>240GB M.2 SSD</w:t>
            </w:r>
            <w:r w:rsidRPr="00800E0F">
              <w:rPr>
                <w:rFonts w:hint="eastAsia"/>
                <w:szCs w:val="21"/>
              </w:rPr>
              <w:t>硬盘</w:t>
            </w:r>
            <w:r w:rsidRPr="00800E0F">
              <w:rPr>
                <w:szCs w:val="21"/>
              </w:rPr>
              <w:t xml:space="preserve"> (</w:t>
            </w:r>
            <w:r w:rsidRPr="00800E0F">
              <w:rPr>
                <w:rFonts w:hint="eastAsia"/>
                <w:szCs w:val="21"/>
              </w:rPr>
              <w:t>RAID</w:t>
            </w:r>
            <w:r w:rsidRPr="00800E0F">
              <w:rPr>
                <w:szCs w:val="21"/>
              </w:rPr>
              <w:t xml:space="preserve"> 1)</w:t>
            </w:r>
          </w:p>
        </w:tc>
      </w:tr>
      <w:tr w:rsidR="00812822" w:rsidRPr="00800E0F">
        <w:trPr>
          <w:trHeight w:val="412"/>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固态盘：配置</w:t>
            </w:r>
            <w:r w:rsidRPr="00800E0F">
              <w:rPr>
                <w:szCs w:val="21"/>
              </w:rPr>
              <w:t>≥10</w:t>
            </w:r>
            <w:r w:rsidRPr="00800E0F">
              <w:rPr>
                <w:rFonts w:hint="eastAsia"/>
                <w:szCs w:val="21"/>
              </w:rPr>
              <w:t>块</w:t>
            </w:r>
            <w:r w:rsidRPr="00800E0F">
              <w:rPr>
                <w:szCs w:val="21"/>
              </w:rPr>
              <w:t>3.84 TB SATA SSD</w:t>
            </w:r>
            <w:r w:rsidRPr="00800E0F">
              <w:rPr>
                <w:rFonts w:hint="eastAsia"/>
                <w:szCs w:val="21"/>
              </w:rPr>
              <w:t>硬盘</w:t>
            </w:r>
            <w:r w:rsidRPr="00800E0F">
              <w:rPr>
                <w:rFonts w:hint="eastAsia"/>
              </w:rPr>
              <w:t>，支持热插拔</w:t>
            </w:r>
          </w:p>
        </w:tc>
      </w:tr>
      <w:tr w:rsidR="00812822" w:rsidRPr="00800E0F">
        <w:trPr>
          <w:trHeight w:val="571"/>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szCs w:val="21"/>
              </w:rPr>
              <w:t>GPU</w:t>
            </w:r>
            <w:r w:rsidRPr="00800E0F">
              <w:rPr>
                <w:rFonts w:hint="eastAsia"/>
                <w:szCs w:val="21"/>
              </w:rPr>
              <w:t>显卡：配置</w:t>
            </w:r>
            <w:r w:rsidRPr="00800E0F">
              <w:rPr>
                <w:szCs w:val="21"/>
              </w:rPr>
              <w:t>≥2</w:t>
            </w:r>
            <w:r w:rsidRPr="00800E0F">
              <w:rPr>
                <w:rFonts w:hint="eastAsia"/>
                <w:szCs w:val="21"/>
              </w:rPr>
              <w:t>张</w:t>
            </w:r>
            <w:r w:rsidRPr="00800E0F">
              <w:rPr>
                <w:szCs w:val="21"/>
              </w:rPr>
              <w:t xml:space="preserve">NVIDIA </w:t>
            </w:r>
            <w:r w:rsidRPr="00800E0F">
              <w:t xml:space="preserve">Tesla </w:t>
            </w:r>
            <w:r w:rsidRPr="00800E0F">
              <w:rPr>
                <w:szCs w:val="21"/>
              </w:rPr>
              <w:t>A40 48GB G</w:t>
            </w:r>
            <w:r w:rsidRPr="00800E0F">
              <w:rPr>
                <w:rFonts w:hint="eastAsia"/>
                <w:szCs w:val="21"/>
              </w:rPr>
              <w:t>PU</w:t>
            </w:r>
            <w:r w:rsidRPr="00800E0F">
              <w:t>显卡（</w:t>
            </w:r>
            <w:r w:rsidRPr="00800E0F">
              <w:rPr>
                <w:rFonts w:hint="eastAsia"/>
              </w:rPr>
              <w:t>≥</w:t>
            </w:r>
            <w:r w:rsidRPr="00800E0F">
              <w:t>48GB</w:t>
            </w:r>
            <w:r w:rsidRPr="00800E0F">
              <w:rPr>
                <w:rFonts w:hint="eastAsia"/>
              </w:rPr>
              <w:t>显存</w:t>
            </w:r>
            <w:r w:rsidRPr="00800E0F">
              <w:t>）</w:t>
            </w:r>
          </w:p>
        </w:tc>
      </w:tr>
      <w:tr w:rsidR="00812822" w:rsidRPr="00800E0F">
        <w:trPr>
          <w:trHeight w:val="540"/>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pPr>
            <w:r w:rsidRPr="00800E0F">
              <w:rPr>
                <w:rFonts w:hint="eastAsia"/>
              </w:rPr>
              <w:t>网卡：配置</w:t>
            </w:r>
            <w:r w:rsidRPr="00800E0F">
              <w:t>≥</w:t>
            </w:r>
            <w:r w:rsidRPr="00800E0F">
              <w:rPr>
                <w:rFonts w:hint="eastAsia"/>
              </w:rPr>
              <w:t>2张4端口万兆光接口网卡（含≥8个万兆</w:t>
            </w:r>
            <w:proofErr w:type="gramStart"/>
            <w:r w:rsidRPr="00800E0F">
              <w:rPr>
                <w:rFonts w:hint="eastAsia"/>
              </w:rPr>
              <w:t>多模光模块</w:t>
            </w:r>
            <w:proofErr w:type="gramEnd"/>
            <w:r w:rsidRPr="00800E0F">
              <w:rPr>
                <w:rFonts w:hint="eastAsia"/>
              </w:rPr>
              <w:t>），配置≥1张4端口</w:t>
            </w:r>
            <w:proofErr w:type="gramStart"/>
            <w:r w:rsidRPr="00800E0F">
              <w:rPr>
                <w:rFonts w:hint="eastAsia"/>
              </w:rPr>
              <w:t>千兆电网卡</w:t>
            </w:r>
            <w:proofErr w:type="gramEnd"/>
          </w:p>
        </w:tc>
      </w:tr>
      <w:tr w:rsidR="00812822" w:rsidRPr="00800E0F">
        <w:trPr>
          <w:trHeight w:val="540"/>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pPr>
            <w:r w:rsidRPr="00800E0F">
              <w:rPr>
                <w:rFonts w:hint="eastAsia"/>
              </w:rPr>
              <w:t>电源/风扇：配置≥2个冗余电源支持热插拔；配置冗余风扇支持热插拔</w:t>
            </w:r>
          </w:p>
        </w:tc>
      </w:tr>
      <w:tr w:rsidR="00812822" w:rsidRPr="00800E0F">
        <w:trPr>
          <w:trHeight w:val="632"/>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pPr>
            <w:r w:rsidRPr="00800E0F">
              <w:rPr>
                <w:rFonts w:hint="eastAsia"/>
              </w:rPr>
              <w:t>售后服务：硬件提供</w:t>
            </w:r>
            <w:r w:rsidRPr="00800E0F">
              <w:t xml:space="preserve"> 5 年 7x24x4 售后服务；提供</w:t>
            </w:r>
            <w:r w:rsidRPr="00800E0F">
              <w:rPr>
                <w:rFonts w:hint="eastAsia"/>
                <w:szCs w:val="21"/>
              </w:rPr>
              <w:t>针对此项目的</w:t>
            </w:r>
            <w:r w:rsidRPr="00800E0F">
              <w:t>原厂服务承诺函</w:t>
            </w:r>
          </w:p>
        </w:tc>
      </w:tr>
    </w:tbl>
    <w:p w:rsidR="00812822" w:rsidRPr="00800E0F" w:rsidRDefault="00812822"/>
    <w:p w:rsidR="00812822" w:rsidRPr="00800E0F" w:rsidRDefault="0020290E">
      <w:pPr>
        <w:pStyle w:val="3"/>
        <w:widowControl w:val="0"/>
        <w:ind w:leftChars="0" w:left="0" w:rightChars="0" w:right="0"/>
        <w:jc w:val="both"/>
      </w:pPr>
      <w:r w:rsidRPr="00800E0F">
        <w:rPr>
          <w:rFonts w:hint="eastAsia"/>
        </w:rPr>
        <w:t>3</w:t>
      </w:r>
      <w:r w:rsidRPr="00800E0F">
        <w:t>.2</w:t>
      </w:r>
      <w:r w:rsidRPr="00800E0F">
        <w:rPr>
          <w:rFonts w:hint="eastAsia"/>
        </w:rPr>
        <w:t>虚拟化服务器参数要求</w:t>
      </w:r>
    </w:p>
    <w:tbl>
      <w:tblPr>
        <w:tblW w:w="8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2"/>
        <w:gridCol w:w="7269"/>
      </w:tblGrid>
      <w:tr w:rsidR="00812822" w:rsidRPr="00800E0F">
        <w:trPr>
          <w:trHeight w:val="167"/>
          <w:tblHeader/>
          <w:jc w:val="center"/>
        </w:trPr>
        <w:tc>
          <w:tcPr>
            <w:tcW w:w="1602" w:type="dxa"/>
            <w:shd w:val="clear" w:color="auto" w:fill="D7D7D7"/>
            <w:vAlign w:val="center"/>
          </w:tcPr>
          <w:p w:rsidR="00812822" w:rsidRPr="00800E0F" w:rsidRDefault="0020290E">
            <w:pPr>
              <w:snapToGrid w:val="0"/>
              <w:jc w:val="center"/>
              <w:rPr>
                <w:szCs w:val="21"/>
              </w:rPr>
            </w:pPr>
            <w:r w:rsidRPr="00800E0F">
              <w:rPr>
                <w:rFonts w:hint="eastAsia"/>
                <w:szCs w:val="21"/>
              </w:rPr>
              <w:t>指标项</w:t>
            </w:r>
          </w:p>
        </w:tc>
        <w:tc>
          <w:tcPr>
            <w:tcW w:w="7269" w:type="dxa"/>
            <w:shd w:val="clear" w:color="auto" w:fill="D7D7D7"/>
            <w:vAlign w:val="center"/>
          </w:tcPr>
          <w:p w:rsidR="00812822" w:rsidRPr="00800E0F" w:rsidRDefault="0020290E">
            <w:pPr>
              <w:snapToGrid w:val="0"/>
              <w:jc w:val="center"/>
              <w:rPr>
                <w:szCs w:val="21"/>
              </w:rPr>
            </w:pPr>
            <w:r w:rsidRPr="00800E0F">
              <w:rPr>
                <w:rFonts w:hint="eastAsia"/>
                <w:szCs w:val="21"/>
              </w:rPr>
              <w:t>指标要求</w:t>
            </w:r>
          </w:p>
        </w:tc>
      </w:tr>
      <w:tr w:rsidR="00812822" w:rsidRPr="00800E0F">
        <w:trPr>
          <w:trHeight w:val="606"/>
          <w:jc w:val="center"/>
        </w:trPr>
        <w:tc>
          <w:tcPr>
            <w:tcW w:w="1602" w:type="dxa"/>
            <w:vAlign w:val="center"/>
          </w:tcPr>
          <w:p w:rsidR="00812822" w:rsidRPr="00800E0F" w:rsidRDefault="0020290E">
            <w:pPr>
              <w:snapToGrid w:val="0"/>
              <w:jc w:val="center"/>
              <w:rPr>
                <w:szCs w:val="21"/>
              </w:rPr>
            </w:pPr>
            <w:r w:rsidRPr="00800E0F">
              <w:rPr>
                <w:rFonts w:hint="eastAsia"/>
                <w:szCs w:val="21"/>
              </w:rPr>
              <w:t>基本要求</w:t>
            </w:r>
          </w:p>
        </w:tc>
        <w:tc>
          <w:tcPr>
            <w:tcW w:w="7269" w:type="dxa"/>
            <w:vAlign w:val="center"/>
          </w:tcPr>
          <w:p w:rsidR="00812822" w:rsidRPr="00800E0F" w:rsidRDefault="0020290E">
            <w:pPr>
              <w:snapToGrid w:val="0"/>
              <w:jc w:val="both"/>
              <w:rPr>
                <w:szCs w:val="21"/>
              </w:rPr>
            </w:pPr>
            <w:r w:rsidRPr="00800E0F">
              <w:rPr>
                <w:rFonts w:hint="eastAsia"/>
                <w:szCs w:val="21"/>
              </w:rPr>
              <w:t>节点数：配置≥6台服务器节点</w:t>
            </w:r>
          </w:p>
        </w:tc>
      </w:tr>
      <w:tr w:rsidR="00812822" w:rsidRPr="00800E0F">
        <w:trPr>
          <w:trHeight w:val="606"/>
          <w:jc w:val="center"/>
        </w:trPr>
        <w:tc>
          <w:tcPr>
            <w:tcW w:w="1602" w:type="dxa"/>
            <w:vMerge w:val="restart"/>
            <w:vAlign w:val="center"/>
          </w:tcPr>
          <w:p w:rsidR="00812822" w:rsidRPr="00800E0F" w:rsidRDefault="0020290E">
            <w:pPr>
              <w:snapToGrid w:val="0"/>
              <w:jc w:val="center"/>
              <w:rPr>
                <w:szCs w:val="21"/>
              </w:rPr>
            </w:pPr>
            <w:r w:rsidRPr="00800E0F">
              <w:rPr>
                <w:rFonts w:hint="eastAsia"/>
                <w:szCs w:val="21"/>
              </w:rPr>
              <w:t>整体性能要求</w:t>
            </w:r>
          </w:p>
        </w:tc>
        <w:tc>
          <w:tcPr>
            <w:tcW w:w="7269" w:type="dxa"/>
            <w:vAlign w:val="center"/>
          </w:tcPr>
          <w:p w:rsidR="00812822" w:rsidRPr="00800E0F" w:rsidRDefault="0020290E">
            <w:pPr>
              <w:snapToGrid w:val="0"/>
              <w:jc w:val="both"/>
              <w:rPr>
                <w:szCs w:val="21"/>
              </w:rPr>
            </w:pPr>
            <w:r w:rsidRPr="00800E0F">
              <w:rPr>
                <w:rFonts w:hint="eastAsia"/>
                <w:szCs w:val="21"/>
              </w:rPr>
              <w:t>C</w:t>
            </w:r>
            <w:r w:rsidRPr="00800E0F">
              <w:rPr>
                <w:szCs w:val="21"/>
              </w:rPr>
              <w:t>PU</w:t>
            </w:r>
            <w:r w:rsidRPr="00800E0F">
              <w:rPr>
                <w:rFonts w:hint="eastAsia"/>
                <w:szCs w:val="21"/>
              </w:rPr>
              <w:t>：C</w:t>
            </w:r>
            <w:r w:rsidRPr="00800E0F">
              <w:rPr>
                <w:szCs w:val="21"/>
              </w:rPr>
              <w:t>PU</w:t>
            </w:r>
            <w:r w:rsidRPr="00800E0F">
              <w:rPr>
                <w:rFonts w:hint="eastAsia"/>
                <w:szCs w:val="21"/>
              </w:rPr>
              <w:t>物理核总数≥</w:t>
            </w:r>
            <w:r w:rsidRPr="00800E0F">
              <w:rPr>
                <w:szCs w:val="21"/>
              </w:rPr>
              <w:t>384核</w:t>
            </w:r>
          </w:p>
        </w:tc>
      </w:tr>
      <w:tr w:rsidR="00812822" w:rsidRPr="00800E0F">
        <w:trPr>
          <w:trHeight w:val="606"/>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内存：内存总数≥6TB</w:t>
            </w:r>
          </w:p>
        </w:tc>
      </w:tr>
      <w:tr w:rsidR="00812822" w:rsidRPr="00800E0F">
        <w:trPr>
          <w:trHeight w:val="606"/>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存储：</w:t>
            </w:r>
            <w:proofErr w:type="gramStart"/>
            <w:r w:rsidRPr="00800E0F">
              <w:rPr>
                <w:rFonts w:hint="eastAsia"/>
                <w:szCs w:val="21"/>
              </w:rPr>
              <w:t>存储总</w:t>
            </w:r>
            <w:proofErr w:type="gramEnd"/>
            <w:r w:rsidRPr="00800E0F">
              <w:rPr>
                <w:rFonts w:hint="eastAsia"/>
                <w:szCs w:val="21"/>
              </w:rPr>
              <w:t>容量（裸容量）：≥</w:t>
            </w:r>
            <w:r w:rsidRPr="00800E0F">
              <w:rPr>
                <w:szCs w:val="21"/>
              </w:rPr>
              <w:t>233</w:t>
            </w:r>
            <w:r w:rsidRPr="00800E0F">
              <w:rPr>
                <w:rFonts w:hint="eastAsia"/>
                <w:szCs w:val="21"/>
              </w:rPr>
              <w:t>TB</w:t>
            </w:r>
          </w:p>
        </w:tc>
      </w:tr>
      <w:tr w:rsidR="00812822" w:rsidRPr="00800E0F">
        <w:trPr>
          <w:trHeight w:val="606"/>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集群算力：</w:t>
            </w:r>
            <w:proofErr w:type="gramStart"/>
            <w:r w:rsidRPr="00800E0F">
              <w:rPr>
                <w:rFonts w:hint="eastAsia"/>
                <w:szCs w:val="21"/>
              </w:rPr>
              <w:t>单精度算力</w:t>
            </w:r>
            <w:proofErr w:type="gramEnd"/>
            <w:r w:rsidRPr="00800E0F">
              <w:rPr>
                <w:rFonts w:hint="eastAsia"/>
                <w:szCs w:val="21"/>
              </w:rPr>
              <w:t>≥</w:t>
            </w:r>
            <w:r w:rsidRPr="00800E0F">
              <w:rPr>
                <w:szCs w:val="21"/>
              </w:rPr>
              <w:t xml:space="preserve">54 </w:t>
            </w:r>
            <w:proofErr w:type="spellStart"/>
            <w:r w:rsidRPr="00800E0F">
              <w:rPr>
                <w:szCs w:val="21"/>
              </w:rPr>
              <w:t>Tflops</w:t>
            </w:r>
            <w:proofErr w:type="spellEnd"/>
            <w:r w:rsidRPr="00800E0F">
              <w:rPr>
                <w:rFonts w:hint="eastAsia"/>
                <w:szCs w:val="21"/>
              </w:rPr>
              <w:t>；</w:t>
            </w:r>
            <w:proofErr w:type="gramStart"/>
            <w:r w:rsidRPr="00800E0F">
              <w:rPr>
                <w:rFonts w:hint="eastAsia"/>
                <w:szCs w:val="21"/>
              </w:rPr>
              <w:t>双精度算力</w:t>
            </w:r>
            <w:proofErr w:type="gramEnd"/>
            <w:r w:rsidRPr="00800E0F">
              <w:rPr>
                <w:rFonts w:hint="eastAsia"/>
                <w:szCs w:val="21"/>
              </w:rPr>
              <w:t>≥2</w:t>
            </w:r>
            <w:r w:rsidRPr="00800E0F">
              <w:rPr>
                <w:szCs w:val="21"/>
              </w:rPr>
              <w:t xml:space="preserve">7 </w:t>
            </w:r>
            <w:proofErr w:type="spellStart"/>
            <w:r w:rsidRPr="00800E0F">
              <w:rPr>
                <w:szCs w:val="21"/>
              </w:rPr>
              <w:t>Tflops</w:t>
            </w:r>
            <w:proofErr w:type="spellEnd"/>
          </w:p>
        </w:tc>
      </w:tr>
      <w:tr w:rsidR="00812822" w:rsidRPr="00800E0F">
        <w:trPr>
          <w:trHeight w:val="520"/>
          <w:jc w:val="center"/>
        </w:trPr>
        <w:tc>
          <w:tcPr>
            <w:tcW w:w="1602" w:type="dxa"/>
            <w:vMerge w:val="restart"/>
            <w:vAlign w:val="center"/>
          </w:tcPr>
          <w:p w:rsidR="00812822" w:rsidRPr="00800E0F" w:rsidRDefault="0020290E">
            <w:pPr>
              <w:snapToGrid w:val="0"/>
              <w:jc w:val="center"/>
              <w:rPr>
                <w:szCs w:val="21"/>
              </w:rPr>
            </w:pPr>
            <w:r w:rsidRPr="00800E0F">
              <w:rPr>
                <w:rFonts w:hint="eastAsia"/>
                <w:szCs w:val="21"/>
              </w:rPr>
              <w:t>每节点性能参数要求</w:t>
            </w:r>
          </w:p>
        </w:tc>
        <w:tc>
          <w:tcPr>
            <w:tcW w:w="7269" w:type="dxa"/>
            <w:vAlign w:val="center"/>
          </w:tcPr>
          <w:p w:rsidR="00812822" w:rsidRPr="00800E0F" w:rsidRDefault="0020290E">
            <w:pPr>
              <w:snapToGrid w:val="0"/>
              <w:jc w:val="both"/>
              <w:rPr>
                <w:szCs w:val="21"/>
              </w:rPr>
            </w:pPr>
            <w:r w:rsidRPr="00800E0F">
              <w:rPr>
                <w:szCs w:val="21"/>
              </w:rPr>
              <w:t>CPU</w:t>
            </w:r>
            <w:r w:rsidRPr="00800E0F">
              <w:rPr>
                <w:rFonts w:hint="eastAsia"/>
                <w:szCs w:val="21"/>
              </w:rPr>
              <w:t>：配置</w:t>
            </w:r>
            <w:r w:rsidRPr="00800E0F">
              <w:t>≥</w:t>
            </w:r>
            <w:r w:rsidRPr="00800E0F">
              <w:rPr>
                <w:rFonts w:hint="eastAsia"/>
              </w:rPr>
              <w:t>2颗CPU处理器，每个CPU处理器要求</w:t>
            </w:r>
            <w:r w:rsidRPr="00800E0F">
              <w:t xml:space="preserve">主频≥2.2GHz, </w:t>
            </w:r>
            <w:proofErr w:type="gramStart"/>
            <w:r w:rsidRPr="00800E0F">
              <w:rPr>
                <w:rFonts w:hint="eastAsia"/>
              </w:rPr>
              <w:t>内核数</w:t>
            </w:r>
            <w:proofErr w:type="gramEnd"/>
            <w:r w:rsidRPr="00800E0F">
              <w:t>≥32Core</w:t>
            </w:r>
            <w:r w:rsidRPr="00800E0F">
              <w:rPr>
                <w:rFonts w:hint="eastAsia"/>
              </w:rPr>
              <w:t>，</w:t>
            </w:r>
            <w:proofErr w:type="gramStart"/>
            <w:r w:rsidRPr="00800E0F">
              <w:rPr>
                <w:rFonts w:hint="eastAsia"/>
              </w:rPr>
              <w:t>线程数</w:t>
            </w:r>
            <w:proofErr w:type="gramEnd"/>
            <w:r w:rsidRPr="00800E0F">
              <w:t>≥64</w:t>
            </w:r>
            <w:r w:rsidRPr="00800E0F">
              <w:rPr>
                <w:rFonts w:hint="eastAsia"/>
              </w:rPr>
              <w:t>线程</w:t>
            </w:r>
            <w:r w:rsidRPr="00800E0F">
              <w:t>，</w:t>
            </w:r>
            <w:r w:rsidRPr="00800E0F">
              <w:rPr>
                <w:rFonts w:hint="eastAsia"/>
              </w:rPr>
              <w:t>高速缓存≥48</w:t>
            </w:r>
            <w:r w:rsidRPr="00800E0F">
              <w:t>MB</w:t>
            </w:r>
          </w:p>
        </w:tc>
      </w:tr>
      <w:tr w:rsidR="00812822" w:rsidRPr="00800E0F">
        <w:trPr>
          <w:trHeight w:val="427"/>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pPr>
            <w:r w:rsidRPr="00800E0F">
              <w:rPr>
                <w:rFonts w:hint="eastAsia"/>
              </w:rPr>
              <w:t>内存：配置</w:t>
            </w:r>
            <w:r w:rsidRPr="00800E0F">
              <w:t>≥1024GB DDR4 RDIMMs</w:t>
            </w:r>
            <w:r w:rsidRPr="00800E0F">
              <w:rPr>
                <w:rFonts w:hint="eastAsia"/>
              </w:rPr>
              <w:t>内存</w:t>
            </w:r>
          </w:p>
        </w:tc>
      </w:tr>
      <w:tr w:rsidR="00812822" w:rsidRPr="00800E0F">
        <w:trPr>
          <w:trHeight w:val="421"/>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系统盘：配置</w:t>
            </w:r>
            <w:r w:rsidRPr="00800E0F">
              <w:t>≥</w:t>
            </w:r>
            <w:r w:rsidRPr="00800E0F">
              <w:rPr>
                <w:szCs w:val="21"/>
              </w:rPr>
              <w:t>2</w:t>
            </w:r>
            <w:r w:rsidRPr="00800E0F">
              <w:rPr>
                <w:rFonts w:hint="eastAsia"/>
                <w:szCs w:val="21"/>
              </w:rPr>
              <w:t>块</w:t>
            </w:r>
            <w:r w:rsidRPr="00800E0F">
              <w:rPr>
                <w:szCs w:val="21"/>
              </w:rPr>
              <w:t>240GB M.2 SSD</w:t>
            </w:r>
            <w:r w:rsidRPr="00800E0F">
              <w:rPr>
                <w:rFonts w:hint="eastAsia"/>
                <w:szCs w:val="21"/>
              </w:rPr>
              <w:t>硬盘</w:t>
            </w:r>
            <w:r w:rsidRPr="00800E0F">
              <w:rPr>
                <w:szCs w:val="21"/>
              </w:rPr>
              <w:t xml:space="preserve"> (</w:t>
            </w:r>
            <w:r w:rsidRPr="00800E0F">
              <w:rPr>
                <w:rFonts w:hint="eastAsia"/>
                <w:szCs w:val="21"/>
              </w:rPr>
              <w:t>RAID</w:t>
            </w:r>
            <w:r w:rsidRPr="00800E0F">
              <w:rPr>
                <w:szCs w:val="21"/>
              </w:rPr>
              <w:t xml:space="preserve"> 1)</w:t>
            </w:r>
          </w:p>
        </w:tc>
      </w:tr>
      <w:tr w:rsidR="00812822" w:rsidRPr="00800E0F">
        <w:trPr>
          <w:trHeight w:val="412"/>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rPr>
                <w:szCs w:val="21"/>
              </w:rPr>
            </w:pPr>
            <w:r w:rsidRPr="00800E0F">
              <w:rPr>
                <w:rFonts w:hint="eastAsia"/>
                <w:szCs w:val="21"/>
              </w:rPr>
              <w:t>固态盘：配置</w:t>
            </w:r>
            <w:r w:rsidRPr="00800E0F">
              <w:rPr>
                <w:szCs w:val="21"/>
              </w:rPr>
              <w:t>≥10</w:t>
            </w:r>
            <w:r w:rsidRPr="00800E0F">
              <w:rPr>
                <w:rFonts w:hint="eastAsia"/>
                <w:szCs w:val="21"/>
              </w:rPr>
              <w:t>块</w:t>
            </w:r>
            <w:r w:rsidRPr="00800E0F">
              <w:rPr>
                <w:szCs w:val="21"/>
              </w:rPr>
              <w:t>3.84 TB SATA SSD</w:t>
            </w:r>
            <w:r w:rsidRPr="00800E0F">
              <w:rPr>
                <w:rFonts w:hint="eastAsia"/>
                <w:szCs w:val="21"/>
              </w:rPr>
              <w:t>硬盘</w:t>
            </w:r>
            <w:r w:rsidRPr="00800E0F">
              <w:rPr>
                <w:rFonts w:hint="eastAsia"/>
              </w:rPr>
              <w:t>，支持热插拔</w:t>
            </w:r>
          </w:p>
        </w:tc>
      </w:tr>
      <w:tr w:rsidR="00812822" w:rsidRPr="00800E0F">
        <w:trPr>
          <w:trHeight w:val="540"/>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pPr>
            <w:r w:rsidRPr="00800E0F">
              <w:rPr>
                <w:rFonts w:hint="eastAsia"/>
              </w:rPr>
              <w:t>网卡：配置</w:t>
            </w:r>
            <w:r w:rsidRPr="00800E0F">
              <w:t>≥</w:t>
            </w:r>
            <w:r w:rsidRPr="00800E0F">
              <w:rPr>
                <w:rFonts w:hint="eastAsia"/>
              </w:rPr>
              <w:t>2张4端口万兆光接口网卡（含≥8个万兆</w:t>
            </w:r>
            <w:proofErr w:type="gramStart"/>
            <w:r w:rsidRPr="00800E0F">
              <w:rPr>
                <w:rFonts w:hint="eastAsia"/>
              </w:rPr>
              <w:t>多模光模块</w:t>
            </w:r>
            <w:proofErr w:type="gramEnd"/>
            <w:r w:rsidRPr="00800E0F">
              <w:rPr>
                <w:rFonts w:hint="eastAsia"/>
              </w:rPr>
              <w:t>），配置≥1张4端口</w:t>
            </w:r>
            <w:proofErr w:type="gramStart"/>
            <w:r w:rsidRPr="00800E0F">
              <w:rPr>
                <w:rFonts w:hint="eastAsia"/>
              </w:rPr>
              <w:t>千兆电网卡</w:t>
            </w:r>
            <w:proofErr w:type="gramEnd"/>
          </w:p>
        </w:tc>
      </w:tr>
      <w:tr w:rsidR="00812822" w:rsidRPr="00800E0F">
        <w:trPr>
          <w:trHeight w:val="540"/>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pPr>
            <w:r w:rsidRPr="00800E0F">
              <w:rPr>
                <w:rFonts w:hint="eastAsia"/>
              </w:rPr>
              <w:t>电源/风扇：配置≥2个冗余电源支持热插拔；配置冗余风扇支持热插拔</w:t>
            </w:r>
          </w:p>
        </w:tc>
      </w:tr>
      <w:tr w:rsidR="00812822" w:rsidRPr="00800E0F">
        <w:trPr>
          <w:trHeight w:val="632"/>
          <w:jc w:val="center"/>
        </w:trPr>
        <w:tc>
          <w:tcPr>
            <w:tcW w:w="1602" w:type="dxa"/>
            <w:vMerge/>
            <w:vAlign w:val="center"/>
          </w:tcPr>
          <w:p w:rsidR="00812822" w:rsidRPr="00800E0F" w:rsidRDefault="00812822">
            <w:pPr>
              <w:snapToGrid w:val="0"/>
              <w:jc w:val="center"/>
              <w:rPr>
                <w:szCs w:val="21"/>
              </w:rPr>
            </w:pPr>
          </w:p>
        </w:tc>
        <w:tc>
          <w:tcPr>
            <w:tcW w:w="7269" w:type="dxa"/>
            <w:vAlign w:val="center"/>
          </w:tcPr>
          <w:p w:rsidR="00812822" w:rsidRPr="00800E0F" w:rsidRDefault="0020290E">
            <w:pPr>
              <w:snapToGrid w:val="0"/>
              <w:jc w:val="both"/>
            </w:pPr>
            <w:r w:rsidRPr="00800E0F">
              <w:rPr>
                <w:rFonts w:hint="eastAsia"/>
              </w:rPr>
              <w:t>售后服务：硬件提供</w:t>
            </w:r>
            <w:r w:rsidRPr="00800E0F">
              <w:t xml:space="preserve"> 5 年 7x24x4 售后服务；提供</w:t>
            </w:r>
            <w:r w:rsidRPr="00800E0F">
              <w:rPr>
                <w:rFonts w:hint="eastAsia"/>
                <w:szCs w:val="21"/>
              </w:rPr>
              <w:t>针对此项目的</w:t>
            </w:r>
            <w:r w:rsidRPr="00800E0F">
              <w:t>原厂服务承诺函</w:t>
            </w:r>
          </w:p>
        </w:tc>
      </w:tr>
    </w:tbl>
    <w:p w:rsidR="005443B4" w:rsidRPr="00800E0F" w:rsidRDefault="0020290E" w:rsidP="00C8702E">
      <w:pPr>
        <w:pStyle w:val="3"/>
        <w:widowControl w:val="0"/>
        <w:ind w:leftChars="0" w:left="0" w:rightChars="0" w:right="0"/>
        <w:jc w:val="both"/>
      </w:pPr>
      <w:bookmarkStart w:id="1" w:name="_6.1.2、容器服务器"/>
      <w:bookmarkEnd w:id="1"/>
      <w:r w:rsidRPr="00800E0F">
        <w:rPr>
          <w:rFonts w:hint="eastAsia"/>
        </w:rPr>
        <w:t>3</w:t>
      </w:r>
      <w:r w:rsidRPr="00800E0F">
        <w:t>.3</w:t>
      </w:r>
      <w:r w:rsidR="00C8702E">
        <w:rPr>
          <w:rFonts w:hint="eastAsia"/>
        </w:rPr>
        <w:t>虚拟化平台</w:t>
      </w:r>
      <w:r w:rsidRPr="00800E0F">
        <w:rPr>
          <w:rFonts w:hint="eastAsia"/>
        </w:rPr>
        <w:t>交换机参数要求</w:t>
      </w:r>
    </w:p>
    <w:tbl>
      <w:tblPr>
        <w:tblW w:w="8471" w:type="dxa"/>
        <w:tblInd w:w="29" w:type="dxa"/>
        <w:tblLook w:val="0000" w:firstRow="0" w:lastRow="0" w:firstColumn="0" w:lastColumn="0" w:noHBand="0" w:noVBand="0"/>
      </w:tblPr>
      <w:tblGrid>
        <w:gridCol w:w="1809"/>
        <w:gridCol w:w="6662"/>
      </w:tblGrid>
      <w:tr w:rsidR="005443B4" w:rsidRPr="00800E0F" w:rsidTr="00834508">
        <w:trPr>
          <w:cantSplit/>
          <w:trHeight w:val="285"/>
        </w:trPr>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43B4" w:rsidRPr="00800E0F" w:rsidRDefault="005443B4" w:rsidP="00834508">
            <w:pPr>
              <w:jc w:val="center"/>
              <w:rPr>
                <w:color w:val="000000"/>
                <w:szCs w:val="21"/>
              </w:rPr>
            </w:pPr>
            <w:r w:rsidRPr="00800E0F">
              <w:rPr>
                <w:rFonts w:hint="eastAsia"/>
                <w:color w:val="000000"/>
                <w:szCs w:val="21"/>
              </w:rPr>
              <w:t>指标项</w:t>
            </w:r>
          </w:p>
        </w:tc>
        <w:tc>
          <w:tcPr>
            <w:tcW w:w="66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443B4" w:rsidRPr="00800E0F" w:rsidRDefault="005443B4" w:rsidP="00834508">
            <w:pPr>
              <w:jc w:val="center"/>
              <w:rPr>
                <w:color w:val="000000"/>
                <w:szCs w:val="21"/>
              </w:rPr>
            </w:pPr>
            <w:r w:rsidRPr="00800E0F">
              <w:rPr>
                <w:rFonts w:hint="eastAsia"/>
                <w:color w:val="000000"/>
                <w:szCs w:val="21"/>
              </w:rPr>
              <w:t>指标要求</w:t>
            </w:r>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交换容量</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rPr>
              <w:t>交换容量≥</w:t>
            </w:r>
            <w:r w:rsidRPr="00800E0F">
              <w:t>4.8Tbps</w:t>
            </w:r>
            <w:r w:rsidRPr="00800E0F">
              <w:rPr>
                <w:rFonts w:hint="eastAsia"/>
              </w:rPr>
              <w:t>，</w:t>
            </w:r>
            <w:proofErr w:type="gramStart"/>
            <w:r w:rsidRPr="00800E0F">
              <w:rPr>
                <w:rFonts w:hint="eastAsia"/>
              </w:rPr>
              <w:t>提供官网链接</w:t>
            </w:r>
            <w:proofErr w:type="gramEnd"/>
            <w:r w:rsidRPr="00800E0F">
              <w:rPr>
                <w:rFonts w:hint="eastAsia"/>
              </w:rPr>
              <w:t>及截图证明（</w:t>
            </w:r>
            <w:proofErr w:type="gramStart"/>
            <w:r w:rsidRPr="00800E0F">
              <w:rPr>
                <w:rFonts w:hint="eastAsia"/>
              </w:rPr>
              <w:t>若官网有</w:t>
            </w:r>
            <w:proofErr w:type="gramEnd"/>
            <w:r w:rsidRPr="00800E0F">
              <w:rPr>
                <w:rFonts w:hint="eastAsia"/>
              </w:rPr>
              <w:t>双指标，则以最低的为准）</w:t>
            </w:r>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转发性能</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rPr>
              <w:t>包转发率≥</w:t>
            </w:r>
            <w:r w:rsidRPr="00800E0F">
              <w:t>2000Mpps</w:t>
            </w:r>
            <w:r w:rsidRPr="00800E0F">
              <w:rPr>
                <w:rFonts w:hint="eastAsia"/>
              </w:rPr>
              <w:t>，</w:t>
            </w:r>
            <w:proofErr w:type="gramStart"/>
            <w:r w:rsidRPr="00800E0F">
              <w:rPr>
                <w:rFonts w:hint="eastAsia"/>
              </w:rPr>
              <w:t>提供官网链接</w:t>
            </w:r>
            <w:proofErr w:type="gramEnd"/>
            <w:r w:rsidRPr="00800E0F">
              <w:rPr>
                <w:rFonts w:hint="eastAsia"/>
              </w:rPr>
              <w:t>及截图证明（</w:t>
            </w:r>
            <w:proofErr w:type="gramStart"/>
            <w:r w:rsidRPr="00800E0F">
              <w:rPr>
                <w:rFonts w:hint="eastAsia"/>
              </w:rPr>
              <w:t>若官网有</w:t>
            </w:r>
            <w:proofErr w:type="gramEnd"/>
            <w:r w:rsidRPr="00800E0F">
              <w:rPr>
                <w:rFonts w:hint="eastAsia"/>
              </w:rPr>
              <w:t>双指标，则以最低的为准）</w:t>
            </w:r>
          </w:p>
        </w:tc>
      </w:tr>
      <w:tr w:rsidR="005443B4" w:rsidRPr="00800E0F" w:rsidTr="00834508">
        <w:trPr>
          <w:cantSplit/>
          <w:trHeight w:val="302"/>
        </w:trPr>
        <w:tc>
          <w:tcPr>
            <w:tcW w:w="1809" w:type="dxa"/>
            <w:tcBorders>
              <w:top w:val="single" w:sz="4" w:space="0" w:color="auto"/>
              <w:left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lastRenderedPageBreak/>
              <w:t>端口要求</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BE2E54">
            <w:pPr>
              <w:rPr>
                <w:color w:val="000000"/>
                <w:szCs w:val="21"/>
              </w:rPr>
            </w:pPr>
            <w:r w:rsidRPr="00800E0F">
              <w:rPr>
                <w:rFonts w:hint="eastAsia"/>
              </w:rPr>
              <w:t>≥</w:t>
            </w:r>
            <w:r w:rsidRPr="00800E0F">
              <w:t>48</w:t>
            </w:r>
            <w:r w:rsidRPr="00800E0F">
              <w:rPr>
                <w:rFonts w:hint="eastAsia"/>
              </w:rPr>
              <w:t>个10G/1G BASE-X SFP+端口，6个40G/100</w:t>
            </w:r>
            <w:r w:rsidRPr="00800E0F">
              <w:t>G QSFP28</w:t>
            </w:r>
            <w:r w:rsidRPr="00800E0F">
              <w:rPr>
                <w:rFonts w:hint="eastAsia"/>
              </w:rPr>
              <w:t>光端口</w:t>
            </w:r>
            <w:r w:rsidR="002F53E3">
              <w:rPr>
                <w:rFonts w:hint="eastAsia"/>
              </w:rPr>
              <w:t>（满</w:t>
            </w:r>
            <w:proofErr w:type="gramStart"/>
            <w:r w:rsidR="002F53E3">
              <w:rPr>
                <w:rFonts w:hint="eastAsia"/>
              </w:rPr>
              <w:t>配</w:t>
            </w:r>
            <w:r w:rsidR="002F53E3" w:rsidRPr="00800E0F">
              <w:rPr>
                <w:rFonts w:hint="eastAsia"/>
              </w:rPr>
              <w:t>多模光模块</w:t>
            </w:r>
            <w:proofErr w:type="gramEnd"/>
            <w:r w:rsidR="002F53E3">
              <w:rPr>
                <w:rFonts w:hint="eastAsia"/>
              </w:rPr>
              <w:t>）</w:t>
            </w:r>
            <w:r w:rsidRPr="00800E0F">
              <w:rPr>
                <w:rFonts w:hint="eastAsia"/>
              </w:rPr>
              <w:t>，</w:t>
            </w:r>
            <w:proofErr w:type="gramStart"/>
            <w:r w:rsidRPr="00800E0F">
              <w:rPr>
                <w:rFonts w:hint="eastAsia"/>
              </w:rPr>
              <w:t>提供官网链接</w:t>
            </w:r>
            <w:proofErr w:type="gramEnd"/>
            <w:r w:rsidRPr="00800E0F">
              <w:rPr>
                <w:rFonts w:hint="eastAsia"/>
              </w:rPr>
              <w:t>及截</w:t>
            </w:r>
            <w:proofErr w:type="gramStart"/>
            <w:r w:rsidRPr="00800E0F">
              <w:rPr>
                <w:rFonts w:hint="eastAsia"/>
              </w:rPr>
              <w:t>图证明</w:t>
            </w:r>
            <w:proofErr w:type="gramEnd"/>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配置要求</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D52197">
            <w:pPr>
              <w:rPr>
                <w:color w:val="000000"/>
                <w:szCs w:val="21"/>
              </w:rPr>
            </w:pPr>
            <w:r w:rsidRPr="00800E0F">
              <w:rPr>
                <w:rFonts w:hint="eastAsia"/>
              </w:rPr>
              <w:t>单台配置</w:t>
            </w:r>
            <w:r w:rsidR="00D52197">
              <w:rPr>
                <w:rFonts w:hint="eastAsia"/>
              </w:rPr>
              <w:t xml:space="preserve"> </w:t>
            </w:r>
            <w:r w:rsidRPr="00800E0F">
              <w:rPr>
                <w:rFonts w:hint="eastAsia"/>
              </w:rPr>
              <w:t>≥</w:t>
            </w:r>
            <w:r w:rsidRPr="00800E0F">
              <w:t>1根40G QSFP+ to 4x10G SFP+ 3m堆叠电缆</w:t>
            </w:r>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电源</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r w:rsidRPr="00800E0F">
              <w:rPr>
                <w:rFonts w:hint="eastAsia"/>
              </w:rPr>
              <w:t>配置双电源</w:t>
            </w:r>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风扇</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r w:rsidRPr="00800E0F">
              <w:rPr>
                <w:rFonts w:hint="eastAsia"/>
              </w:rPr>
              <w:t>模块化风扇≥</w:t>
            </w:r>
            <w:r w:rsidRPr="00800E0F">
              <w:t>5，支持前后、后前风道，</w:t>
            </w:r>
            <w:proofErr w:type="gramStart"/>
            <w:r w:rsidRPr="00800E0F">
              <w:t>提供官网链接</w:t>
            </w:r>
            <w:proofErr w:type="gramEnd"/>
            <w:r w:rsidRPr="00800E0F">
              <w:rPr>
                <w:rFonts w:hint="eastAsia"/>
              </w:rPr>
              <w:t>及</w:t>
            </w:r>
            <w:r w:rsidRPr="00800E0F">
              <w:t>截</w:t>
            </w:r>
            <w:proofErr w:type="gramStart"/>
            <w:r w:rsidRPr="00800E0F">
              <w:t>图证明</w:t>
            </w:r>
            <w:proofErr w:type="gramEnd"/>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ARP表项</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rPr>
              <w:t>整机最大</w:t>
            </w:r>
            <w:r w:rsidRPr="00800E0F">
              <w:t>ARP地址表≥270K</w:t>
            </w:r>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color w:val="000000"/>
                <w:szCs w:val="21"/>
              </w:rPr>
              <w:t>MAC</w:t>
            </w:r>
            <w:r w:rsidRPr="00800E0F">
              <w:rPr>
                <w:rFonts w:hint="eastAsia"/>
                <w:color w:val="000000"/>
                <w:szCs w:val="21"/>
              </w:rPr>
              <w:t>地址表</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rPr>
              <w:t>整机最大</w:t>
            </w:r>
            <w:r w:rsidRPr="00800E0F">
              <w:t>MAC</w:t>
            </w:r>
            <w:r w:rsidRPr="00800E0F">
              <w:rPr>
                <w:rFonts w:hint="eastAsia"/>
              </w:rPr>
              <w:t>地址表≥280K</w:t>
            </w:r>
          </w:p>
        </w:tc>
      </w:tr>
      <w:tr w:rsidR="005443B4" w:rsidRPr="00800E0F" w:rsidTr="00834508">
        <w:trPr>
          <w:cantSplit/>
          <w:trHeight w:val="302"/>
        </w:trPr>
        <w:tc>
          <w:tcPr>
            <w:tcW w:w="1809" w:type="dxa"/>
            <w:vMerge w:val="restart"/>
            <w:tcBorders>
              <w:top w:val="single" w:sz="4" w:space="0" w:color="auto"/>
              <w:left w:val="single" w:sz="4" w:space="0" w:color="auto"/>
              <w:right w:val="single" w:sz="4" w:space="0" w:color="auto"/>
            </w:tcBorders>
            <w:vAlign w:val="center"/>
          </w:tcPr>
          <w:p w:rsidR="005443B4" w:rsidRPr="00800E0F" w:rsidRDefault="005443B4" w:rsidP="00834508">
            <w:pPr>
              <w:jc w:val="both"/>
              <w:rPr>
                <w:color w:val="000000"/>
                <w:szCs w:val="21"/>
              </w:rPr>
            </w:pPr>
            <w:r w:rsidRPr="00800E0F">
              <w:rPr>
                <w:rFonts w:hint="eastAsia"/>
                <w:color w:val="000000"/>
                <w:szCs w:val="21"/>
              </w:rPr>
              <w:t>二层功能</w:t>
            </w:r>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支持基于端口、基于协议、基于</w:t>
            </w:r>
            <w:r w:rsidRPr="00800E0F">
              <w:t>MAC的VLAN</w:t>
            </w:r>
          </w:p>
        </w:tc>
      </w:tr>
      <w:tr w:rsidR="005443B4" w:rsidRPr="00800E0F" w:rsidTr="00834508">
        <w:trPr>
          <w:cantSplit/>
          <w:trHeight w:val="302"/>
        </w:trPr>
        <w:tc>
          <w:tcPr>
            <w:tcW w:w="1809" w:type="dxa"/>
            <w:vMerge/>
            <w:tcBorders>
              <w:left w:val="single" w:sz="4" w:space="0" w:color="auto"/>
              <w:bottom w:val="single" w:sz="4" w:space="0" w:color="auto"/>
              <w:right w:val="single" w:sz="4" w:space="0" w:color="auto"/>
            </w:tcBorders>
            <w:vAlign w:val="center"/>
          </w:tcPr>
          <w:p w:rsidR="005443B4" w:rsidRPr="00800E0F" w:rsidRDefault="005443B4" w:rsidP="00834508">
            <w:pPr>
              <w:jc w:val="both"/>
              <w:rPr>
                <w:color w:val="000000"/>
                <w:szCs w:val="21"/>
              </w:rPr>
            </w:pPr>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支持动态</w:t>
            </w:r>
            <w:r w:rsidRPr="00800E0F">
              <w:t>MAC、静态MAC和黑洞MAC表项</w:t>
            </w:r>
          </w:p>
        </w:tc>
      </w:tr>
      <w:tr w:rsidR="005443B4" w:rsidRPr="00800E0F" w:rsidTr="00834508">
        <w:trPr>
          <w:cantSplit/>
          <w:trHeight w:val="302"/>
        </w:trPr>
        <w:tc>
          <w:tcPr>
            <w:tcW w:w="1809" w:type="dxa"/>
            <w:vMerge w:val="restart"/>
            <w:tcBorders>
              <w:top w:val="single" w:sz="4" w:space="0" w:color="auto"/>
              <w:left w:val="single" w:sz="4" w:space="0" w:color="auto"/>
              <w:right w:val="single" w:sz="4" w:space="0" w:color="auto"/>
            </w:tcBorders>
            <w:vAlign w:val="center"/>
          </w:tcPr>
          <w:p w:rsidR="005443B4" w:rsidRPr="00800E0F" w:rsidRDefault="005443B4" w:rsidP="00834508">
            <w:pPr>
              <w:jc w:val="both"/>
              <w:rPr>
                <w:color w:val="000000"/>
                <w:szCs w:val="21"/>
              </w:rPr>
            </w:pPr>
            <w:r w:rsidRPr="00800E0F">
              <w:rPr>
                <w:rFonts w:hint="eastAsia"/>
                <w:color w:val="000000"/>
                <w:szCs w:val="21"/>
              </w:rPr>
              <w:t>三层功能</w:t>
            </w:r>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w:t>
            </w:r>
            <w:r w:rsidRPr="00800E0F">
              <w:t>RIP、OSPF、ISIS、BGP等IPv4动态路由协议</w:t>
            </w:r>
          </w:p>
        </w:tc>
      </w:tr>
      <w:tr w:rsidR="005443B4" w:rsidRPr="00800E0F" w:rsidTr="00834508">
        <w:trPr>
          <w:cantSplit/>
          <w:trHeight w:val="302"/>
        </w:trPr>
        <w:tc>
          <w:tcPr>
            <w:tcW w:w="1809" w:type="dxa"/>
            <w:vMerge/>
            <w:tcBorders>
              <w:left w:val="single" w:sz="4" w:space="0" w:color="auto"/>
              <w:bottom w:val="single" w:sz="4" w:space="0" w:color="auto"/>
              <w:right w:val="single" w:sz="4" w:space="0" w:color="auto"/>
            </w:tcBorders>
          </w:tcPr>
          <w:p w:rsidR="005443B4" w:rsidRPr="00800E0F" w:rsidRDefault="005443B4" w:rsidP="00834508">
            <w:pPr>
              <w:rPr>
                <w:color w:val="000000"/>
                <w:szCs w:val="21"/>
              </w:rPr>
            </w:pPr>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w:t>
            </w:r>
            <w:proofErr w:type="spellStart"/>
            <w:r w:rsidRPr="00800E0F">
              <w:t>RIPng</w:t>
            </w:r>
            <w:proofErr w:type="spellEnd"/>
            <w:r w:rsidRPr="00800E0F">
              <w:t>、OSPFv3、ISISv6、BGP4+等IPv6动态路由协议</w:t>
            </w:r>
          </w:p>
        </w:tc>
      </w:tr>
      <w:tr w:rsidR="005443B4" w:rsidRPr="00800E0F" w:rsidTr="00834508">
        <w:trPr>
          <w:cantSplit/>
          <w:trHeight w:val="302"/>
        </w:trPr>
        <w:tc>
          <w:tcPr>
            <w:tcW w:w="1809" w:type="dxa"/>
            <w:tcBorders>
              <w:top w:val="single" w:sz="4" w:space="0" w:color="auto"/>
              <w:left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M</w:t>
            </w:r>
            <w:r w:rsidRPr="00800E0F">
              <w:rPr>
                <w:color w:val="000000"/>
                <w:szCs w:val="21"/>
              </w:rPr>
              <w:t>PLS</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rPr>
              <w:t>支持</w:t>
            </w:r>
            <w:r w:rsidRPr="00800E0F">
              <w:t>MPLS VPN</w:t>
            </w:r>
            <w:r w:rsidRPr="00800E0F">
              <w:rPr>
                <w:rFonts w:hint="eastAsia"/>
              </w:rPr>
              <w:t>、</w:t>
            </w:r>
            <w:r w:rsidRPr="00800E0F">
              <w:t>MPLS TE、MPLS MCE</w:t>
            </w:r>
          </w:p>
        </w:tc>
      </w:tr>
      <w:tr w:rsidR="005443B4" w:rsidRPr="00800E0F" w:rsidTr="00834508">
        <w:trPr>
          <w:cantSplit/>
          <w:trHeight w:val="302"/>
        </w:trPr>
        <w:tc>
          <w:tcPr>
            <w:tcW w:w="1809" w:type="dxa"/>
            <w:tcBorders>
              <w:top w:val="single" w:sz="4" w:space="0" w:color="auto"/>
              <w:left w:val="single" w:sz="4" w:space="0" w:color="auto"/>
              <w:right w:val="single" w:sz="4" w:space="0" w:color="auto"/>
            </w:tcBorders>
            <w:vAlign w:val="center"/>
          </w:tcPr>
          <w:p w:rsidR="005443B4" w:rsidRPr="00800E0F" w:rsidRDefault="005443B4" w:rsidP="00834508">
            <w:pPr>
              <w:rPr>
                <w:color w:val="000000"/>
                <w:szCs w:val="21"/>
              </w:rPr>
            </w:pPr>
            <w:proofErr w:type="spellStart"/>
            <w:r w:rsidRPr="00800E0F">
              <w:rPr>
                <w:rFonts w:hint="eastAsia"/>
                <w:color w:val="000000"/>
                <w:szCs w:val="21"/>
              </w:rPr>
              <w:t>QoS</w:t>
            </w:r>
            <w:proofErr w:type="spellEnd"/>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w:t>
            </w:r>
            <w:r w:rsidRPr="00800E0F">
              <w:t>SP, WRR,WFQ, SP+WRR, SP+WFQ调度方式</w:t>
            </w:r>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可靠性</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rPr>
              <w:t>兼容</w:t>
            </w:r>
            <w:r w:rsidRPr="00800E0F">
              <w:t>PVST协议，支持跨厂商生成树互通</w:t>
            </w:r>
          </w:p>
        </w:tc>
      </w:tr>
      <w:tr w:rsidR="005443B4" w:rsidRPr="00800E0F" w:rsidTr="00834508">
        <w:trPr>
          <w:cantSplit/>
          <w:trHeight w:val="302"/>
        </w:trPr>
        <w:tc>
          <w:tcPr>
            <w:tcW w:w="1809" w:type="dxa"/>
            <w:vMerge w:val="restart"/>
            <w:tcBorders>
              <w:top w:val="single" w:sz="4" w:space="0" w:color="auto"/>
              <w:left w:val="single" w:sz="4" w:space="0" w:color="auto"/>
              <w:right w:val="single" w:sz="4" w:space="0" w:color="auto"/>
            </w:tcBorders>
            <w:vAlign w:val="center"/>
          </w:tcPr>
          <w:p w:rsidR="005443B4" w:rsidRPr="00800E0F" w:rsidRDefault="005443B4" w:rsidP="00834508">
            <w:pPr>
              <w:jc w:val="both"/>
              <w:rPr>
                <w:color w:val="000000"/>
                <w:szCs w:val="21"/>
              </w:rPr>
            </w:pPr>
            <w:r w:rsidRPr="00800E0F">
              <w:rPr>
                <w:rFonts w:hint="eastAsia"/>
                <w:color w:val="000000"/>
                <w:szCs w:val="21"/>
              </w:rPr>
              <w:t>D</w:t>
            </w:r>
            <w:r w:rsidRPr="00800E0F">
              <w:rPr>
                <w:color w:val="000000"/>
                <w:szCs w:val="21"/>
              </w:rPr>
              <w:t>C</w:t>
            </w:r>
            <w:r w:rsidRPr="00800E0F">
              <w:rPr>
                <w:rFonts w:hint="eastAsia"/>
                <w:color w:val="000000"/>
                <w:szCs w:val="21"/>
              </w:rPr>
              <w:t>特性</w:t>
            </w:r>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w:t>
            </w:r>
            <w:r w:rsidRPr="00800E0F">
              <w:t>INT可视化功能</w:t>
            </w:r>
          </w:p>
        </w:tc>
      </w:tr>
      <w:tr w:rsidR="005443B4" w:rsidRPr="00800E0F" w:rsidTr="00834508">
        <w:trPr>
          <w:cantSplit/>
          <w:trHeight w:val="302"/>
        </w:trPr>
        <w:tc>
          <w:tcPr>
            <w:tcW w:w="1809" w:type="dxa"/>
            <w:vMerge/>
            <w:tcBorders>
              <w:left w:val="single" w:sz="4" w:space="0" w:color="auto"/>
              <w:right w:val="single" w:sz="4" w:space="0" w:color="auto"/>
            </w:tcBorders>
            <w:vAlign w:val="center"/>
          </w:tcPr>
          <w:p w:rsidR="005443B4" w:rsidRPr="00800E0F" w:rsidRDefault="005443B4" w:rsidP="00834508">
            <w:pPr>
              <w:rPr>
                <w:color w:val="000000"/>
                <w:szCs w:val="21"/>
              </w:rPr>
            </w:pPr>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w:t>
            </w:r>
            <w:r w:rsidRPr="00800E0F">
              <w:t>streaming telemetry，支持线</w:t>
            </w:r>
            <w:proofErr w:type="gramStart"/>
            <w:r w:rsidRPr="00800E0F">
              <w:t>速提供</w:t>
            </w:r>
            <w:proofErr w:type="gramEnd"/>
            <w:r w:rsidRPr="00800E0F">
              <w:t>可视化信息，提供入端口，出端口和入出时间信息</w:t>
            </w:r>
          </w:p>
        </w:tc>
      </w:tr>
      <w:tr w:rsidR="005443B4" w:rsidRPr="00800E0F" w:rsidTr="00834508">
        <w:trPr>
          <w:cantSplit/>
          <w:trHeight w:val="302"/>
        </w:trPr>
        <w:tc>
          <w:tcPr>
            <w:tcW w:w="1809" w:type="dxa"/>
            <w:vMerge/>
            <w:tcBorders>
              <w:left w:val="single" w:sz="4" w:space="0" w:color="auto"/>
              <w:right w:val="single" w:sz="4" w:space="0" w:color="auto"/>
            </w:tcBorders>
            <w:vAlign w:val="center"/>
          </w:tcPr>
          <w:p w:rsidR="005443B4" w:rsidRPr="00800E0F" w:rsidRDefault="005443B4" w:rsidP="00834508">
            <w:pPr>
              <w:rPr>
                <w:color w:val="000000"/>
                <w:szCs w:val="21"/>
              </w:rPr>
            </w:pPr>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支持无损网络</w:t>
            </w:r>
            <w:proofErr w:type="spellStart"/>
            <w:r w:rsidRPr="00800E0F">
              <w:t>RoCE</w:t>
            </w:r>
            <w:proofErr w:type="spellEnd"/>
            <w:r w:rsidRPr="00800E0F">
              <w:t>，支持PFC、ECN、ETS</w:t>
            </w:r>
          </w:p>
        </w:tc>
      </w:tr>
      <w:tr w:rsidR="005443B4" w:rsidRPr="00800E0F" w:rsidTr="00834508">
        <w:trPr>
          <w:cantSplit/>
          <w:trHeight w:val="302"/>
        </w:trPr>
        <w:tc>
          <w:tcPr>
            <w:tcW w:w="1809" w:type="dxa"/>
            <w:vMerge/>
            <w:tcBorders>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p>
        </w:tc>
        <w:tc>
          <w:tcPr>
            <w:tcW w:w="6662" w:type="dxa"/>
            <w:tcBorders>
              <w:top w:val="single" w:sz="4" w:space="0" w:color="auto"/>
              <w:left w:val="nil"/>
              <w:bottom w:val="single" w:sz="4" w:space="0" w:color="auto"/>
              <w:right w:val="single" w:sz="4" w:space="0" w:color="auto"/>
            </w:tcBorders>
          </w:tcPr>
          <w:p w:rsidR="005443B4" w:rsidRPr="00800E0F" w:rsidRDefault="005443B4" w:rsidP="00834508">
            <w:r w:rsidRPr="00800E0F">
              <w:rPr>
                <w:rFonts w:hint="eastAsia"/>
              </w:rPr>
              <w:t>支持</w:t>
            </w:r>
            <w:proofErr w:type="spellStart"/>
            <w:r w:rsidRPr="00800E0F">
              <w:t>FCoE</w:t>
            </w:r>
            <w:proofErr w:type="spellEnd"/>
            <w:r w:rsidRPr="00800E0F">
              <w:t>功能</w:t>
            </w:r>
          </w:p>
        </w:tc>
      </w:tr>
      <w:tr w:rsidR="005443B4" w:rsidRPr="00800E0F" w:rsidTr="00834508">
        <w:trPr>
          <w:cantSplit/>
          <w:trHeight w:val="302"/>
        </w:trPr>
        <w:tc>
          <w:tcPr>
            <w:tcW w:w="1809" w:type="dxa"/>
            <w:tcBorders>
              <w:top w:val="single" w:sz="4" w:space="0" w:color="auto"/>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组播协议</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rPr>
              <w:t>支持组播</w:t>
            </w:r>
            <w:r w:rsidRPr="00800E0F">
              <w:t xml:space="preserve"> over VXLAN</w:t>
            </w:r>
          </w:p>
        </w:tc>
      </w:tr>
      <w:tr w:rsidR="005443B4" w:rsidRPr="00800E0F" w:rsidTr="00834508">
        <w:trPr>
          <w:cantSplit/>
          <w:trHeight w:val="302"/>
        </w:trPr>
        <w:tc>
          <w:tcPr>
            <w:tcW w:w="1809" w:type="dxa"/>
            <w:tcBorders>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t>管理和维护</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t>支持SNMP V1/V2/V3、RMON、SSHV2</w:t>
            </w:r>
          </w:p>
        </w:tc>
      </w:tr>
      <w:tr w:rsidR="005443B4" w:rsidRPr="00800E0F" w:rsidTr="00834508">
        <w:trPr>
          <w:cantSplit/>
          <w:trHeight w:val="302"/>
        </w:trPr>
        <w:tc>
          <w:tcPr>
            <w:tcW w:w="1809" w:type="dxa"/>
            <w:tcBorders>
              <w:left w:val="single" w:sz="4" w:space="0" w:color="auto"/>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color w:val="000000"/>
                <w:szCs w:val="21"/>
              </w:rPr>
              <w:t>售后服务</w:t>
            </w:r>
          </w:p>
        </w:tc>
        <w:tc>
          <w:tcPr>
            <w:tcW w:w="6662" w:type="dxa"/>
            <w:tcBorders>
              <w:top w:val="single" w:sz="4" w:space="0" w:color="auto"/>
              <w:left w:val="nil"/>
              <w:bottom w:val="single" w:sz="4" w:space="0" w:color="auto"/>
              <w:right w:val="single" w:sz="4" w:space="0" w:color="auto"/>
            </w:tcBorders>
            <w:vAlign w:val="center"/>
          </w:tcPr>
          <w:p w:rsidR="005443B4" w:rsidRPr="00800E0F" w:rsidRDefault="005443B4" w:rsidP="00834508">
            <w:pPr>
              <w:rPr>
                <w:color w:val="000000"/>
                <w:szCs w:val="21"/>
              </w:rPr>
            </w:pPr>
            <w:r w:rsidRPr="00800E0F">
              <w:rPr>
                <w:rFonts w:hint="eastAsia"/>
              </w:rPr>
              <w:t>提供</w:t>
            </w:r>
            <w:r w:rsidRPr="00800E0F">
              <w:t>5年7*24*4原厂维保，提供</w:t>
            </w:r>
            <w:r w:rsidRPr="00800E0F">
              <w:rPr>
                <w:rFonts w:hint="eastAsia"/>
                <w:szCs w:val="21"/>
              </w:rPr>
              <w:t>针对此项目的</w:t>
            </w:r>
            <w:r w:rsidRPr="00800E0F">
              <w:t>原厂服务承诺函</w:t>
            </w:r>
          </w:p>
        </w:tc>
      </w:tr>
    </w:tbl>
    <w:p w:rsidR="00812822" w:rsidRPr="00800E0F" w:rsidRDefault="0020290E">
      <w:pPr>
        <w:pStyle w:val="3"/>
        <w:widowControl w:val="0"/>
        <w:numPr>
          <w:ilvl w:val="1"/>
          <w:numId w:val="5"/>
        </w:numPr>
        <w:ind w:leftChars="0" w:rightChars="0" w:right="0"/>
        <w:jc w:val="both"/>
      </w:pPr>
      <w:r w:rsidRPr="00800E0F">
        <w:rPr>
          <w:rFonts w:hint="eastAsia"/>
        </w:rPr>
        <w:t>虚拟化服务要求</w:t>
      </w: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367"/>
      </w:tblGrid>
      <w:tr w:rsidR="00812822" w:rsidRPr="00800E0F">
        <w:trPr>
          <w:trHeight w:val="345"/>
          <w:jc w:val="center"/>
        </w:trPr>
        <w:tc>
          <w:tcPr>
            <w:tcW w:w="1418" w:type="dxa"/>
            <w:shd w:val="clear" w:color="auto" w:fill="D7D7D7"/>
          </w:tcPr>
          <w:p w:rsidR="00812822" w:rsidRPr="00800E0F" w:rsidRDefault="0020290E">
            <w:pPr>
              <w:jc w:val="center"/>
              <w:rPr>
                <w:b/>
                <w:szCs w:val="21"/>
              </w:rPr>
            </w:pPr>
            <w:r w:rsidRPr="00800E0F">
              <w:rPr>
                <w:rFonts w:hint="eastAsia"/>
                <w:b/>
                <w:szCs w:val="21"/>
              </w:rPr>
              <w:t>指标项</w:t>
            </w:r>
          </w:p>
        </w:tc>
        <w:tc>
          <w:tcPr>
            <w:tcW w:w="7367" w:type="dxa"/>
            <w:shd w:val="clear" w:color="auto" w:fill="D7D7D7"/>
          </w:tcPr>
          <w:p w:rsidR="00812822" w:rsidRPr="00800E0F" w:rsidRDefault="0020290E">
            <w:pPr>
              <w:jc w:val="center"/>
              <w:rPr>
                <w:b/>
                <w:szCs w:val="21"/>
              </w:rPr>
            </w:pPr>
            <w:r w:rsidRPr="00800E0F">
              <w:rPr>
                <w:rFonts w:hint="eastAsia"/>
                <w:b/>
                <w:szCs w:val="21"/>
              </w:rPr>
              <w:t>指标要求</w:t>
            </w:r>
          </w:p>
        </w:tc>
      </w:tr>
      <w:tr w:rsidR="00007A3A" w:rsidRPr="00800E0F">
        <w:trPr>
          <w:trHeight w:val="366"/>
          <w:jc w:val="center"/>
        </w:trPr>
        <w:tc>
          <w:tcPr>
            <w:tcW w:w="1418" w:type="dxa"/>
            <w:vMerge w:val="restart"/>
            <w:vAlign w:val="center"/>
          </w:tcPr>
          <w:p w:rsidR="00007A3A" w:rsidRPr="00800E0F" w:rsidRDefault="00007A3A">
            <w:pPr>
              <w:jc w:val="both"/>
              <w:rPr>
                <w:szCs w:val="21"/>
              </w:rPr>
            </w:pPr>
            <w:r w:rsidRPr="00800E0F">
              <w:rPr>
                <w:rFonts w:hint="eastAsia"/>
                <w:szCs w:val="21"/>
              </w:rPr>
              <w:t>基本要求</w:t>
            </w:r>
          </w:p>
        </w:tc>
        <w:tc>
          <w:tcPr>
            <w:tcW w:w="7367" w:type="dxa"/>
          </w:tcPr>
          <w:p w:rsidR="00007A3A" w:rsidRPr="00800E0F" w:rsidRDefault="00007A3A">
            <w:pPr>
              <w:widowControl w:val="0"/>
              <w:numPr>
                <w:ilvl w:val="0"/>
                <w:numId w:val="6"/>
              </w:numPr>
              <w:jc w:val="both"/>
              <w:rPr>
                <w:szCs w:val="21"/>
              </w:rPr>
            </w:pPr>
            <w:proofErr w:type="gramStart"/>
            <w:r w:rsidRPr="00800E0F">
              <w:rPr>
                <w:rFonts w:hint="eastAsia"/>
                <w:szCs w:val="21"/>
              </w:rPr>
              <w:t>实配</w:t>
            </w:r>
            <w:r w:rsidRPr="00800E0F">
              <w:rPr>
                <w:rFonts w:hint="eastAsia"/>
              </w:rPr>
              <w:t>软件</w:t>
            </w:r>
            <w:proofErr w:type="gramEnd"/>
            <w:r w:rsidRPr="00800E0F">
              <w:rPr>
                <w:rFonts w:hint="eastAsia"/>
              </w:rPr>
              <w:t>授权：按3</w:t>
            </w:r>
            <w:r w:rsidRPr="00800E0F">
              <w:t>.1 AI</w:t>
            </w:r>
            <w:r w:rsidRPr="00800E0F">
              <w:rPr>
                <w:rFonts w:hint="eastAsia"/>
              </w:rPr>
              <w:t>服务器的实际物理CPU数量或节点数配置相应的超融合软件授权许可（含虚拟机服务、分布式存储、管理控制台）</w:t>
            </w:r>
          </w:p>
        </w:tc>
      </w:tr>
      <w:tr w:rsidR="00007A3A" w:rsidRPr="00800E0F">
        <w:trPr>
          <w:trHeight w:val="366"/>
          <w:jc w:val="center"/>
        </w:trPr>
        <w:tc>
          <w:tcPr>
            <w:tcW w:w="1418" w:type="dxa"/>
            <w:vMerge/>
            <w:vAlign w:val="center"/>
          </w:tcPr>
          <w:p w:rsidR="00007A3A" w:rsidRPr="00800E0F" w:rsidRDefault="00007A3A">
            <w:pPr>
              <w:jc w:val="both"/>
              <w:rPr>
                <w:szCs w:val="21"/>
              </w:rPr>
            </w:pPr>
          </w:p>
        </w:tc>
        <w:tc>
          <w:tcPr>
            <w:tcW w:w="7367" w:type="dxa"/>
          </w:tcPr>
          <w:p w:rsidR="00007A3A" w:rsidRPr="00800E0F" w:rsidRDefault="00007A3A">
            <w:pPr>
              <w:widowControl w:val="0"/>
              <w:numPr>
                <w:ilvl w:val="0"/>
                <w:numId w:val="6"/>
              </w:numPr>
              <w:jc w:val="both"/>
              <w:rPr>
                <w:szCs w:val="21"/>
              </w:rPr>
            </w:pPr>
            <w:proofErr w:type="gramStart"/>
            <w:r w:rsidRPr="00800E0F">
              <w:rPr>
                <w:rFonts w:hint="eastAsia"/>
                <w:szCs w:val="21"/>
              </w:rPr>
              <w:t>实配</w:t>
            </w:r>
            <w:r w:rsidRPr="00800E0F">
              <w:rPr>
                <w:rFonts w:hint="eastAsia"/>
              </w:rPr>
              <w:t>软件</w:t>
            </w:r>
            <w:proofErr w:type="gramEnd"/>
            <w:r w:rsidRPr="00800E0F">
              <w:rPr>
                <w:rFonts w:hint="eastAsia"/>
              </w:rPr>
              <w:t>授权：按3</w:t>
            </w:r>
            <w:r w:rsidRPr="00800E0F">
              <w:t xml:space="preserve">.2 </w:t>
            </w:r>
            <w:r w:rsidRPr="00800E0F">
              <w:rPr>
                <w:rFonts w:hint="eastAsia"/>
              </w:rPr>
              <w:t>虚拟化服务器的实际物理CPU数量或节点数配置相应的超融合软件授权许可（含虚拟机服务、分布式存储、管理控制台）</w:t>
            </w:r>
          </w:p>
        </w:tc>
      </w:tr>
      <w:tr w:rsidR="00007A3A" w:rsidRPr="00800E0F">
        <w:trPr>
          <w:trHeight w:val="366"/>
          <w:jc w:val="center"/>
        </w:trPr>
        <w:tc>
          <w:tcPr>
            <w:tcW w:w="1418" w:type="dxa"/>
            <w:vMerge/>
            <w:vAlign w:val="center"/>
          </w:tcPr>
          <w:p w:rsidR="00007A3A" w:rsidRPr="00800E0F" w:rsidRDefault="00007A3A">
            <w:pPr>
              <w:jc w:val="both"/>
              <w:rPr>
                <w:szCs w:val="21"/>
              </w:rPr>
            </w:pPr>
          </w:p>
        </w:tc>
        <w:tc>
          <w:tcPr>
            <w:tcW w:w="7367" w:type="dxa"/>
          </w:tcPr>
          <w:p w:rsidR="00007A3A" w:rsidRPr="00800E0F" w:rsidRDefault="00007A3A" w:rsidP="00007A3A">
            <w:pPr>
              <w:widowControl w:val="0"/>
              <w:jc w:val="both"/>
              <w:rPr>
                <w:szCs w:val="21"/>
              </w:rPr>
            </w:pPr>
            <w:r w:rsidRPr="00007A3A">
              <w:rPr>
                <w:rFonts w:hint="eastAsia"/>
                <w:szCs w:val="21"/>
              </w:rPr>
              <w:t>⑶</w:t>
            </w:r>
            <w:r w:rsidRPr="00007A3A">
              <w:rPr>
                <w:szCs w:val="21"/>
              </w:rPr>
              <w:tab/>
            </w:r>
            <w:proofErr w:type="gramStart"/>
            <w:r w:rsidRPr="00007A3A">
              <w:rPr>
                <w:szCs w:val="21"/>
              </w:rPr>
              <w:t>实配</w:t>
            </w:r>
            <w:proofErr w:type="spellStart"/>
            <w:proofErr w:type="gramEnd"/>
            <w:r w:rsidRPr="00007A3A">
              <w:rPr>
                <w:szCs w:val="21"/>
              </w:rPr>
              <w:t>vGPU</w:t>
            </w:r>
            <w:proofErr w:type="spellEnd"/>
            <w:r w:rsidRPr="00007A3A">
              <w:rPr>
                <w:szCs w:val="21"/>
              </w:rPr>
              <w:t>软件授权：提供NVIDIA显卡虚拟化</w:t>
            </w:r>
            <w:proofErr w:type="spellStart"/>
            <w:r w:rsidRPr="00007A3A">
              <w:rPr>
                <w:szCs w:val="21"/>
              </w:rPr>
              <w:t>vGPU</w:t>
            </w:r>
            <w:proofErr w:type="spellEnd"/>
            <w:r w:rsidRPr="00007A3A">
              <w:rPr>
                <w:szCs w:val="21"/>
              </w:rPr>
              <w:t>软件</w:t>
            </w:r>
            <w:proofErr w:type="spellStart"/>
            <w:r w:rsidRPr="00007A3A">
              <w:rPr>
                <w:szCs w:val="21"/>
              </w:rPr>
              <w:t>vWS</w:t>
            </w:r>
            <w:proofErr w:type="spellEnd"/>
            <w:r w:rsidRPr="00007A3A">
              <w:rPr>
                <w:szCs w:val="21"/>
              </w:rPr>
              <w:t>类型的永久授权模式，实现GPU资源可按时间切片方式去切割，支持机器学习、AI计算运算场景，要求提供</w:t>
            </w:r>
            <w:proofErr w:type="spellStart"/>
            <w:r w:rsidRPr="00007A3A">
              <w:rPr>
                <w:szCs w:val="21"/>
              </w:rPr>
              <w:t>vGPU</w:t>
            </w:r>
            <w:proofErr w:type="spellEnd"/>
            <w:r w:rsidRPr="00007A3A">
              <w:rPr>
                <w:szCs w:val="21"/>
              </w:rPr>
              <w:t>的并发数授权≥50个</w:t>
            </w:r>
          </w:p>
        </w:tc>
      </w:tr>
      <w:tr w:rsidR="00812822" w:rsidRPr="00800E0F">
        <w:trPr>
          <w:trHeight w:val="366"/>
          <w:jc w:val="center"/>
        </w:trPr>
        <w:tc>
          <w:tcPr>
            <w:tcW w:w="1418" w:type="dxa"/>
            <w:vMerge w:val="restart"/>
            <w:vAlign w:val="center"/>
          </w:tcPr>
          <w:p w:rsidR="00812822" w:rsidRPr="00800E0F" w:rsidRDefault="0020290E">
            <w:pPr>
              <w:jc w:val="both"/>
              <w:rPr>
                <w:szCs w:val="21"/>
              </w:rPr>
            </w:pPr>
            <w:r w:rsidRPr="00800E0F">
              <w:rPr>
                <w:rFonts w:hint="eastAsia"/>
                <w:szCs w:val="21"/>
              </w:rPr>
              <w:t>基本功能</w:t>
            </w:r>
          </w:p>
        </w:tc>
        <w:tc>
          <w:tcPr>
            <w:tcW w:w="7367" w:type="dxa"/>
          </w:tcPr>
          <w:p w:rsidR="00812822" w:rsidRPr="00800E0F" w:rsidRDefault="0020290E">
            <w:pPr>
              <w:widowControl w:val="0"/>
              <w:numPr>
                <w:ilvl w:val="0"/>
                <w:numId w:val="6"/>
              </w:numPr>
              <w:jc w:val="both"/>
            </w:pPr>
            <w:r w:rsidRPr="00800E0F">
              <w:rPr>
                <w:rFonts w:hint="eastAsia"/>
                <w:szCs w:val="21"/>
              </w:rPr>
              <w:t>提供超融合软件永久使用授权，非订阅版授权</w:t>
            </w:r>
          </w:p>
        </w:tc>
      </w:tr>
      <w:tr w:rsidR="00812822" w:rsidRPr="00800E0F">
        <w:trPr>
          <w:trHeight w:val="366"/>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6"/>
              </w:numPr>
              <w:jc w:val="both"/>
            </w:pPr>
            <w:r w:rsidRPr="00800E0F">
              <w:rPr>
                <w:rFonts w:hint="eastAsia"/>
                <w:szCs w:val="21"/>
              </w:rPr>
              <w:t>超融合</w:t>
            </w:r>
            <w:r w:rsidRPr="00800E0F">
              <w:rPr>
                <w:szCs w:val="21"/>
              </w:rPr>
              <w:t>软件资源占用不超过</w:t>
            </w:r>
            <w:r w:rsidRPr="00800E0F">
              <w:t>6</w:t>
            </w:r>
            <w:r w:rsidRPr="00800E0F">
              <w:rPr>
                <w:rFonts w:hint="eastAsia"/>
              </w:rPr>
              <w:t>个CPU核</w:t>
            </w:r>
            <w:r w:rsidRPr="00800E0F">
              <w:t>，18GB内存</w:t>
            </w:r>
            <w:r w:rsidRPr="00800E0F">
              <w:rPr>
                <w:rFonts w:hint="eastAsia"/>
              </w:rPr>
              <w:t>（提供产品功能截</w:t>
            </w:r>
            <w:proofErr w:type="gramStart"/>
            <w:r w:rsidRPr="00800E0F">
              <w:rPr>
                <w:rFonts w:hint="eastAsia"/>
              </w:rPr>
              <w:t>图证明</w:t>
            </w:r>
            <w:proofErr w:type="gramEnd"/>
            <w:r w:rsidRPr="00800E0F">
              <w:rPr>
                <w:rFonts w:hint="eastAsia"/>
              </w:rPr>
              <w:t>和官方产品文档证明）</w:t>
            </w:r>
          </w:p>
        </w:tc>
      </w:tr>
      <w:tr w:rsidR="00812822" w:rsidRPr="00800E0F">
        <w:trPr>
          <w:trHeight w:val="354"/>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6"/>
              </w:numPr>
              <w:jc w:val="both"/>
              <w:rPr>
                <w:sz w:val="21"/>
                <w:szCs w:val="22"/>
              </w:rPr>
            </w:pPr>
            <w:r w:rsidRPr="00800E0F">
              <w:rPr>
                <w:rFonts w:hint="eastAsia"/>
                <w:szCs w:val="21"/>
              </w:rPr>
              <w:t xml:space="preserve">支持与 KVM、Citrix </w:t>
            </w:r>
            <w:proofErr w:type="spellStart"/>
            <w:r w:rsidRPr="00800E0F">
              <w:rPr>
                <w:rFonts w:hint="eastAsia"/>
                <w:szCs w:val="21"/>
              </w:rPr>
              <w:t>XenServer</w:t>
            </w:r>
            <w:proofErr w:type="spellEnd"/>
            <w:r w:rsidRPr="00800E0F">
              <w:rPr>
                <w:rFonts w:hint="eastAsia"/>
                <w:szCs w:val="21"/>
              </w:rPr>
              <w:t xml:space="preserve">等虚拟化集成部署超融合平台（提供 Citrix </w:t>
            </w:r>
            <w:proofErr w:type="gramStart"/>
            <w:r w:rsidRPr="00800E0F">
              <w:rPr>
                <w:rFonts w:hint="eastAsia"/>
                <w:szCs w:val="21"/>
              </w:rPr>
              <w:t>官网可</w:t>
            </w:r>
            <w:proofErr w:type="gramEnd"/>
            <w:r w:rsidRPr="00800E0F">
              <w:rPr>
                <w:rFonts w:hint="eastAsia"/>
                <w:szCs w:val="21"/>
              </w:rPr>
              <w:t>查询的兼容性证明）</w:t>
            </w:r>
          </w:p>
        </w:tc>
      </w:tr>
      <w:tr w:rsidR="00812822" w:rsidRPr="00800E0F">
        <w:trPr>
          <w:trHeight w:val="366"/>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6"/>
              </w:numPr>
              <w:jc w:val="both"/>
            </w:pPr>
            <w:r w:rsidRPr="00800E0F">
              <w:rPr>
                <w:rFonts w:hint="eastAsia"/>
                <w:szCs w:val="21"/>
              </w:rPr>
              <w:t>支持对集群和虚拟机设置 CPU 兼容性，支持 CPU 物理透传，以及不少于5种 CPU 模型兼容性设置，以便灵活指定集群和虚拟机</w:t>
            </w:r>
            <w:r w:rsidRPr="00800E0F">
              <w:rPr>
                <w:rFonts w:hint="eastAsia"/>
                <w:szCs w:val="21"/>
              </w:rPr>
              <w:lastRenderedPageBreak/>
              <w:t>的 CPU 兼容模型。（提供产品功能截图证明）</w:t>
            </w:r>
          </w:p>
        </w:tc>
      </w:tr>
      <w:tr w:rsidR="00812822" w:rsidRPr="00800E0F">
        <w:trPr>
          <w:trHeight w:val="366"/>
          <w:jc w:val="center"/>
        </w:trPr>
        <w:tc>
          <w:tcPr>
            <w:tcW w:w="1418" w:type="dxa"/>
            <w:vMerge w:val="restart"/>
            <w:vAlign w:val="center"/>
          </w:tcPr>
          <w:p w:rsidR="00812822" w:rsidRPr="00800E0F" w:rsidRDefault="0020290E">
            <w:pPr>
              <w:jc w:val="both"/>
              <w:rPr>
                <w:szCs w:val="21"/>
              </w:rPr>
            </w:pPr>
            <w:r w:rsidRPr="00800E0F">
              <w:rPr>
                <w:rFonts w:hint="eastAsia"/>
                <w:szCs w:val="21"/>
              </w:rPr>
              <w:lastRenderedPageBreak/>
              <w:t>集群扩展</w:t>
            </w:r>
          </w:p>
        </w:tc>
        <w:tc>
          <w:tcPr>
            <w:tcW w:w="7367" w:type="dxa"/>
          </w:tcPr>
          <w:p w:rsidR="00812822" w:rsidRPr="00800E0F" w:rsidRDefault="0020290E">
            <w:pPr>
              <w:widowControl w:val="0"/>
              <w:numPr>
                <w:ilvl w:val="0"/>
                <w:numId w:val="7"/>
              </w:numPr>
              <w:jc w:val="both"/>
            </w:pPr>
            <w:r w:rsidRPr="00800E0F">
              <w:rPr>
                <w:rFonts w:hint="eastAsia"/>
                <w:szCs w:val="21"/>
              </w:rPr>
              <w:t>单一集群最少3节点起步</w:t>
            </w:r>
            <w:r w:rsidRPr="00800E0F">
              <w:rPr>
                <w:szCs w:val="21"/>
              </w:rPr>
              <w:t>，支持以1个节点为单位进行扩容，在不中断业务的情况下将新节点自动或手动加入现有集群中，实现集群计算和存储资源的无缝扩展</w:t>
            </w:r>
            <w:r w:rsidRPr="00800E0F">
              <w:rPr>
                <w:rFonts w:hint="eastAsia"/>
                <w:szCs w:val="21"/>
              </w:rPr>
              <w:t>。</w:t>
            </w:r>
          </w:p>
        </w:tc>
      </w:tr>
      <w:tr w:rsidR="00812822" w:rsidRPr="00800E0F">
        <w:trPr>
          <w:trHeight w:val="366"/>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7"/>
              </w:numPr>
              <w:jc w:val="both"/>
            </w:pPr>
            <w:r w:rsidRPr="00800E0F">
              <w:rPr>
                <w:rFonts w:hint="eastAsia"/>
                <w:szCs w:val="21"/>
              </w:rPr>
              <w:t>支持</w:t>
            </w:r>
            <w:r w:rsidRPr="00800E0F">
              <w:rPr>
                <w:szCs w:val="21"/>
              </w:rPr>
              <w:t>不同品牌</w:t>
            </w:r>
            <w:r w:rsidRPr="00800E0F">
              <w:rPr>
                <w:rFonts w:hint="eastAsia"/>
                <w:szCs w:val="21"/>
              </w:rPr>
              <w:t>、不同型号、不同配置的服务器</w:t>
            </w:r>
            <w:r w:rsidRPr="00800E0F">
              <w:rPr>
                <w:szCs w:val="21"/>
              </w:rPr>
              <w:t>部署在同一个集群，保证不同时期采购的服务器硬件能够兼容在同一集群正常运行</w:t>
            </w:r>
          </w:p>
        </w:tc>
      </w:tr>
      <w:tr w:rsidR="00812822" w:rsidRPr="00800E0F">
        <w:trPr>
          <w:trHeight w:val="354"/>
          <w:jc w:val="center"/>
        </w:trPr>
        <w:tc>
          <w:tcPr>
            <w:tcW w:w="1418" w:type="dxa"/>
            <w:vMerge w:val="restart"/>
            <w:vAlign w:val="center"/>
          </w:tcPr>
          <w:p w:rsidR="00812822" w:rsidRPr="00800E0F" w:rsidRDefault="0020290E">
            <w:pPr>
              <w:jc w:val="both"/>
              <w:rPr>
                <w:szCs w:val="21"/>
              </w:rPr>
            </w:pPr>
            <w:r w:rsidRPr="00800E0F">
              <w:rPr>
                <w:rFonts w:hint="eastAsia"/>
                <w:szCs w:val="21"/>
              </w:rPr>
              <w:t>分布式存储</w:t>
            </w:r>
          </w:p>
        </w:tc>
        <w:tc>
          <w:tcPr>
            <w:tcW w:w="7367" w:type="dxa"/>
          </w:tcPr>
          <w:p w:rsidR="00812822" w:rsidRPr="00800E0F" w:rsidRDefault="0020290E">
            <w:pPr>
              <w:widowControl w:val="0"/>
              <w:numPr>
                <w:ilvl w:val="0"/>
                <w:numId w:val="8"/>
              </w:numPr>
              <w:jc w:val="both"/>
            </w:pPr>
            <w:r w:rsidRPr="00800E0F">
              <w:rPr>
                <w:rFonts w:hint="eastAsia"/>
              </w:rPr>
              <w:t>提供企业级分布式文件存储的解决方案，非开源、非</w:t>
            </w:r>
            <w:r w:rsidRPr="00800E0F">
              <w:t>OEM产品，厂商拥有完全的自主知识产权及软件著作权，代码自主率&gt;80%。（提供软件著作权证书、第三方代码自主率检测报告报告）</w:t>
            </w:r>
          </w:p>
        </w:tc>
      </w:tr>
      <w:tr w:rsidR="00812822" w:rsidRPr="00800E0F">
        <w:trPr>
          <w:trHeight w:val="354"/>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8"/>
              </w:numPr>
              <w:jc w:val="both"/>
            </w:pPr>
            <w:r w:rsidRPr="00800E0F">
              <w:t>支持智能精准探测并隔离异常磁盘，如不健康磁盘、亚健康磁盘、SMART检查不通过磁盘和寿命不足磁盘</w:t>
            </w:r>
            <w:r w:rsidRPr="00800E0F">
              <w:rPr>
                <w:rFonts w:hint="eastAsia"/>
              </w:rPr>
              <w:t>。</w:t>
            </w:r>
          </w:p>
        </w:tc>
      </w:tr>
      <w:tr w:rsidR="00812822" w:rsidRPr="00800E0F">
        <w:trPr>
          <w:trHeight w:val="354"/>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8"/>
              </w:numPr>
              <w:jc w:val="both"/>
              <w:rPr>
                <w:szCs w:val="21"/>
              </w:rPr>
            </w:pPr>
            <w:r w:rsidRPr="00800E0F">
              <w:rPr>
                <w:rFonts w:hint="eastAsia"/>
                <w:szCs w:val="21"/>
              </w:rPr>
              <w:t>分布式</w:t>
            </w:r>
            <w:r w:rsidRPr="00800E0F">
              <w:rPr>
                <w:szCs w:val="21"/>
              </w:rPr>
              <w:t>存储</w:t>
            </w:r>
            <w:r w:rsidRPr="00800E0F">
              <w:rPr>
                <w:rFonts w:hint="eastAsia"/>
                <w:szCs w:val="21"/>
              </w:rPr>
              <w:t>支持</w:t>
            </w:r>
            <w:r w:rsidRPr="00800E0F">
              <w:rPr>
                <w:szCs w:val="21"/>
              </w:rPr>
              <w:t>2副本和3副本的数据冗余配置，</w:t>
            </w:r>
            <w:r w:rsidRPr="00800E0F">
              <w:rPr>
                <w:rFonts w:hint="eastAsia"/>
                <w:szCs w:val="21"/>
              </w:rPr>
              <w:t>支持灵活的副本策略，可对单个虚拟机卷为对像设置副本数量。</w:t>
            </w:r>
          </w:p>
        </w:tc>
      </w:tr>
      <w:tr w:rsidR="00812822" w:rsidRPr="00800E0F">
        <w:trPr>
          <w:trHeight w:val="354"/>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8"/>
              </w:numPr>
              <w:jc w:val="both"/>
              <w:rPr>
                <w:szCs w:val="21"/>
              </w:rPr>
            </w:pPr>
            <w:r w:rsidRPr="00800E0F">
              <w:rPr>
                <w:szCs w:val="21"/>
              </w:rPr>
              <w:t>在</w:t>
            </w:r>
            <w:r w:rsidRPr="00800E0F">
              <w:rPr>
                <w:rFonts w:hint="eastAsia"/>
                <w:szCs w:val="21"/>
              </w:rPr>
              <w:t>虚拟化</w:t>
            </w:r>
            <w:r w:rsidRPr="00800E0F">
              <w:rPr>
                <w:szCs w:val="21"/>
              </w:rPr>
              <w:t>环境中，分布式存储本身支持优先将数据写在本地SSD磁盘上，并且当虚拟机迁移到任意节点，其数据也迁移到虚拟机所在物理节点</w:t>
            </w:r>
            <w:r w:rsidRPr="00800E0F">
              <w:rPr>
                <w:rFonts w:hint="eastAsia"/>
                <w:szCs w:val="21"/>
              </w:rPr>
              <w:t>，实现数据本地化，</w:t>
            </w:r>
            <w:r w:rsidRPr="00800E0F">
              <w:rPr>
                <w:szCs w:val="21"/>
              </w:rPr>
              <w:t>确保最短IO路径和读写延迟并减少网络流量</w:t>
            </w:r>
            <w:r w:rsidRPr="00800E0F">
              <w:rPr>
                <w:rFonts w:hint="eastAsia"/>
                <w:szCs w:val="21"/>
              </w:rPr>
              <w:t>。</w:t>
            </w:r>
          </w:p>
        </w:tc>
      </w:tr>
      <w:tr w:rsidR="00812822" w:rsidRPr="00800E0F">
        <w:trPr>
          <w:trHeight w:val="354"/>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8"/>
              </w:numPr>
              <w:jc w:val="both"/>
              <w:rPr>
                <w:szCs w:val="21"/>
              </w:rPr>
            </w:pPr>
            <w:proofErr w:type="gramStart"/>
            <w:r w:rsidRPr="00800E0F">
              <w:rPr>
                <w:rFonts w:hint="eastAsia"/>
                <w:szCs w:val="21"/>
              </w:rPr>
              <w:t>存储池不采用</w:t>
            </w:r>
            <w:proofErr w:type="gramEnd"/>
            <w:r w:rsidRPr="00800E0F">
              <w:rPr>
                <w:rFonts w:hint="eastAsia"/>
                <w:szCs w:val="21"/>
              </w:rPr>
              <w:t>磁盘组的技术，</w:t>
            </w:r>
            <w:r w:rsidRPr="00800E0F">
              <w:rPr>
                <w:szCs w:val="21"/>
              </w:rPr>
              <w:t>当SSD</w:t>
            </w:r>
            <w:r w:rsidRPr="00800E0F">
              <w:rPr>
                <w:rFonts w:hint="eastAsia"/>
                <w:szCs w:val="21"/>
              </w:rPr>
              <w:t>或H</w:t>
            </w:r>
            <w:r w:rsidRPr="00800E0F">
              <w:rPr>
                <w:szCs w:val="21"/>
              </w:rPr>
              <w:t>DD</w:t>
            </w:r>
            <w:r w:rsidRPr="00800E0F">
              <w:rPr>
                <w:rFonts w:hint="eastAsia"/>
                <w:szCs w:val="21"/>
              </w:rPr>
              <w:t>故障</w:t>
            </w:r>
            <w:r w:rsidRPr="00800E0F">
              <w:rPr>
                <w:szCs w:val="21"/>
              </w:rPr>
              <w:t>情况下，</w:t>
            </w:r>
            <w:r w:rsidRPr="00800E0F">
              <w:rPr>
                <w:rFonts w:hint="eastAsia"/>
                <w:szCs w:val="21"/>
              </w:rPr>
              <w:t>影响范围仅限于故障的S</w:t>
            </w:r>
            <w:r w:rsidRPr="00800E0F">
              <w:rPr>
                <w:szCs w:val="21"/>
              </w:rPr>
              <w:t>SD</w:t>
            </w:r>
            <w:r w:rsidRPr="00800E0F">
              <w:rPr>
                <w:rFonts w:hint="eastAsia"/>
                <w:szCs w:val="21"/>
              </w:rPr>
              <w:t>或H</w:t>
            </w:r>
            <w:r w:rsidRPr="00800E0F">
              <w:rPr>
                <w:szCs w:val="21"/>
              </w:rPr>
              <w:t>DD</w:t>
            </w:r>
            <w:r w:rsidRPr="00800E0F">
              <w:rPr>
                <w:rFonts w:hint="eastAsia"/>
                <w:szCs w:val="21"/>
              </w:rPr>
              <w:t>，不影响其它磁盘掉线，磁盘故障不影响存储的数据访问。（提供产品功能截图证明）</w:t>
            </w:r>
          </w:p>
        </w:tc>
      </w:tr>
      <w:tr w:rsidR="00812822" w:rsidRPr="00800E0F">
        <w:trPr>
          <w:trHeight w:val="354"/>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8"/>
              </w:numPr>
              <w:jc w:val="both"/>
              <w:rPr>
                <w:szCs w:val="21"/>
              </w:rPr>
            </w:pPr>
            <w:r w:rsidRPr="00800E0F">
              <w:rPr>
                <w:szCs w:val="21"/>
              </w:rPr>
              <w:t>支持基于服务器机架拓扑智能分布副本，避免出现由于单一机架</w:t>
            </w:r>
            <w:r w:rsidRPr="00800E0F">
              <w:rPr>
                <w:rFonts w:hint="eastAsia"/>
                <w:szCs w:val="21"/>
              </w:rPr>
              <w:t>或</w:t>
            </w:r>
            <w:r w:rsidRPr="00800E0F">
              <w:rPr>
                <w:szCs w:val="21"/>
              </w:rPr>
              <w:t>机箱的电源或网络故障造成的数据无法访问。</w:t>
            </w:r>
          </w:p>
        </w:tc>
      </w:tr>
      <w:tr w:rsidR="00812822" w:rsidRPr="00800E0F">
        <w:trPr>
          <w:trHeight w:val="354"/>
          <w:jc w:val="center"/>
        </w:trPr>
        <w:tc>
          <w:tcPr>
            <w:tcW w:w="1418" w:type="dxa"/>
            <w:vMerge w:val="restart"/>
            <w:vAlign w:val="center"/>
          </w:tcPr>
          <w:p w:rsidR="00812822" w:rsidRPr="00800E0F" w:rsidRDefault="0020290E">
            <w:pPr>
              <w:jc w:val="both"/>
              <w:rPr>
                <w:szCs w:val="21"/>
              </w:rPr>
            </w:pPr>
            <w:r w:rsidRPr="00800E0F">
              <w:rPr>
                <w:rFonts w:hint="eastAsia"/>
                <w:szCs w:val="21"/>
              </w:rPr>
              <w:t>运</w:t>
            </w:r>
            <w:proofErr w:type="gramStart"/>
            <w:r w:rsidRPr="00800E0F">
              <w:rPr>
                <w:rFonts w:hint="eastAsia"/>
                <w:szCs w:val="21"/>
              </w:rPr>
              <w:t>维管理</w:t>
            </w:r>
            <w:proofErr w:type="gramEnd"/>
          </w:p>
        </w:tc>
        <w:tc>
          <w:tcPr>
            <w:tcW w:w="7367" w:type="dxa"/>
          </w:tcPr>
          <w:p w:rsidR="00812822" w:rsidRPr="00800E0F" w:rsidRDefault="0020290E">
            <w:pPr>
              <w:widowControl w:val="0"/>
              <w:numPr>
                <w:ilvl w:val="0"/>
                <w:numId w:val="9"/>
              </w:numPr>
              <w:jc w:val="both"/>
            </w:pPr>
            <w:r w:rsidRPr="00800E0F">
              <w:rPr>
                <w:szCs w:val="21"/>
              </w:rPr>
              <w:t>可以自定义监控僵尸虚拟机、长期关机虚拟机、资源分配不合理的虚拟机等，有效地对虚拟机资源进行诊断和优化。</w:t>
            </w:r>
            <w:r w:rsidRPr="00800E0F">
              <w:rPr>
                <w:rFonts w:hint="eastAsia"/>
                <w:szCs w:val="21"/>
              </w:rPr>
              <w:t>（提供产品功能截图证明）</w:t>
            </w:r>
          </w:p>
        </w:tc>
      </w:tr>
      <w:tr w:rsidR="00812822" w:rsidRPr="00800E0F">
        <w:trPr>
          <w:trHeight w:val="366"/>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9"/>
              </w:numPr>
              <w:jc w:val="both"/>
            </w:pPr>
            <w:r w:rsidRPr="00800E0F">
              <w:rPr>
                <w:szCs w:val="21"/>
              </w:rPr>
              <w:t>通过自定义报表，显示多集群内虚拟机、集群、主机、磁盘</w:t>
            </w:r>
            <w:proofErr w:type="gramStart"/>
            <w:r w:rsidRPr="00800E0F">
              <w:rPr>
                <w:szCs w:val="21"/>
              </w:rPr>
              <w:t>等对象</w:t>
            </w:r>
            <w:proofErr w:type="gramEnd"/>
            <w:r w:rsidRPr="00800E0F">
              <w:rPr>
                <w:szCs w:val="21"/>
              </w:rPr>
              <w:t>过去小时、天、周、月度等历史性能曲线及相关告警信息，并能将多个性能曲线旋转在同一个报表中，方便性能分析和故障排查。</w:t>
            </w:r>
            <w:r w:rsidRPr="00800E0F">
              <w:rPr>
                <w:rFonts w:hint="eastAsia"/>
                <w:szCs w:val="21"/>
              </w:rPr>
              <w:t>（提供产品功能截图证明）</w:t>
            </w:r>
          </w:p>
        </w:tc>
      </w:tr>
      <w:tr w:rsidR="00812822" w:rsidRPr="00800E0F">
        <w:trPr>
          <w:trHeight w:val="366"/>
          <w:jc w:val="center"/>
        </w:trPr>
        <w:tc>
          <w:tcPr>
            <w:tcW w:w="1418" w:type="dxa"/>
            <w:vMerge/>
          </w:tcPr>
          <w:p w:rsidR="00812822" w:rsidRPr="00800E0F" w:rsidRDefault="00812822">
            <w:pPr>
              <w:rPr>
                <w:szCs w:val="21"/>
              </w:rPr>
            </w:pPr>
          </w:p>
        </w:tc>
        <w:tc>
          <w:tcPr>
            <w:tcW w:w="7367" w:type="dxa"/>
          </w:tcPr>
          <w:p w:rsidR="00812822" w:rsidRPr="00800E0F" w:rsidRDefault="0020290E">
            <w:pPr>
              <w:widowControl w:val="0"/>
              <w:numPr>
                <w:ilvl w:val="0"/>
                <w:numId w:val="9"/>
              </w:numPr>
              <w:jc w:val="both"/>
            </w:pPr>
            <w:r w:rsidRPr="00800E0F">
              <w:rPr>
                <w:rFonts w:hint="eastAsia"/>
                <w:szCs w:val="21"/>
              </w:rPr>
              <w:t>支持一键滚动升级功能，</w:t>
            </w:r>
            <w:r w:rsidRPr="00800E0F">
              <w:rPr>
                <w:szCs w:val="21"/>
              </w:rPr>
              <w:t xml:space="preserve"> 在不需要关闭业务系统的情况下，可以实现平台软件的在线升级</w:t>
            </w:r>
            <w:r w:rsidRPr="00800E0F">
              <w:rPr>
                <w:rFonts w:hint="eastAsia"/>
                <w:szCs w:val="21"/>
              </w:rPr>
              <w:t>。</w:t>
            </w:r>
          </w:p>
        </w:tc>
      </w:tr>
      <w:tr w:rsidR="00812822" w:rsidRPr="00800E0F">
        <w:trPr>
          <w:trHeight w:val="366"/>
          <w:jc w:val="center"/>
        </w:trPr>
        <w:tc>
          <w:tcPr>
            <w:tcW w:w="1418" w:type="dxa"/>
          </w:tcPr>
          <w:p w:rsidR="00812822" w:rsidRPr="00800E0F" w:rsidRDefault="0020290E">
            <w:pPr>
              <w:rPr>
                <w:szCs w:val="21"/>
              </w:rPr>
            </w:pPr>
            <w:r w:rsidRPr="00800E0F">
              <w:rPr>
                <w:rFonts w:hint="eastAsia"/>
                <w:szCs w:val="21"/>
              </w:rPr>
              <w:t>售后服务</w:t>
            </w:r>
          </w:p>
        </w:tc>
        <w:tc>
          <w:tcPr>
            <w:tcW w:w="7367" w:type="dxa"/>
            <w:vAlign w:val="center"/>
          </w:tcPr>
          <w:p w:rsidR="00812822" w:rsidRDefault="0020290E">
            <w:pPr>
              <w:jc w:val="both"/>
            </w:pPr>
            <w:r w:rsidRPr="00800E0F">
              <w:rPr>
                <w:rFonts w:cs="Arial" w:hint="eastAsia"/>
                <w:iCs/>
                <w:szCs w:val="21"/>
              </w:rPr>
              <w:t>超融合软件提供</w:t>
            </w:r>
            <w:r w:rsidRPr="00800E0F">
              <w:rPr>
                <w:rFonts w:cs="Arial"/>
                <w:iCs/>
                <w:szCs w:val="21"/>
              </w:rPr>
              <w:t xml:space="preserve"> </w:t>
            </w:r>
            <w:r w:rsidRPr="00800E0F">
              <w:rPr>
                <w:rFonts w:cs="Arial" w:hint="eastAsia"/>
                <w:iCs/>
                <w:szCs w:val="21"/>
              </w:rPr>
              <w:t>5</w:t>
            </w:r>
            <w:r w:rsidRPr="00800E0F">
              <w:rPr>
                <w:rFonts w:cs="Arial"/>
                <w:iCs/>
                <w:szCs w:val="21"/>
              </w:rPr>
              <w:t xml:space="preserve">年 7x24 </w:t>
            </w:r>
            <w:r w:rsidRPr="00800E0F">
              <w:rPr>
                <w:rFonts w:cs="Arial" w:hint="eastAsia"/>
                <w:iCs/>
                <w:szCs w:val="21"/>
              </w:rPr>
              <w:t>原厂</w:t>
            </w:r>
            <w:r w:rsidRPr="00800E0F">
              <w:rPr>
                <w:rFonts w:cs="Arial"/>
                <w:iCs/>
                <w:szCs w:val="21"/>
              </w:rPr>
              <w:t>售后服务</w:t>
            </w:r>
            <w:r w:rsidRPr="00800E0F">
              <w:t>，提供</w:t>
            </w:r>
            <w:r w:rsidRPr="00800E0F">
              <w:rPr>
                <w:rFonts w:hint="eastAsia"/>
                <w:szCs w:val="21"/>
              </w:rPr>
              <w:t>针对此项目的</w:t>
            </w:r>
            <w:r w:rsidRPr="00800E0F">
              <w:t>原厂服务承诺函</w:t>
            </w:r>
            <w:r w:rsidRPr="00800E0F">
              <w:rPr>
                <w:rFonts w:hint="eastAsia"/>
              </w:rPr>
              <w:t>。</w:t>
            </w:r>
          </w:p>
          <w:p w:rsidR="005D04EA" w:rsidRPr="00800E0F" w:rsidRDefault="005D04EA" w:rsidP="005D04EA">
            <w:pPr>
              <w:jc w:val="both"/>
              <w:rPr>
                <w:rFonts w:cs="Arial"/>
                <w:iCs/>
                <w:szCs w:val="21"/>
              </w:rPr>
            </w:pPr>
            <w:r w:rsidRPr="005D04EA">
              <w:rPr>
                <w:rFonts w:cs="Arial" w:hint="eastAsia"/>
                <w:iCs/>
                <w:szCs w:val="21"/>
              </w:rPr>
              <w:t>三年原厂邮件技术支持和软件版本升级服务</w:t>
            </w:r>
          </w:p>
        </w:tc>
      </w:tr>
    </w:tbl>
    <w:p w:rsidR="00812822" w:rsidRPr="00800E0F" w:rsidRDefault="0020290E">
      <w:pPr>
        <w:pStyle w:val="3"/>
        <w:widowControl w:val="0"/>
        <w:numPr>
          <w:ilvl w:val="1"/>
          <w:numId w:val="5"/>
        </w:numPr>
        <w:ind w:leftChars="0" w:rightChars="0" w:right="0"/>
        <w:jc w:val="both"/>
      </w:pPr>
      <w:r w:rsidRPr="00800E0F">
        <w:rPr>
          <w:rFonts w:hint="eastAsia"/>
        </w:rPr>
        <w:t>分布式存储参数要求</w:t>
      </w:r>
    </w:p>
    <w:tbl>
      <w:tblPr>
        <w:tblW w:w="8864" w:type="dxa"/>
        <w:tblInd w:w="113" w:type="dxa"/>
        <w:tblLook w:val="04A0" w:firstRow="1" w:lastRow="0" w:firstColumn="1" w:lastColumn="0" w:noHBand="0" w:noVBand="1"/>
      </w:tblPr>
      <w:tblGrid>
        <w:gridCol w:w="1027"/>
        <w:gridCol w:w="7837"/>
      </w:tblGrid>
      <w:tr w:rsidR="00812822" w:rsidRPr="00800E0F">
        <w:trPr>
          <w:trHeight w:val="360"/>
        </w:trPr>
        <w:tc>
          <w:tcPr>
            <w:tcW w:w="1027" w:type="dxa"/>
            <w:tcBorders>
              <w:top w:val="single" w:sz="4" w:space="0" w:color="auto"/>
              <w:left w:val="single" w:sz="4" w:space="0" w:color="auto"/>
              <w:bottom w:val="single" w:sz="4" w:space="0" w:color="auto"/>
              <w:right w:val="single" w:sz="4" w:space="0" w:color="auto"/>
            </w:tcBorders>
            <w:shd w:val="clear" w:color="auto" w:fill="D7D7D7"/>
            <w:vAlign w:val="center"/>
          </w:tcPr>
          <w:p w:rsidR="00812822" w:rsidRPr="00800E0F" w:rsidRDefault="0020290E">
            <w:pPr>
              <w:jc w:val="center"/>
              <w:rPr>
                <w:color w:val="000000"/>
                <w:szCs w:val="21"/>
              </w:rPr>
            </w:pPr>
            <w:r w:rsidRPr="00800E0F">
              <w:rPr>
                <w:rFonts w:hint="eastAsia"/>
                <w:color w:val="000000"/>
                <w:szCs w:val="21"/>
              </w:rPr>
              <w:t>指标项</w:t>
            </w:r>
          </w:p>
        </w:tc>
        <w:tc>
          <w:tcPr>
            <w:tcW w:w="7837" w:type="dxa"/>
            <w:tcBorders>
              <w:top w:val="single" w:sz="4" w:space="0" w:color="auto"/>
              <w:left w:val="nil"/>
              <w:bottom w:val="single" w:sz="4" w:space="0" w:color="auto"/>
              <w:right w:val="single" w:sz="4" w:space="0" w:color="auto"/>
            </w:tcBorders>
            <w:shd w:val="clear" w:color="auto" w:fill="D7D7D7"/>
            <w:vAlign w:val="center"/>
          </w:tcPr>
          <w:p w:rsidR="00812822" w:rsidRPr="00800E0F" w:rsidRDefault="0020290E">
            <w:pPr>
              <w:jc w:val="center"/>
              <w:rPr>
                <w:color w:val="000000"/>
                <w:szCs w:val="21"/>
              </w:rPr>
            </w:pPr>
            <w:r w:rsidRPr="00800E0F">
              <w:rPr>
                <w:rFonts w:hint="eastAsia"/>
                <w:color w:val="000000"/>
                <w:szCs w:val="21"/>
              </w:rPr>
              <w:t>指标要求</w:t>
            </w:r>
          </w:p>
        </w:tc>
      </w:tr>
      <w:tr w:rsidR="00812822" w:rsidRPr="00800E0F">
        <w:trPr>
          <w:trHeight w:val="580"/>
        </w:trPr>
        <w:tc>
          <w:tcPr>
            <w:tcW w:w="1027" w:type="dxa"/>
            <w:tcBorders>
              <w:top w:val="nil"/>
              <w:left w:val="single" w:sz="4" w:space="0" w:color="auto"/>
              <w:bottom w:val="single" w:sz="4" w:space="0" w:color="auto"/>
              <w:right w:val="single" w:sz="4" w:space="0" w:color="auto"/>
            </w:tcBorders>
            <w:vAlign w:val="center"/>
          </w:tcPr>
          <w:p w:rsidR="00812822" w:rsidRPr="00800E0F" w:rsidRDefault="0020290E">
            <w:pPr>
              <w:spacing w:line="420" w:lineRule="exact"/>
              <w:jc w:val="both"/>
              <w:rPr>
                <w:bCs/>
                <w:szCs w:val="21"/>
                <w:lang w:eastAsia="zh-Hans"/>
              </w:rPr>
            </w:pPr>
            <w:r w:rsidRPr="00800E0F">
              <w:rPr>
                <w:rFonts w:hint="eastAsia"/>
                <w:bCs/>
                <w:szCs w:val="21"/>
                <w:lang w:eastAsia="zh-Hans"/>
              </w:rPr>
              <w:t>配置要求</w:t>
            </w: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 xml:space="preserve">存储集群节点数量可横向扩展至不小于 4096 </w:t>
            </w:r>
            <w:proofErr w:type="gramStart"/>
            <w:r w:rsidRPr="00800E0F">
              <w:rPr>
                <w:rFonts w:hint="eastAsia"/>
                <w:bCs/>
                <w:szCs w:val="21"/>
              </w:rPr>
              <w:t>个</w:t>
            </w:r>
            <w:proofErr w:type="gramEnd"/>
            <w:r w:rsidRPr="00800E0F">
              <w:rPr>
                <w:rFonts w:hint="eastAsia"/>
                <w:bCs/>
                <w:szCs w:val="21"/>
              </w:rPr>
              <w:t>，本次要求至少提供≥</w:t>
            </w:r>
            <w:r w:rsidRPr="00800E0F">
              <w:rPr>
                <w:bCs/>
                <w:szCs w:val="21"/>
              </w:rPr>
              <w:t>4</w:t>
            </w:r>
            <w:r w:rsidRPr="00800E0F">
              <w:rPr>
                <w:rFonts w:hint="eastAsia"/>
                <w:bCs/>
                <w:szCs w:val="21"/>
              </w:rPr>
              <w:t>个节点，单节点配置CPU总物理核心数≥</w:t>
            </w:r>
            <w:r w:rsidRPr="00800E0F">
              <w:rPr>
                <w:bCs/>
                <w:szCs w:val="21"/>
              </w:rPr>
              <w:t>24</w:t>
            </w:r>
            <w:r w:rsidRPr="00800E0F">
              <w:rPr>
                <w:rFonts w:hint="eastAsia"/>
                <w:bCs/>
                <w:szCs w:val="21"/>
              </w:rPr>
              <w:t>，单处理器base主频≥2.</w:t>
            </w:r>
            <w:r w:rsidRPr="00800E0F">
              <w:rPr>
                <w:bCs/>
                <w:szCs w:val="21"/>
              </w:rPr>
              <w:t>4</w:t>
            </w:r>
            <w:r w:rsidRPr="00800E0F">
              <w:rPr>
                <w:rFonts w:hint="eastAsia"/>
                <w:bCs/>
                <w:szCs w:val="21"/>
              </w:rPr>
              <w:t>GHz，内存≥128GB，</w:t>
            </w:r>
            <w:r w:rsidRPr="00800E0F">
              <w:rPr>
                <w:rFonts w:hint="eastAsia"/>
                <w:bCs/>
                <w:szCs w:val="21"/>
                <w:lang w:eastAsia="zh-Hans"/>
              </w:rPr>
              <w:t>配置SSD系统盘数量≥</w:t>
            </w:r>
            <w:r w:rsidRPr="00800E0F">
              <w:rPr>
                <w:bCs/>
                <w:szCs w:val="21"/>
                <w:lang w:eastAsia="zh-Hans"/>
              </w:rPr>
              <w:t>2</w:t>
            </w:r>
            <w:r w:rsidRPr="00800E0F">
              <w:rPr>
                <w:rFonts w:hint="eastAsia"/>
                <w:bCs/>
                <w:szCs w:val="21"/>
                <w:lang w:eastAsia="zh-Hans"/>
              </w:rPr>
              <w:t>块，</w:t>
            </w:r>
            <w:proofErr w:type="gramStart"/>
            <w:r w:rsidRPr="00800E0F">
              <w:rPr>
                <w:rFonts w:hint="eastAsia"/>
                <w:bCs/>
                <w:szCs w:val="21"/>
                <w:lang w:eastAsia="zh-Hans"/>
              </w:rPr>
              <w:t>单块系统盘</w:t>
            </w:r>
            <w:proofErr w:type="gramEnd"/>
            <w:r w:rsidRPr="00800E0F">
              <w:rPr>
                <w:rFonts w:hint="eastAsia"/>
                <w:bCs/>
                <w:szCs w:val="21"/>
                <w:lang w:eastAsia="zh-Hans"/>
              </w:rPr>
              <w:t>容量≥</w:t>
            </w:r>
            <w:r w:rsidRPr="00800E0F">
              <w:rPr>
                <w:bCs/>
                <w:szCs w:val="21"/>
                <w:lang w:eastAsia="zh-Hans"/>
              </w:rPr>
              <w:t>480</w:t>
            </w:r>
            <w:r w:rsidRPr="00800E0F">
              <w:rPr>
                <w:rFonts w:hint="eastAsia"/>
                <w:bCs/>
                <w:szCs w:val="21"/>
                <w:lang w:eastAsia="zh-Hans"/>
              </w:rPr>
              <w:t>GB；</w:t>
            </w:r>
            <w:r w:rsidRPr="00800E0F">
              <w:rPr>
                <w:rFonts w:hint="eastAsia"/>
                <w:bCs/>
                <w:szCs w:val="21"/>
              </w:rPr>
              <w:t>配置SSD元数据盘数量≥2块，</w:t>
            </w:r>
            <w:r w:rsidRPr="00800E0F">
              <w:rPr>
                <w:rFonts w:hint="eastAsia"/>
                <w:bCs/>
                <w:szCs w:val="21"/>
                <w:lang w:eastAsia="zh-Hans"/>
              </w:rPr>
              <w:t>单块</w:t>
            </w:r>
            <w:r w:rsidRPr="00800E0F">
              <w:rPr>
                <w:rFonts w:hint="eastAsia"/>
                <w:bCs/>
                <w:szCs w:val="21"/>
              </w:rPr>
              <w:t>元数据盘容量≥960GB，配置SSD缓存盘</w:t>
            </w:r>
            <w:r w:rsidRPr="00800E0F">
              <w:rPr>
                <w:rFonts w:hint="eastAsia"/>
                <w:bCs/>
                <w:szCs w:val="21"/>
              </w:rPr>
              <w:lastRenderedPageBreak/>
              <w:t>≥</w:t>
            </w:r>
            <w:r w:rsidRPr="00800E0F">
              <w:rPr>
                <w:bCs/>
                <w:szCs w:val="21"/>
              </w:rPr>
              <w:t>6</w:t>
            </w:r>
            <w:r w:rsidRPr="00800E0F">
              <w:rPr>
                <w:rFonts w:hint="eastAsia"/>
                <w:bCs/>
                <w:szCs w:val="21"/>
              </w:rPr>
              <w:t>块，</w:t>
            </w:r>
            <w:r w:rsidRPr="00800E0F">
              <w:rPr>
                <w:rFonts w:hint="eastAsia"/>
                <w:bCs/>
                <w:szCs w:val="21"/>
                <w:lang w:eastAsia="zh-Hans"/>
              </w:rPr>
              <w:t>单块</w:t>
            </w:r>
            <w:r w:rsidRPr="00800E0F">
              <w:rPr>
                <w:rFonts w:hint="eastAsia"/>
                <w:bCs/>
                <w:szCs w:val="21"/>
              </w:rPr>
              <w:t>缓存盘容量≥</w:t>
            </w:r>
            <w:r w:rsidRPr="00800E0F">
              <w:rPr>
                <w:bCs/>
                <w:szCs w:val="21"/>
              </w:rPr>
              <w:t>3.84</w:t>
            </w:r>
            <w:r w:rsidRPr="00800E0F">
              <w:rPr>
                <w:rFonts w:hint="eastAsia"/>
                <w:bCs/>
                <w:szCs w:val="21"/>
              </w:rPr>
              <w:t>TB，</w:t>
            </w:r>
            <w:r w:rsidRPr="00800E0F">
              <w:rPr>
                <w:rFonts w:hint="eastAsia"/>
                <w:bCs/>
                <w:szCs w:val="21"/>
                <w:lang w:eastAsia="zh-Hans"/>
              </w:rPr>
              <w:t>配置HDD数据盘≥</w:t>
            </w:r>
            <w:r w:rsidRPr="00800E0F">
              <w:rPr>
                <w:bCs/>
                <w:szCs w:val="21"/>
                <w:lang w:eastAsia="zh-Hans"/>
              </w:rPr>
              <w:t>30</w:t>
            </w:r>
            <w:r w:rsidRPr="00800E0F">
              <w:rPr>
                <w:rFonts w:hint="eastAsia"/>
                <w:bCs/>
                <w:szCs w:val="21"/>
                <w:lang w:eastAsia="zh-Hans"/>
              </w:rPr>
              <w:t>块，单</w:t>
            </w:r>
            <w:proofErr w:type="gramStart"/>
            <w:r w:rsidRPr="00800E0F">
              <w:rPr>
                <w:rFonts w:hint="eastAsia"/>
                <w:bCs/>
                <w:szCs w:val="21"/>
                <w:lang w:eastAsia="zh-Hans"/>
              </w:rPr>
              <w:t>块数据</w:t>
            </w:r>
            <w:proofErr w:type="gramEnd"/>
            <w:r w:rsidRPr="00800E0F">
              <w:rPr>
                <w:rFonts w:hint="eastAsia"/>
                <w:bCs/>
                <w:szCs w:val="21"/>
                <w:lang w:eastAsia="zh-Hans"/>
              </w:rPr>
              <w:t>盘容量≥</w:t>
            </w:r>
            <w:r w:rsidRPr="00800E0F">
              <w:rPr>
                <w:bCs/>
                <w:szCs w:val="21"/>
                <w:lang w:eastAsia="zh-Hans"/>
              </w:rPr>
              <w:t>16</w:t>
            </w:r>
            <w:r w:rsidRPr="00800E0F">
              <w:rPr>
                <w:rFonts w:hint="eastAsia"/>
                <w:bCs/>
                <w:szCs w:val="21"/>
                <w:lang w:eastAsia="zh-Hans"/>
              </w:rPr>
              <w:t>TB，</w:t>
            </w:r>
            <w:r w:rsidRPr="00800E0F">
              <w:rPr>
                <w:rFonts w:hint="eastAsia"/>
                <w:bCs/>
                <w:szCs w:val="21"/>
              </w:rPr>
              <w:t>配置</w:t>
            </w:r>
            <w:r w:rsidRPr="00800E0F">
              <w:rPr>
                <w:rFonts w:hint="eastAsia"/>
                <w:bCs/>
                <w:szCs w:val="21"/>
                <w:lang w:eastAsia="zh-Hans"/>
              </w:rPr>
              <w:t>双口</w:t>
            </w:r>
            <w:r w:rsidRPr="00800E0F">
              <w:rPr>
                <w:rFonts w:hint="eastAsia"/>
                <w:bCs/>
                <w:szCs w:val="21"/>
              </w:rPr>
              <w:t xml:space="preserve"> </w:t>
            </w:r>
            <w:r w:rsidRPr="00800E0F">
              <w:rPr>
                <w:bCs/>
                <w:szCs w:val="21"/>
              </w:rPr>
              <w:t>25</w:t>
            </w:r>
            <w:r w:rsidRPr="00800E0F">
              <w:rPr>
                <w:rFonts w:hint="eastAsia"/>
                <w:bCs/>
                <w:szCs w:val="21"/>
              </w:rPr>
              <w:t>Gb</w:t>
            </w:r>
            <w:proofErr w:type="gramStart"/>
            <w:r w:rsidRPr="00800E0F">
              <w:rPr>
                <w:rFonts w:hint="eastAsia"/>
                <w:bCs/>
                <w:szCs w:val="21"/>
                <w:lang w:eastAsia="zh-Hans"/>
              </w:rPr>
              <w:t>光口以太</w:t>
            </w:r>
            <w:proofErr w:type="gramEnd"/>
            <w:r w:rsidRPr="00800E0F">
              <w:rPr>
                <w:rFonts w:hint="eastAsia"/>
                <w:bCs/>
                <w:szCs w:val="21"/>
                <w:lang w:eastAsia="zh-Hans"/>
              </w:rPr>
              <w:t>网卡（含光模块）</w:t>
            </w:r>
            <w:r w:rsidRPr="00800E0F">
              <w:rPr>
                <w:rFonts w:hint="eastAsia"/>
                <w:bCs/>
                <w:szCs w:val="21"/>
              </w:rPr>
              <w:t>≥</w:t>
            </w:r>
            <w:r w:rsidRPr="00800E0F">
              <w:rPr>
                <w:bCs/>
                <w:szCs w:val="21"/>
              </w:rPr>
              <w:t>2</w:t>
            </w:r>
            <w:r w:rsidRPr="00800E0F">
              <w:rPr>
                <w:rFonts w:hint="eastAsia"/>
                <w:bCs/>
                <w:szCs w:val="21"/>
                <w:lang w:eastAsia="zh-Hans"/>
              </w:rPr>
              <w:t>块</w:t>
            </w:r>
          </w:p>
        </w:tc>
      </w:tr>
      <w:tr w:rsidR="00812822" w:rsidRPr="00800E0F">
        <w:trPr>
          <w:trHeight w:val="135"/>
        </w:trPr>
        <w:tc>
          <w:tcPr>
            <w:tcW w:w="1027" w:type="dxa"/>
            <w:tcBorders>
              <w:top w:val="nil"/>
              <w:left w:val="single" w:sz="4" w:space="0" w:color="auto"/>
              <w:bottom w:val="single" w:sz="4" w:space="0" w:color="auto"/>
              <w:right w:val="single" w:sz="4" w:space="0" w:color="auto"/>
            </w:tcBorders>
            <w:vAlign w:val="center"/>
          </w:tcPr>
          <w:p w:rsidR="00812822" w:rsidRPr="00800E0F" w:rsidRDefault="0020290E">
            <w:pPr>
              <w:spacing w:line="420" w:lineRule="exact"/>
              <w:jc w:val="both"/>
              <w:rPr>
                <w:bCs/>
                <w:szCs w:val="21"/>
                <w:lang w:eastAsia="zh-Hans"/>
              </w:rPr>
            </w:pPr>
            <w:r w:rsidRPr="00800E0F">
              <w:rPr>
                <w:rFonts w:hint="eastAsia"/>
                <w:bCs/>
                <w:szCs w:val="21"/>
                <w:lang w:eastAsia="zh-Hans"/>
              </w:rPr>
              <w:lastRenderedPageBreak/>
              <w:t>知识产权</w:t>
            </w: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投标产品具有完全自主知识产权，非</w:t>
            </w:r>
            <w:proofErr w:type="spellStart"/>
            <w:r w:rsidRPr="00800E0F">
              <w:rPr>
                <w:rFonts w:hint="eastAsia"/>
                <w:bCs/>
                <w:szCs w:val="21"/>
              </w:rPr>
              <w:t>GlusterFS</w:t>
            </w:r>
            <w:proofErr w:type="spellEnd"/>
            <w:r w:rsidRPr="00800E0F">
              <w:rPr>
                <w:rFonts w:hint="eastAsia"/>
                <w:bCs/>
                <w:szCs w:val="21"/>
              </w:rPr>
              <w:t>、</w:t>
            </w:r>
            <w:proofErr w:type="spellStart"/>
            <w:r w:rsidRPr="00800E0F">
              <w:rPr>
                <w:rFonts w:hint="eastAsia"/>
                <w:bCs/>
                <w:szCs w:val="21"/>
              </w:rPr>
              <w:t>CephFS</w:t>
            </w:r>
            <w:proofErr w:type="spellEnd"/>
            <w:r w:rsidRPr="00800E0F">
              <w:rPr>
                <w:rFonts w:hint="eastAsia"/>
                <w:bCs/>
                <w:szCs w:val="21"/>
              </w:rPr>
              <w:t>、</w:t>
            </w:r>
            <w:proofErr w:type="spellStart"/>
            <w:r w:rsidRPr="00800E0F">
              <w:rPr>
                <w:rFonts w:hint="eastAsia"/>
                <w:bCs/>
                <w:szCs w:val="21"/>
              </w:rPr>
              <w:t>MooseFS</w:t>
            </w:r>
            <w:proofErr w:type="spellEnd"/>
            <w:r w:rsidRPr="00800E0F">
              <w:rPr>
                <w:rFonts w:hint="eastAsia"/>
                <w:bCs/>
                <w:szCs w:val="21"/>
              </w:rPr>
              <w:t>、HDFS或其它开源架构的商业存储产品，非OEM产品，具有国家版权局颁发的软件著作权登记证；</w:t>
            </w:r>
          </w:p>
        </w:tc>
      </w:tr>
      <w:tr w:rsidR="00812822" w:rsidRPr="00800E0F">
        <w:trPr>
          <w:trHeight w:val="576"/>
        </w:trPr>
        <w:tc>
          <w:tcPr>
            <w:tcW w:w="1027" w:type="dxa"/>
            <w:vMerge w:val="restart"/>
            <w:tcBorders>
              <w:top w:val="nil"/>
              <w:left w:val="single" w:sz="4" w:space="0" w:color="auto"/>
              <w:right w:val="single" w:sz="4" w:space="0" w:color="auto"/>
            </w:tcBorders>
            <w:vAlign w:val="center"/>
          </w:tcPr>
          <w:p w:rsidR="00812822" w:rsidRPr="00800E0F" w:rsidRDefault="0020290E">
            <w:pPr>
              <w:spacing w:line="420" w:lineRule="exact"/>
              <w:jc w:val="both"/>
              <w:rPr>
                <w:bCs/>
                <w:szCs w:val="21"/>
                <w:lang w:eastAsia="zh-Hans"/>
              </w:rPr>
            </w:pPr>
            <w:r w:rsidRPr="00800E0F">
              <w:rPr>
                <w:rFonts w:hint="eastAsia"/>
                <w:bCs/>
                <w:szCs w:val="21"/>
                <w:lang w:eastAsia="zh-Hans"/>
              </w:rPr>
              <w:t>产品实力</w:t>
            </w: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进入国际认可的性能评估测试（如IO500、SPEC SFS等）榜单排名前6，并提供相关证明。</w:t>
            </w:r>
          </w:p>
        </w:tc>
      </w:tr>
      <w:tr w:rsidR="00812822" w:rsidRPr="00800E0F">
        <w:trPr>
          <w:trHeight w:val="58"/>
        </w:trPr>
        <w:tc>
          <w:tcPr>
            <w:tcW w:w="1027" w:type="dxa"/>
            <w:vMerge/>
            <w:tcBorders>
              <w:left w:val="single" w:sz="4" w:space="0" w:color="auto"/>
              <w:bottom w:val="single" w:sz="4" w:space="0" w:color="auto"/>
              <w:right w:val="single" w:sz="4" w:space="0" w:color="auto"/>
            </w:tcBorders>
            <w:vAlign w:val="center"/>
          </w:tcPr>
          <w:p w:rsidR="00812822" w:rsidRPr="00800E0F" w:rsidRDefault="00812822">
            <w:pPr>
              <w:rPr>
                <w:color w:val="000000"/>
                <w:szCs w:val="21"/>
              </w:rPr>
            </w:pP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进入Gartner《2021中国软件定义存储竞争格局报告》榜单的主流国产文件存储厂商，并提供相关证明。</w:t>
            </w:r>
          </w:p>
        </w:tc>
      </w:tr>
      <w:tr w:rsidR="00812822" w:rsidRPr="00800E0F">
        <w:trPr>
          <w:trHeight w:val="288"/>
        </w:trPr>
        <w:tc>
          <w:tcPr>
            <w:tcW w:w="1027" w:type="dxa"/>
            <w:vMerge w:val="restart"/>
            <w:tcBorders>
              <w:top w:val="nil"/>
              <w:left w:val="single" w:sz="4" w:space="0" w:color="auto"/>
              <w:right w:val="single" w:sz="4" w:space="0" w:color="auto"/>
            </w:tcBorders>
            <w:vAlign w:val="center"/>
          </w:tcPr>
          <w:p w:rsidR="00812822" w:rsidRPr="00800E0F" w:rsidRDefault="0020290E">
            <w:pPr>
              <w:spacing w:line="420" w:lineRule="exact"/>
              <w:jc w:val="both"/>
              <w:rPr>
                <w:bCs/>
                <w:szCs w:val="21"/>
                <w:lang w:eastAsia="zh-Hans"/>
              </w:rPr>
            </w:pPr>
            <w:r w:rsidRPr="00800E0F">
              <w:rPr>
                <w:rFonts w:hint="eastAsia"/>
                <w:bCs/>
                <w:szCs w:val="21"/>
                <w:lang w:eastAsia="zh-Hans"/>
              </w:rPr>
              <w:t>系统架构</w:t>
            </w: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支持采用全服务器节点部署架构，其中元数据节点和数据节点既支持分离部署方式，也支持融合部署方式；支持IO节点+SAN盘阵存储的部署架构</w:t>
            </w:r>
            <w:proofErr w:type="gramStart"/>
            <w:r w:rsidRPr="00800E0F">
              <w:rPr>
                <w:rFonts w:hint="eastAsia"/>
                <w:bCs/>
                <w:szCs w:val="21"/>
              </w:rPr>
              <w:t>架构</w:t>
            </w:r>
            <w:proofErr w:type="gramEnd"/>
            <w:r w:rsidRPr="00800E0F">
              <w:rPr>
                <w:rFonts w:hint="eastAsia"/>
                <w:bCs/>
                <w:szCs w:val="21"/>
              </w:rPr>
              <w:t>。提供系统截图证明，如</w:t>
            </w:r>
            <w:proofErr w:type="gramStart"/>
            <w:r w:rsidRPr="00800E0F">
              <w:rPr>
                <w:rFonts w:hint="eastAsia"/>
                <w:bCs/>
                <w:szCs w:val="21"/>
              </w:rPr>
              <w:t>官网截</w:t>
            </w:r>
            <w:proofErr w:type="gramEnd"/>
            <w:r w:rsidRPr="00800E0F">
              <w:rPr>
                <w:rFonts w:hint="eastAsia"/>
                <w:bCs/>
                <w:szCs w:val="21"/>
              </w:rPr>
              <w:t>图或官方白皮书说明；</w:t>
            </w:r>
          </w:p>
        </w:tc>
      </w:tr>
      <w:tr w:rsidR="00812822" w:rsidRPr="00800E0F">
        <w:trPr>
          <w:trHeight w:val="288"/>
        </w:trPr>
        <w:tc>
          <w:tcPr>
            <w:tcW w:w="1027" w:type="dxa"/>
            <w:vMerge/>
            <w:tcBorders>
              <w:left w:val="single" w:sz="4" w:space="0" w:color="auto"/>
              <w:bottom w:val="single" w:sz="4" w:space="0" w:color="auto"/>
              <w:right w:val="single" w:sz="4" w:space="0" w:color="auto"/>
            </w:tcBorders>
            <w:vAlign w:val="center"/>
          </w:tcPr>
          <w:p w:rsidR="00812822" w:rsidRPr="00800E0F" w:rsidRDefault="00812822">
            <w:pPr>
              <w:rPr>
                <w:color w:val="000000"/>
                <w:szCs w:val="21"/>
              </w:rPr>
            </w:pP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元数据服务节点采用分布式架构，支持最大256个节点扩展，且元数据节点支持对称或非对称模式，元数据集群支持在线</w:t>
            </w:r>
            <w:proofErr w:type="gramStart"/>
            <w:r w:rsidRPr="00800E0F">
              <w:rPr>
                <w:rFonts w:hint="eastAsia"/>
                <w:bCs/>
                <w:szCs w:val="21"/>
              </w:rPr>
              <w:t>不</w:t>
            </w:r>
            <w:proofErr w:type="gramEnd"/>
            <w:r w:rsidRPr="00800E0F">
              <w:rPr>
                <w:rFonts w:hint="eastAsia"/>
                <w:bCs/>
                <w:szCs w:val="21"/>
              </w:rPr>
              <w:t>停机扩容，需要提供官方文档证明</w:t>
            </w:r>
          </w:p>
        </w:tc>
      </w:tr>
      <w:tr w:rsidR="00812822" w:rsidRPr="00800E0F">
        <w:trPr>
          <w:trHeight w:val="288"/>
        </w:trPr>
        <w:tc>
          <w:tcPr>
            <w:tcW w:w="1027" w:type="dxa"/>
            <w:tcBorders>
              <w:top w:val="nil"/>
              <w:left w:val="single" w:sz="4" w:space="0" w:color="auto"/>
              <w:bottom w:val="single" w:sz="4" w:space="0" w:color="auto"/>
              <w:right w:val="single" w:sz="4" w:space="0" w:color="auto"/>
            </w:tcBorders>
            <w:vAlign w:val="center"/>
          </w:tcPr>
          <w:p w:rsidR="00812822" w:rsidRPr="00800E0F" w:rsidRDefault="0020290E">
            <w:pPr>
              <w:spacing w:line="420" w:lineRule="exact"/>
              <w:jc w:val="both"/>
              <w:rPr>
                <w:bCs/>
                <w:szCs w:val="21"/>
                <w:lang w:eastAsia="zh-Hans"/>
              </w:rPr>
            </w:pPr>
            <w:r w:rsidRPr="00800E0F">
              <w:rPr>
                <w:rFonts w:hint="eastAsia"/>
                <w:bCs/>
                <w:szCs w:val="21"/>
                <w:lang w:eastAsia="zh-Hans"/>
              </w:rPr>
              <w:t>可靠性</w:t>
            </w: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支持副本模式数据保护，本次要求配置双副本模式。全系统无单点故障；任意单个节点失效时，服务不停止，数据不丢失；</w:t>
            </w:r>
          </w:p>
        </w:tc>
      </w:tr>
      <w:tr w:rsidR="00812822" w:rsidRPr="00800E0F">
        <w:trPr>
          <w:trHeight w:val="123"/>
        </w:trPr>
        <w:tc>
          <w:tcPr>
            <w:tcW w:w="1027" w:type="dxa"/>
            <w:vMerge w:val="restart"/>
            <w:tcBorders>
              <w:top w:val="nil"/>
              <w:left w:val="single" w:sz="4" w:space="0" w:color="auto"/>
              <w:right w:val="single" w:sz="4" w:space="0" w:color="auto"/>
            </w:tcBorders>
            <w:vAlign w:val="center"/>
          </w:tcPr>
          <w:p w:rsidR="00812822" w:rsidRPr="00800E0F" w:rsidRDefault="0020290E">
            <w:pPr>
              <w:spacing w:line="420" w:lineRule="exact"/>
              <w:jc w:val="both"/>
              <w:rPr>
                <w:bCs/>
                <w:szCs w:val="21"/>
                <w:lang w:eastAsia="zh-Hans"/>
              </w:rPr>
            </w:pPr>
            <w:r w:rsidRPr="00800E0F">
              <w:rPr>
                <w:rFonts w:hint="eastAsia"/>
                <w:bCs/>
                <w:szCs w:val="21"/>
                <w:lang w:eastAsia="zh-Hans"/>
              </w:rPr>
              <w:t>访问方式</w:t>
            </w: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支持对接Hadoop、Spark、Hive、Impala等大数据中间件，结合后不会产生额外的副本浪费。</w:t>
            </w:r>
          </w:p>
        </w:tc>
      </w:tr>
      <w:tr w:rsidR="00812822" w:rsidRPr="00800E0F">
        <w:trPr>
          <w:trHeight w:val="288"/>
        </w:trPr>
        <w:tc>
          <w:tcPr>
            <w:tcW w:w="1027" w:type="dxa"/>
            <w:vMerge/>
            <w:tcBorders>
              <w:left w:val="single" w:sz="4" w:space="0" w:color="auto"/>
              <w:bottom w:val="single" w:sz="4" w:space="0" w:color="auto"/>
              <w:right w:val="single" w:sz="4" w:space="0" w:color="auto"/>
            </w:tcBorders>
            <w:vAlign w:val="center"/>
          </w:tcPr>
          <w:p w:rsidR="00812822" w:rsidRPr="00800E0F" w:rsidRDefault="00812822">
            <w:pPr>
              <w:rPr>
                <w:color w:val="000000"/>
                <w:szCs w:val="21"/>
              </w:rPr>
            </w:pP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lang w:eastAsia="zh-Hans"/>
              </w:rPr>
            </w:pPr>
            <w:proofErr w:type="spellStart"/>
            <w:r w:rsidRPr="00800E0F">
              <w:rPr>
                <w:rFonts w:hint="eastAsia"/>
                <w:bCs/>
                <w:szCs w:val="21"/>
              </w:rPr>
              <w:t>linux</w:t>
            </w:r>
            <w:proofErr w:type="spellEnd"/>
            <w:r w:rsidRPr="00800E0F">
              <w:rPr>
                <w:rFonts w:hint="eastAsia"/>
                <w:bCs/>
                <w:szCs w:val="21"/>
              </w:rPr>
              <w:t>和Windows系统均支持通过私有客户端方式访问存储系统，提升并发访问效率和性能</w:t>
            </w:r>
            <w:r w:rsidRPr="00800E0F">
              <w:rPr>
                <w:rFonts w:hint="eastAsia"/>
                <w:bCs/>
                <w:szCs w:val="21"/>
                <w:lang w:eastAsia="zh-Hans"/>
              </w:rPr>
              <w:t>；支持NFS、SMB 协议的NAS 数据访问方式，NFS、SMB 均支持负载均衡策略。</w:t>
            </w:r>
          </w:p>
        </w:tc>
      </w:tr>
      <w:tr w:rsidR="00812822" w:rsidRPr="00800E0F">
        <w:trPr>
          <w:trHeight w:val="223"/>
        </w:trPr>
        <w:tc>
          <w:tcPr>
            <w:tcW w:w="1027" w:type="dxa"/>
            <w:vMerge w:val="restart"/>
            <w:tcBorders>
              <w:top w:val="nil"/>
              <w:left w:val="single" w:sz="4" w:space="0" w:color="auto"/>
              <w:right w:val="single" w:sz="4" w:space="0" w:color="auto"/>
            </w:tcBorders>
            <w:vAlign w:val="center"/>
          </w:tcPr>
          <w:p w:rsidR="00812822" w:rsidRPr="00800E0F" w:rsidRDefault="0020290E">
            <w:pPr>
              <w:spacing w:line="420" w:lineRule="exact"/>
              <w:jc w:val="both"/>
              <w:rPr>
                <w:bCs/>
                <w:szCs w:val="21"/>
                <w:lang w:eastAsia="zh-Hans"/>
              </w:rPr>
            </w:pPr>
            <w:r w:rsidRPr="00800E0F">
              <w:rPr>
                <w:rFonts w:hint="eastAsia"/>
                <w:bCs/>
                <w:szCs w:val="21"/>
                <w:lang w:eastAsia="zh-Hans"/>
              </w:rPr>
              <w:t>功能要求</w:t>
            </w: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hint="eastAsia"/>
                <w:bCs/>
                <w:szCs w:val="21"/>
              </w:rPr>
              <w:t>支持客户端对并行文件系统中的子目录进行挂载，并针对不同的子目录设置IP白名单，设置各个挂载目录读写访问权限，可将允许访问的子目录列表导出（提供系统截图证明）。</w:t>
            </w:r>
          </w:p>
        </w:tc>
      </w:tr>
      <w:tr w:rsidR="00812822" w:rsidRPr="00800E0F">
        <w:trPr>
          <w:trHeight w:val="302"/>
        </w:trPr>
        <w:tc>
          <w:tcPr>
            <w:tcW w:w="1027" w:type="dxa"/>
            <w:vMerge/>
            <w:tcBorders>
              <w:left w:val="single" w:sz="4" w:space="0" w:color="auto"/>
              <w:right w:val="single" w:sz="4" w:space="0" w:color="auto"/>
            </w:tcBorders>
            <w:vAlign w:val="center"/>
          </w:tcPr>
          <w:p w:rsidR="00812822" w:rsidRPr="00800E0F" w:rsidRDefault="00812822">
            <w:pPr>
              <w:rPr>
                <w:color w:val="000000"/>
                <w:szCs w:val="21"/>
              </w:rPr>
            </w:pP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bCs/>
                <w:szCs w:val="21"/>
              </w:rPr>
            </w:pPr>
            <w:r w:rsidRPr="00800E0F">
              <w:rPr>
                <w:rFonts w:cs="Segoe UI Symbol" w:hint="eastAsia"/>
                <w:szCs w:val="21"/>
              </w:rPr>
              <w:t>可针对文件目录设置</w:t>
            </w:r>
            <w:proofErr w:type="spellStart"/>
            <w:r w:rsidRPr="00800E0F">
              <w:rPr>
                <w:rFonts w:cs="Segoe UI Symbol" w:hint="eastAsia"/>
                <w:szCs w:val="21"/>
              </w:rPr>
              <w:t>Qos</w:t>
            </w:r>
            <w:proofErr w:type="spellEnd"/>
            <w:r w:rsidRPr="00800E0F">
              <w:rPr>
                <w:rFonts w:cs="Segoe UI Symbol" w:hint="eastAsia"/>
                <w:szCs w:val="21"/>
              </w:rPr>
              <w:t>，包括读IOPS、写IOPS、总IOPS、读带宽、写带宽、总带宽，避免业务之间的争抢。（提供系统截图证明）。</w:t>
            </w:r>
          </w:p>
        </w:tc>
      </w:tr>
      <w:tr w:rsidR="00812822" w:rsidRPr="00800E0F">
        <w:trPr>
          <w:trHeight w:val="159"/>
        </w:trPr>
        <w:tc>
          <w:tcPr>
            <w:tcW w:w="1027" w:type="dxa"/>
            <w:vMerge/>
            <w:tcBorders>
              <w:left w:val="single" w:sz="4" w:space="0" w:color="auto"/>
              <w:right w:val="single" w:sz="4" w:space="0" w:color="auto"/>
            </w:tcBorders>
            <w:vAlign w:val="center"/>
          </w:tcPr>
          <w:p w:rsidR="00812822" w:rsidRPr="00800E0F" w:rsidRDefault="00812822">
            <w:pPr>
              <w:rPr>
                <w:color w:val="000000"/>
                <w:szCs w:val="21"/>
              </w:rPr>
            </w:pP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rFonts w:cs="Segoe UI Symbol"/>
                <w:szCs w:val="21"/>
              </w:rPr>
            </w:pPr>
            <w:r w:rsidRPr="00800E0F">
              <w:rPr>
                <w:rFonts w:cs="Segoe UI Symbol" w:hint="eastAsia"/>
                <w:szCs w:val="21"/>
              </w:rPr>
              <w:t>可连接第三</w:t>
            </w:r>
            <w:proofErr w:type="gramStart"/>
            <w:r w:rsidRPr="00800E0F">
              <w:rPr>
                <w:rFonts w:cs="Segoe UI Symbol" w:hint="eastAsia"/>
                <w:szCs w:val="21"/>
              </w:rPr>
              <w:t>方对象</w:t>
            </w:r>
            <w:proofErr w:type="gramEnd"/>
            <w:r w:rsidRPr="00800E0F">
              <w:rPr>
                <w:rFonts w:cs="Segoe UI Symbol" w:hint="eastAsia"/>
                <w:szCs w:val="21"/>
              </w:rPr>
              <w:t>存储保存冷数据，保持原有文件系统的目录结构；上层应用对数据所处层次无感知，仍通过文件接口读取对象存储中的冷数据，文件系统根据策略自动完成</w:t>
            </w:r>
            <w:proofErr w:type="gramStart"/>
            <w:r w:rsidRPr="00800E0F">
              <w:rPr>
                <w:rFonts w:cs="Segoe UI Symbol" w:hint="eastAsia"/>
                <w:szCs w:val="21"/>
              </w:rPr>
              <w:t>冷数据</w:t>
            </w:r>
            <w:proofErr w:type="gramEnd"/>
            <w:r w:rsidRPr="00800E0F">
              <w:rPr>
                <w:rFonts w:cs="Segoe UI Symbol" w:hint="eastAsia"/>
                <w:szCs w:val="21"/>
              </w:rPr>
              <w:t>分层。支持对象数据读取Seek 模式。支持针对不同对象</w:t>
            </w:r>
            <w:proofErr w:type="gramStart"/>
            <w:r w:rsidRPr="00800E0F">
              <w:rPr>
                <w:rFonts w:cs="Segoe UI Symbol" w:hint="eastAsia"/>
                <w:szCs w:val="21"/>
              </w:rPr>
              <w:t>桶设置不同下刷</w:t>
            </w:r>
            <w:proofErr w:type="gramEnd"/>
            <w:r w:rsidRPr="00800E0F">
              <w:rPr>
                <w:rFonts w:cs="Segoe UI Symbol" w:hint="eastAsia"/>
                <w:szCs w:val="21"/>
              </w:rPr>
              <w:t>策略，支持多目录向不同对象桶的并发下刷，支持通过界面</w:t>
            </w:r>
            <w:proofErr w:type="gramStart"/>
            <w:r w:rsidRPr="00800E0F">
              <w:rPr>
                <w:rFonts w:cs="Segoe UI Symbol" w:hint="eastAsia"/>
                <w:szCs w:val="21"/>
              </w:rPr>
              <w:t>查看下刷状况</w:t>
            </w:r>
            <w:proofErr w:type="gramEnd"/>
            <w:r w:rsidRPr="00800E0F">
              <w:rPr>
                <w:rFonts w:cs="Segoe UI Symbol" w:hint="eastAsia"/>
                <w:szCs w:val="21"/>
              </w:rPr>
              <w:t>，并</w:t>
            </w:r>
            <w:proofErr w:type="gramStart"/>
            <w:r w:rsidRPr="00800E0F">
              <w:rPr>
                <w:rFonts w:cs="Segoe UI Symbol" w:hint="eastAsia"/>
                <w:szCs w:val="21"/>
              </w:rPr>
              <w:t>查看下刷历史记录</w:t>
            </w:r>
            <w:proofErr w:type="gramEnd"/>
            <w:r w:rsidRPr="00800E0F">
              <w:rPr>
                <w:rFonts w:cs="Segoe UI Symbol" w:hint="eastAsia"/>
                <w:szCs w:val="21"/>
              </w:rPr>
              <w:t>（提供系统截图证明）</w:t>
            </w:r>
          </w:p>
        </w:tc>
      </w:tr>
      <w:tr w:rsidR="00812822" w:rsidRPr="00800E0F">
        <w:trPr>
          <w:trHeight w:val="159"/>
        </w:trPr>
        <w:tc>
          <w:tcPr>
            <w:tcW w:w="1027" w:type="dxa"/>
            <w:vMerge/>
            <w:tcBorders>
              <w:left w:val="single" w:sz="4" w:space="0" w:color="auto"/>
              <w:right w:val="single" w:sz="4" w:space="0" w:color="auto"/>
            </w:tcBorders>
            <w:vAlign w:val="center"/>
          </w:tcPr>
          <w:p w:rsidR="00812822" w:rsidRPr="00800E0F" w:rsidRDefault="00812822">
            <w:pPr>
              <w:rPr>
                <w:color w:val="000000"/>
                <w:szCs w:val="21"/>
              </w:rPr>
            </w:pP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rFonts w:cs="Segoe UI Symbol"/>
                <w:szCs w:val="21"/>
              </w:rPr>
            </w:pPr>
            <w:r w:rsidRPr="00800E0F">
              <w:rPr>
                <w:rFonts w:cs="Segoe UI Symbol" w:hint="eastAsia"/>
                <w:szCs w:val="21"/>
              </w:rPr>
              <w:t>指定分布式文件系统目录，该目录可与后端对象存储桶（及指定对象前缀）进行关联，关联后，对象存储桶（及指定对象前缀）的数据，可通过文件系统目录，以NFS或POSIX等文件接口进行访问。可支持一种或多种对象存储。对象存储桶中的数据发生新增或删除时，可自动同步到上层文件系统中。文件系统中管理的对象存储数据可读可写，并可文件系统中修改的数据</w:t>
            </w:r>
            <w:proofErr w:type="gramStart"/>
            <w:r w:rsidRPr="00800E0F">
              <w:rPr>
                <w:rFonts w:cs="Segoe UI Symbol" w:hint="eastAsia"/>
                <w:szCs w:val="21"/>
              </w:rPr>
              <w:t>导出回对象</w:t>
            </w:r>
            <w:proofErr w:type="gramEnd"/>
            <w:r w:rsidRPr="00800E0F">
              <w:rPr>
                <w:rFonts w:cs="Segoe UI Symbol" w:hint="eastAsia"/>
                <w:szCs w:val="21"/>
              </w:rPr>
              <w:t>存储。（提供系统截图证明）</w:t>
            </w:r>
          </w:p>
        </w:tc>
      </w:tr>
      <w:tr w:rsidR="00812822" w:rsidRPr="00800E0F">
        <w:trPr>
          <w:trHeight w:val="122"/>
        </w:trPr>
        <w:tc>
          <w:tcPr>
            <w:tcW w:w="1027" w:type="dxa"/>
            <w:vMerge/>
            <w:tcBorders>
              <w:left w:val="single" w:sz="4" w:space="0" w:color="auto"/>
              <w:right w:val="single" w:sz="4" w:space="0" w:color="auto"/>
            </w:tcBorders>
            <w:vAlign w:val="center"/>
          </w:tcPr>
          <w:p w:rsidR="00812822" w:rsidRPr="00800E0F" w:rsidRDefault="00812822">
            <w:pPr>
              <w:rPr>
                <w:color w:val="000000"/>
                <w:szCs w:val="21"/>
              </w:rPr>
            </w:pP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rFonts w:cs="Segoe UI Symbol"/>
                <w:kern w:val="2"/>
                <w:sz w:val="21"/>
                <w:szCs w:val="21"/>
              </w:rPr>
            </w:pPr>
            <w:r w:rsidRPr="00800E0F">
              <w:rPr>
                <w:rFonts w:cs="Segoe UI Symbol" w:hint="eastAsia"/>
                <w:szCs w:val="21"/>
              </w:rPr>
              <w:t>支持对目录设置回收站，设置回收站后，在目录中删除的文件/子目录，可进入回收站中，可通过用户界面查看被删除的文件，并通过用户界面恢复指定文件/子目录（提供系统截图证明）</w:t>
            </w:r>
          </w:p>
        </w:tc>
      </w:tr>
      <w:tr w:rsidR="00812822" w:rsidRPr="00800E0F">
        <w:trPr>
          <w:trHeight w:val="288"/>
        </w:trPr>
        <w:tc>
          <w:tcPr>
            <w:tcW w:w="1027" w:type="dxa"/>
            <w:vMerge/>
            <w:tcBorders>
              <w:left w:val="single" w:sz="4" w:space="0" w:color="auto"/>
              <w:bottom w:val="single" w:sz="4" w:space="0" w:color="auto"/>
              <w:right w:val="single" w:sz="4" w:space="0" w:color="auto"/>
            </w:tcBorders>
            <w:vAlign w:val="center"/>
          </w:tcPr>
          <w:p w:rsidR="00812822" w:rsidRPr="00800E0F" w:rsidRDefault="00812822">
            <w:pPr>
              <w:rPr>
                <w:color w:val="000000"/>
                <w:szCs w:val="21"/>
              </w:rPr>
            </w:pPr>
          </w:p>
        </w:tc>
        <w:tc>
          <w:tcPr>
            <w:tcW w:w="7837" w:type="dxa"/>
            <w:tcBorders>
              <w:top w:val="nil"/>
              <w:left w:val="nil"/>
              <w:bottom w:val="single" w:sz="4" w:space="0" w:color="auto"/>
              <w:right w:val="single" w:sz="4" w:space="0" w:color="auto"/>
            </w:tcBorders>
            <w:vAlign w:val="center"/>
          </w:tcPr>
          <w:p w:rsidR="00812822" w:rsidRPr="00800E0F" w:rsidRDefault="0020290E">
            <w:pPr>
              <w:spacing w:line="420" w:lineRule="exact"/>
              <w:jc w:val="both"/>
              <w:rPr>
                <w:rFonts w:cs="Segoe UI Symbol"/>
                <w:szCs w:val="21"/>
              </w:rPr>
            </w:pPr>
            <w:r w:rsidRPr="00800E0F">
              <w:rPr>
                <w:rFonts w:cs="Segoe UI Symbol" w:hint="eastAsia"/>
                <w:szCs w:val="21"/>
              </w:rPr>
              <w:t>支持NVIDIA GPU Direct Storage，支持采用DMA 引擎将存储数据直接写入 GPU 显存，减少内存 bounce buffers 所带来的额外数据拷贝，从而降低</w:t>
            </w:r>
            <w:proofErr w:type="gramStart"/>
            <w:r w:rsidRPr="00800E0F">
              <w:rPr>
                <w:rFonts w:cs="Segoe UI Symbol" w:hint="eastAsia"/>
                <w:szCs w:val="21"/>
              </w:rPr>
              <w:t>低</w:t>
            </w:r>
            <w:proofErr w:type="gramEnd"/>
            <w:r w:rsidRPr="00800E0F">
              <w:rPr>
                <w:rFonts w:cs="Segoe UI Symbol" w:hint="eastAsia"/>
                <w:szCs w:val="21"/>
              </w:rPr>
              <w:t>I/O延迟，充分释放网卡的全部带宽，同时减少CPU在通信中的负载</w:t>
            </w:r>
          </w:p>
        </w:tc>
      </w:tr>
      <w:tr w:rsidR="00812822" w:rsidRPr="00800E0F">
        <w:trPr>
          <w:trHeight w:val="288"/>
        </w:trPr>
        <w:tc>
          <w:tcPr>
            <w:tcW w:w="1027" w:type="dxa"/>
            <w:vMerge/>
            <w:tcBorders>
              <w:top w:val="single" w:sz="4" w:space="0" w:color="auto"/>
              <w:left w:val="single" w:sz="4" w:space="0" w:color="auto"/>
              <w:bottom w:val="single" w:sz="4" w:space="0" w:color="auto"/>
              <w:right w:val="single" w:sz="4" w:space="0" w:color="auto"/>
            </w:tcBorders>
          </w:tcPr>
          <w:p w:rsidR="00812822" w:rsidRPr="00800E0F" w:rsidRDefault="00812822">
            <w:pPr>
              <w:rPr>
                <w:color w:val="000000"/>
                <w:szCs w:val="21"/>
              </w:rPr>
            </w:pPr>
          </w:p>
        </w:tc>
        <w:tc>
          <w:tcPr>
            <w:tcW w:w="7837" w:type="dxa"/>
            <w:tcBorders>
              <w:top w:val="single" w:sz="4" w:space="0" w:color="auto"/>
              <w:left w:val="single" w:sz="4" w:space="0" w:color="auto"/>
              <w:bottom w:val="single" w:sz="4" w:space="0" w:color="auto"/>
              <w:right w:val="single" w:sz="4" w:space="0" w:color="auto"/>
            </w:tcBorders>
            <w:vAlign w:val="center"/>
          </w:tcPr>
          <w:p w:rsidR="00812822" w:rsidRPr="00800E0F" w:rsidRDefault="0020290E">
            <w:pPr>
              <w:spacing w:line="420" w:lineRule="exact"/>
              <w:jc w:val="both"/>
              <w:rPr>
                <w:rFonts w:cs="Segoe UI Symbol"/>
                <w:szCs w:val="21"/>
              </w:rPr>
            </w:pPr>
            <w:r w:rsidRPr="00800E0F">
              <w:rPr>
                <w:rFonts w:cs="Segoe UI Symbol" w:hint="eastAsia"/>
                <w:szCs w:val="21"/>
              </w:rPr>
              <w:t>可自定义集群、服务器的告警规则，可查看集群告警状况，及历史事件，可对各个告警规则设置告警方式，支持邮件、短信告警、飞书、钉钉、</w:t>
            </w:r>
            <w:proofErr w:type="gramStart"/>
            <w:r w:rsidRPr="00800E0F">
              <w:rPr>
                <w:rFonts w:cs="Segoe UI Symbol" w:hint="eastAsia"/>
                <w:szCs w:val="21"/>
              </w:rPr>
              <w:t>企业微信等</w:t>
            </w:r>
            <w:proofErr w:type="gramEnd"/>
            <w:r w:rsidRPr="00800E0F">
              <w:rPr>
                <w:rFonts w:cs="Segoe UI Symbol" w:hint="eastAsia"/>
                <w:szCs w:val="21"/>
              </w:rPr>
              <w:t>，可自定义通知组，包括系统用户、系统外用户（提供系统截图证明）。</w:t>
            </w:r>
          </w:p>
        </w:tc>
      </w:tr>
      <w:tr w:rsidR="00812822" w:rsidRPr="00800E0F">
        <w:trPr>
          <w:trHeight w:val="288"/>
        </w:trPr>
        <w:tc>
          <w:tcPr>
            <w:tcW w:w="1027" w:type="dxa"/>
            <w:tcBorders>
              <w:top w:val="single" w:sz="4" w:space="0" w:color="auto"/>
              <w:left w:val="single" w:sz="4" w:space="0" w:color="auto"/>
              <w:bottom w:val="single" w:sz="4" w:space="0" w:color="auto"/>
              <w:right w:val="single" w:sz="4" w:space="0" w:color="auto"/>
            </w:tcBorders>
            <w:vAlign w:val="center"/>
          </w:tcPr>
          <w:p w:rsidR="00812822" w:rsidRPr="00800E0F" w:rsidRDefault="0020290E">
            <w:pPr>
              <w:spacing w:line="420" w:lineRule="exact"/>
              <w:jc w:val="both"/>
              <w:rPr>
                <w:rFonts w:cs="Segoe UI Symbol"/>
                <w:szCs w:val="21"/>
                <w:lang w:eastAsia="zh-Hans"/>
              </w:rPr>
            </w:pPr>
            <w:r w:rsidRPr="00800E0F">
              <w:rPr>
                <w:rFonts w:cs="Segoe UI Symbol" w:hint="eastAsia"/>
                <w:szCs w:val="21"/>
                <w:lang w:eastAsia="zh-Hans"/>
              </w:rPr>
              <w:t>售后服务</w:t>
            </w:r>
          </w:p>
        </w:tc>
        <w:tc>
          <w:tcPr>
            <w:tcW w:w="7837" w:type="dxa"/>
            <w:tcBorders>
              <w:top w:val="single" w:sz="4" w:space="0" w:color="auto"/>
              <w:left w:val="single" w:sz="4" w:space="0" w:color="auto"/>
              <w:bottom w:val="single" w:sz="4" w:space="0" w:color="auto"/>
              <w:right w:val="single" w:sz="4" w:space="0" w:color="auto"/>
            </w:tcBorders>
            <w:vAlign w:val="center"/>
          </w:tcPr>
          <w:p w:rsidR="00812822" w:rsidRPr="00800E0F" w:rsidRDefault="0020290E">
            <w:pPr>
              <w:spacing w:line="420" w:lineRule="exact"/>
              <w:jc w:val="both"/>
              <w:rPr>
                <w:rFonts w:cs="Segoe UI Symbol"/>
                <w:szCs w:val="21"/>
              </w:rPr>
            </w:pPr>
            <w:r w:rsidRPr="00800E0F">
              <w:rPr>
                <w:rFonts w:cs="Segoe UI Symbol" w:hint="eastAsia"/>
                <w:szCs w:val="21"/>
              </w:rPr>
              <w:t>提供原厂首次安装服务、</w:t>
            </w:r>
            <w:r w:rsidRPr="00800E0F">
              <w:rPr>
                <w:rFonts w:cs="Segoe UI Symbol" w:hint="eastAsia"/>
                <w:szCs w:val="21"/>
                <w:lang w:eastAsia="zh-Hans"/>
              </w:rPr>
              <w:t>系统使用培训、</w:t>
            </w:r>
            <w:r w:rsidRPr="00800E0F">
              <w:rPr>
                <w:rFonts w:cs="Segoe UI Symbol" w:hint="eastAsia"/>
                <w:szCs w:val="21"/>
              </w:rPr>
              <w:t>提供</w:t>
            </w:r>
            <w:r w:rsidRPr="00800E0F">
              <w:rPr>
                <w:rFonts w:cs="Segoe UI Symbol"/>
                <w:szCs w:val="21"/>
              </w:rPr>
              <w:t>5</w:t>
            </w:r>
            <w:r w:rsidRPr="00800E0F">
              <w:rPr>
                <w:rFonts w:cs="Segoe UI Symbol" w:hint="eastAsia"/>
                <w:szCs w:val="21"/>
              </w:rPr>
              <w:t>年</w:t>
            </w:r>
            <w:proofErr w:type="gramStart"/>
            <w:r w:rsidRPr="00800E0F">
              <w:rPr>
                <w:rFonts w:cs="Segoe UI Symbol" w:hint="eastAsia"/>
                <w:szCs w:val="21"/>
                <w:lang w:eastAsia="zh-Hans"/>
              </w:rPr>
              <w:t>软硬件维保服务</w:t>
            </w:r>
            <w:proofErr w:type="gramEnd"/>
            <w:r w:rsidRPr="00800E0F">
              <w:rPr>
                <w:rFonts w:cs="Segoe UI Symbol" w:hint="eastAsia"/>
                <w:szCs w:val="21"/>
                <w:lang w:eastAsia="zh-Hans"/>
              </w:rPr>
              <w:t>、</w:t>
            </w:r>
            <w:r w:rsidRPr="00800E0F">
              <w:rPr>
                <w:rFonts w:cs="Segoe UI Symbol" w:hint="eastAsia"/>
                <w:szCs w:val="21"/>
              </w:rPr>
              <w:t>软件升级服务、在线支持服务、免费电话支持服务。提供投标人盖章的承诺函</w:t>
            </w:r>
          </w:p>
        </w:tc>
      </w:tr>
    </w:tbl>
    <w:p w:rsidR="003861CC" w:rsidRPr="00800E0F" w:rsidRDefault="003861CC" w:rsidP="00C8702E">
      <w:pPr>
        <w:pStyle w:val="3"/>
        <w:widowControl w:val="0"/>
        <w:numPr>
          <w:ilvl w:val="1"/>
          <w:numId w:val="5"/>
        </w:numPr>
        <w:ind w:leftChars="0" w:rightChars="0" w:right="0"/>
        <w:jc w:val="both"/>
      </w:pPr>
      <w:r w:rsidRPr="00800E0F">
        <w:rPr>
          <w:rFonts w:hint="eastAsia"/>
        </w:rPr>
        <w:t>分布式存储交换机</w:t>
      </w:r>
    </w:p>
    <w:tbl>
      <w:tblPr>
        <w:tblW w:w="8300" w:type="dxa"/>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100" w:type="dxa"/>
          <w:bottom w:w="50" w:type="dxa"/>
          <w:right w:w="100" w:type="dxa"/>
        </w:tblCellMar>
        <w:tblLook w:val="04A0" w:firstRow="1" w:lastRow="0" w:firstColumn="1" w:lastColumn="0" w:noHBand="0" w:noVBand="1"/>
      </w:tblPr>
      <w:tblGrid>
        <w:gridCol w:w="2300"/>
        <w:gridCol w:w="6000"/>
      </w:tblGrid>
      <w:tr w:rsidR="003861CC" w:rsidRPr="00800E0F" w:rsidTr="00834508">
        <w:trPr>
          <w:tblHeader/>
        </w:trPr>
        <w:tc>
          <w:tcPr>
            <w:tcW w:w="2300" w:type="dxa"/>
            <w:shd w:val="clear" w:color="auto" w:fill="auto"/>
            <w:vAlign w:val="center"/>
          </w:tcPr>
          <w:p w:rsidR="003861CC" w:rsidRPr="00800E0F" w:rsidRDefault="003861CC" w:rsidP="00834508">
            <w:pPr>
              <w:jc w:val="center"/>
              <w:rPr>
                <w:lang w:eastAsia="zh-Hans"/>
              </w:rPr>
            </w:pPr>
            <w:r w:rsidRPr="00800E0F">
              <w:rPr>
                <w:rFonts w:hint="eastAsia"/>
                <w:b/>
                <w:lang w:eastAsia="zh-Hans"/>
              </w:rPr>
              <w:t>指标项</w:t>
            </w:r>
          </w:p>
        </w:tc>
        <w:tc>
          <w:tcPr>
            <w:tcW w:w="6000" w:type="dxa"/>
            <w:shd w:val="clear" w:color="auto" w:fill="auto"/>
            <w:vAlign w:val="center"/>
          </w:tcPr>
          <w:p w:rsidR="003861CC" w:rsidRPr="00800E0F" w:rsidRDefault="003861CC" w:rsidP="00834508">
            <w:pPr>
              <w:jc w:val="center"/>
              <w:rPr>
                <w:lang w:eastAsia="zh-Hans"/>
              </w:rPr>
            </w:pPr>
            <w:r w:rsidRPr="00800E0F">
              <w:rPr>
                <w:rFonts w:hint="eastAsia"/>
                <w:b/>
                <w:lang w:eastAsia="zh-Hans"/>
              </w:rPr>
              <w:t>指标要求</w:t>
            </w:r>
          </w:p>
        </w:tc>
      </w:tr>
      <w:tr w:rsidR="003861CC" w:rsidRPr="00800E0F" w:rsidTr="00834508">
        <w:tc>
          <w:tcPr>
            <w:tcW w:w="0" w:type="auto"/>
          </w:tcPr>
          <w:p w:rsidR="003861CC" w:rsidRPr="00800E0F" w:rsidRDefault="003861CC" w:rsidP="00834508">
            <w:pPr>
              <w:jc w:val="center"/>
            </w:pPr>
            <w:r w:rsidRPr="00800E0F">
              <w:rPr>
                <w:rFonts w:hint="eastAsia"/>
              </w:rPr>
              <w:t>交换容量</w:t>
            </w:r>
          </w:p>
        </w:tc>
        <w:tc>
          <w:tcPr>
            <w:tcW w:w="6000" w:type="dxa"/>
          </w:tcPr>
          <w:p w:rsidR="003861CC" w:rsidRPr="00800E0F" w:rsidRDefault="003861CC" w:rsidP="00834508">
            <w:r w:rsidRPr="00800E0F">
              <w:rPr>
                <w:rFonts w:hint="eastAsia"/>
              </w:rPr>
              <w:t>交换容量≥4.8</w:t>
            </w:r>
            <w:r w:rsidRPr="00800E0F">
              <w:t>T</w:t>
            </w:r>
            <w:r w:rsidRPr="00800E0F">
              <w:rPr>
                <w:rFonts w:hint="eastAsia"/>
              </w:rPr>
              <w:t>bps，提供</w:t>
            </w:r>
            <w:proofErr w:type="gramStart"/>
            <w:r w:rsidRPr="00800E0F">
              <w:rPr>
                <w:rFonts w:hint="eastAsia"/>
              </w:rPr>
              <w:t>官网链接跟截图证明</w:t>
            </w:r>
            <w:proofErr w:type="gramEnd"/>
          </w:p>
        </w:tc>
      </w:tr>
      <w:tr w:rsidR="003861CC" w:rsidRPr="00800E0F" w:rsidTr="00834508">
        <w:tc>
          <w:tcPr>
            <w:tcW w:w="0" w:type="auto"/>
          </w:tcPr>
          <w:p w:rsidR="003861CC" w:rsidRPr="00800E0F" w:rsidRDefault="003861CC" w:rsidP="00834508">
            <w:pPr>
              <w:jc w:val="center"/>
            </w:pPr>
            <w:r w:rsidRPr="00800E0F">
              <w:rPr>
                <w:rFonts w:hint="eastAsia"/>
              </w:rPr>
              <w:t>转发性能</w:t>
            </w:r>
          </w:p>
        </w:tc>
        <w:tc>
          <w:tcPr>
            <w:tcW w:w="6000" w:type="dxa"/>
          </w:tcPr>
          <w:p w:rsidR="003861CC" w:rsidRPr="00800E0F" w:rsidRDefault="003861CC" w:rsidP="00834508">
            <w:r w:rsidRPr="00800E0F">
              <w:rPr>
                <w:rFonts w:hint="eastAsia"/>
              </w:rPr>
              <w:t>包转发率≥2000</w:t>
            </w:r>
            <w:r w:rsidRPr="00800E0F">
              <w:t>M</w:t>
            </w:r>
            <w:r w:rsidRPr="00800E0F">
              <w:rPr>
                <w:rFonts w:hint="eastAsia"/>
              </w:rPr>
              <w:t>pps，提供</w:t>
            </w:r>
            <w:proofErr w:type="gramStart"/>
            <w:r w:rsidRPr="00800E0F">
              <w:rPr>
                <w:rFonts w:hint="eastAsia"/>
              </w:rPr>
              <w:t>官网链接跟截图证明</w:t>
            </w:r>
            <w:proofErr w:type="gramEnd"/>
          </w:p>
        </w:tc>
      </w:tr>
      <w:tr w:rsidR="003861CC" w:rsidRPr="00800E0F" w:rsidTr="00834508">
        <w:tc>
          <w:tcPr>
            <w:tcW w:w="0" w:type="auto"/>
            <w:vAlign w:val="center"/>
          </w:tcPr>
          <w:p w:rsidR="003861CC" w:rsidRPr="00800E0F" w:rsidRDefault="003861CC" w:rsidP="00834508">
            <w:pPr>
              <w:jc w:val="center"/>
            </w:pPr>
            <w:r w:rsidRPr="00800E0F">
              <w:rPr>
                <w:rFonts w:hint="eastAsia"/>
              </w:rPr>
              <w:t>端口要求</w:t>
            </w:r>
          </w:p>
        </w:tc>
        <w:tc>
          <w:tcPr>
            <w:tcW w:w="6000" w:type="dxa"/>
          </w:tcPr>
          <w:p w:rsidR="003861CC" w:rsidRPr="00800E0F" w:rsidRDefault="003861CC" w:rsidP="00834508">
            <w:r>
              <w:rPr>
                <w:rFonts w:hint="eastAsia"/>
              </w:rPr>
              <w:t>提供≥48个25</w:t>
            </w:r>
            <w:r>
              <w:t>G SFP28</w:t>
            </w:r>
            <w:r>
              <w:rPr>
                <w:rFonts w:hint="eastAsia"/>
              </w:rPr>
              <w:t>以太网光口</w:t>
            </w:r>
            <w:r>
              <w:t>，8</w:t>
            </w:r>
            <w:r>
              <w:rPr>
                <w:rFonts w:hint="eastAsia"/>
              </w:rPr>
              <w:t>个</w:t>
            </w:r>
            <w:r>
              <w:t>100G QSFP28</w:t>
            </w:r>
            <w:r>
              <w:rPr>
                <w:rFonts w:hint="eastAsia"/>
              </w:rPr>
              <w:t>以太网光口</w:t>
            </w:r>
            <w:r w:rsidR="002F1901">
              <w:rPr>
                <w:rFonts w:hint="eastAsia"/>
              </w:rPr>
              <w:t>（</w:t>
            </w:r>
            <w:r w:rsidR="00AE0276">
              <w:rPr>
                <w:rFonts w:hint="eastAsia"/>
              </w:rPr>
              <w:t>满</w:t>
            </w:r>
            <w:proofErr w:type="gramStart"/>
            <w:r w:rsidR="00AE0276">
              <w:rPr>
                <w:rFonts w:hint="eastAsia"/>
              </w:rPr>
              <w:t>配</w:t>
            </w:r>
            <w:r w:rsidR="00AE0276" w:rsidRPr="00800E0F">
              <w:rPr>
                <w:rFonts w:hint="eastAsia"/>
              </w:rPr>
              <w:t>多模光模块</w:t>
            </w:r>
            <w:proofErr w:type="gramEnd"/>
            <w:r w:rsidR="002F1901">
              <w:rPr>
                <w:rFonts w:hint="eastAsia"/>
              </w:rPr>
              <w:t>）</w:t>
            </w:r>
          </w:p>
        </w:tc>
      </w:tr>
      <w:tr w:rsidR="003861CC" w:rsidRPr="00800E0F" w:rsidTr="00834508">
        <w:tc>
          <w:tcPr>
            <w:tcW w:w="0" w:type="auto"/>
          </w:tcPr>
          <w:p w:rsidR="003861CC" w:rsidRPr="00800E0F" w:rsidRDefault="003861CC" w:rsidP="00834508">
            <w:pPr>
              <w:jc w:val="center"/>
            </w:pPr>
            <w:r w:rsidRPr="00800E0F">
              <w:rPr>
                <w:rFonts w:hint="eastAsia"/>
              </w:rPr>
              <w:t>电源</w:t>
            </w:r>
          </w:p>
        </w:tc>
        <w:tc>
          <w:tcPr>
            <w:tcW w:w="6000" w:type="dxa"/>
          </w:tcPr>
          <w:p w:rsidR="003861CC" w:rsidRPr="00800E0F" w:rsidRDefault="003861CC" w:rsidP="00834508">
            <w:r w:rsidRPr="00800E0F">
              <w:rPr>
                <w:rFonts w:hint="eastAsia"/>
              </w:rPr>
              <w:t>支持双电源</w:t>
            </w:r>
          </w:p>
        </w:tc>
      </w:tr>
      <w:tr w:rsidR="003861CC" w:rsidRPr="00800E0F" w:rsidTr="00834508">
        <w:tc>
          <w:tcPr>
            <w:tcW w:w="0" w:type="auto"/>
          </w:tcPr>
          <w:p w:rsidR="003861CC" w:rsidRPr="00800E0F" w:rsidRDefault="003861CC" w:rsidP="00834508">
            <w:pPr>
              <w:jc w:val="center"/>
            </w:pPr>
            <w:r w:rsidRPr="00800E0F">
              <w:rPr>
                <w:rFonts w:hint="eastAsia"/>
              </w:rPr>
              <w:t>风扇</w:t>
            </w:r>
          </w:p>
        </w:tc>
        <w:tc>
          <w:tcPr>
            <w:tcW w:w="6000" w:type="dxa"/>
          </w:tcPr>
          <w:p w:rsidR="003861CC" w:rsidRPr="00800E0F" w:rsidRDefault="003861CC" w:rsidP="00834508">
            <w:r w:rsidRPr="00800E0F">
              <w:rPr>
                <w:rFonts w:hint="eastAsia"/>
              </w:rPr>
              <w:t>支持5块可热插拔风扇模块，前后或后前通风，提供</w:t>
            </w:r>
            <w:proofErr w:type="gramStart"/>
            <w:r w:rsidRPr="00800E0F">
              <w:rPr>
                <w:rFonts w:hint="eastAsia"/>
              </w:rPr>
              <w:t>官网链接跟截图证明</w:t>
            </w:r>
            <w:proofErr w:type="gramEnd"/>
          </w:p>
        </w:tc>
      </w:tr>
      <w:tr w:rsidR="003861CC" w:rsidRPr="00800E0F" w:rsidTr="00834508">
        <w:tc>
          <w:tcPr>
            <w:tcW w:w="0" w:type="auto"/>
          </w:tcPr>
          <w:p w:rsidR="003861CC" w:rsidRPr="00800E0F" w:rsidRDefault="003861CC" w:rsidP="00834508">
            <w:pPr>
              <w:jc w:val="center"/>
            </w:pPr>
            <w:r w:rsidRPr="00800E0F">
              <w:rPr>
                <w:rFonts w:hint="eastAsia"/>
              </w:rPr>
              <w:t>路由表</w:t>
            </w:r>
          </w:p>
        </w:tc>
        <w:tc>
          <w:tcPr>
            <w:tcW w:w="6000" w:type="dxa"/>
          </w:tcPr>
          <w:p w:rsidR="003861CC" w:rsidRPr="00800E0F" w:rsidRDefault="003861CC" w:rsidP="00834508">
            <w:r w:rsidRPr="00800E0F">
              <w:rPr>
                <w:rFonts w:hint="eastAsia"/>
              </w:rPr>
              <w:t>整机最大路由地址表≥320K，提供第三方测试报告</w:t>
            </w:r>
          </w:p>
        </w:tc>
      </w:tr>
      <w:tr w:rsidR="003861CC" w:rsidRPr="00800E0F" w:rsidTr="00834508">
        <w:tc>
          <w:tcPr>
            <w:tcW w:w="0" w:type="auto"/>
          </w:tcPr>
          <w:p w:rsidR="003861CC" w:rsidRPr="00800E0F" w:rsidRDefault="003861CC" w:rsidP="00834508">
            <w:pPr>
              <w:jc w:val="center"/>
            </w:pPr>
            <w:r w:rsidRPr="00800E0F">
              <w:rPr>
                <w:rFonts w:hint="eastAsia"/>
              </w:rPr>
              <w:t>A</w:t>
            </w:r>
            <w:r w:rsidRPr="00800E0F">
              <w:t>RP</w:t>
            </w:r>
            <w:r w:rsidRPr="00800E0F">
              <w:rPr>
                <w:rFonts w:hint="eastAsia"/>
              </w:rPr>
              <w:t>表</w:t>
            </w:r>
          </w:p>
        </w:tc>
        <w:tc>
          <w:tcPr>
            <w:tcW w:w="6000" w:type="dxa"/>
          </w:tcPr>
          <w:p w:rsidR="003861CC" w:rsidRPr="00800E0F" w:rsidRDefault="003861CC" w:rsidP="00834508">
            <w:r w:rsidRPr="00800E0F">
              <w:rPr>
                <w:rFonts w:hint="eastAsia"/>
              </w:rPr>
              <w:t>整机最大ARP地址表≥270K，提供第三方测试报告</w:t>
            </w:r>
          </w:p>
        </w:tc>
      </w:tr>
      <w:tr w:rsidR="003861CC" w:rsidRPr="00800E0F" w:rsidTr="00834508">
        <w:tc>
          <w:tcPr>
            <w:tcW w:w="0" w:type="auto"/>
          </w:tcPr>
          <w:p w:rsidR="003861CC" w:rsidRPr="00800E0F" w:rsidRDefault="003861CC" w:rsidP="00834508">
            <w:pPr>
              <w:jc w:val="center"/>
            </w:pPr>
            <w:r w:rsidRPr="00800E0F">
              <w:rPr>
                <w:rFonts w:hint="eastAsia"/>
              </w:rPr>
              <w:t>M</w:t>
            </w:r>
            <w:r w:rsidRPr="00800E0F">
              <w:t>AC</w:t>
            </w:r>
            <w:r w:rsidRPr="00800E0F">
              <w:rPr>
                <w:rFonts w:hint="eastAsia"/>
              </w:rPr>
              <w:t>表</w:t>
            </w:r>
          </w:p>
        </w:tc>
        <w:tc>
          <w:tcPr>
            <w:tcW w:w="6000" w:type="dxa"/>
          </w:tcPr>
          <w:p w:rsidR="003861CC" w:rsidRPr="00800E0F" w:rsidRDefault="003861CC" w:rsidP="00834508">
            <w:r w:rsidRPr="00800E0F">
              <w:rPr>
                <w:rFonts w:hint="eastAsia"/>
              </w:rPr>
              <w:t>整机最大ARP地址表≥270K，提供第三方测试报告</w:t>
            </w:r>
          </w:p>
        </w:tc>
      </w:tr>
      <w:tr w:rsidR="003861CC" w:rsidRPr="00800E0F" w:rsidTr="00834508">
        <w:tc>
          <w:tcPr>
            <w:tcW w:w="0" w:type="auto"/>
            <w:vMerge w:val="restart"/>
          </w:tcPr>
          <w:p w:rsidR="003861CC" w:rsidRPr="00800E0F" w:rsidRDefault="003861CC" w:rsidP="00834508">
            <w:pPr>
              <w:jc w:val="center"/>
            </w:pPr>
            <w:r w:rsidRPr="00800E0F">
              <w:rPr>
                <w:rFonts w:hint="eastAsia"/>
              </w:rPr>
              <w:t>二层功能</w:t>
            </w:r>
          </w:p>
        </w:tc>
        <w:tc>
          <w:tcPr>
            <w:tcW w:w="6000" w:type="dxa"/>
          </w:tcPr>
          <w:p w:rsidR="003861CC" w:rsidRPr="00800E0F" w:rsidRDefault="003861CC" w:rsidP="00834508">
            <w:r w:rsidRPr="00800E0F">
              <w:rPr>
                <w:rFonts w:hint="eastAsia"/>
              </w:rPr>
              <w:t>支持基于端口、基于协议、基于MAC的VLAN</w:t>
            </w:r>
          </w:p>
        </w:tc>
      </w:tr>
      <w:tr w:rsidR="003861CC" w:rsidRPr="00800E0F" w:rsidTr="00834508">
        <w:tc>
          <w:tcPr>
            <w:tcW w:w="0" w:type="auto"/>
            <w:vMerge/>
          </w:tcPr>
          <w:p w:rsidR="003861CC" w:rsidRPr="00800E0F" w:rsidRDefault="003861CC" w:rsidP="00834508">
            <w:pPr>
              <w:jc w:val="center"/>
            </w:pPr>
          </w:p>
        </w:tc>
        <w:tc>
          <w:tcPr>
            <w:tcW w:w="6000" w:type="dxa"/>
          </w:tcPr>
          <w:p w:rsidR="003861CC" w:rsidRPr="00800E0F" w:rsidRDefault="003861CC" w:rsidP="00834508">
            <w:r w:rsidRPr="00800E0F">
              <w:rPr>
                <w:rFonts w:hint="eastAsia"/>
              </w:rPr>
              <w:t>支持动态MAC、静态MAC和黑洞MAC表项</w:t>
            </w:r>
          </w:p>
        </w:tc>
      </w:tr>
      <w:tr w:rsidR="003861CC" w:rsidRPr="00800E0F" w:rsidTr="00834508">
        <w:tc>
          <w:tcPr>
            <w:tcW w:w="0" w:type="auto"/>
            <w:vMerge w:val="restart"/>
          </w:tcPr>
          <w:p w:rsidR="003861CC" w:rsidRPr="00800E0F" w:rsidRDefault="003861CC" w:rsidP="00834508">
            <w:pPr>
              <w:jc w:val="center"/>
            </w:pPr>
            <w:r w:rsidRPr="00800E0F">
              <w:rPr>
                <w:rFonts w:hint="eastAsia"/>
              </w:rPr>
              <w:lastRenderedPageBreak/>
              <w:t>三层功能</w:t>
            </w:r>
          </w:p>
        </w:tc>
        <w:tc>
          <w:tcPr>
            <w:tcW w:w="6000" w:type="dxa"/>
          </w:tcPr>
          <w:p w:rsidR="003861CC" w:rsidRPr="00800E0F" w:rsidRDefault="003861CC" w:rsidP="00834508">
            <w:r w:rsidRPr="00800E0F">
              <w:rPr>
                <w:rFonts w:hint="eastAsia"/>
              </w:rPr>
              <w:t>支持RIP、OSPF、ISIS、BGP等IPv4动态路由协议</w:t>
            </w:r>
          </w:p>
        </w:tc>
      </w:tr>
      <w:tr w:rsidR="003861CC" w:rsidRPr="00800E0F" w:rsidTr="00834508">
        <w:tc>
          <w:tcPr>
            <w:tcW w:w="0" w:type="auto"/>
            <w:vMerge/>
          </w:tcPr>
          <w:p w:rsidR="003861CC" w:rsidRPr="00800E0F" w:rsidRDefault="003861CC" w:rsidP="00834508">
            <w:pPr>
              <w:jc w:val="center"/>
            </w:pPr>
          </w:p>
        </w:tc>
        <w:tc>
          <w:tcPr>
            <w:tcW w:w="6000" w:type="dxa"/>
          </w:tcPr>
          <w:p w:rsidR="003861CC" w:rsidRPr="00800E0F" w:rsidRDefault="003861CC" w:rsidP="00834508">
            <w:r w:rsidRPr="00800E0F">
              <w:rPr>
                <w:rFonts w:hint="eastAsia"/>
              </w:rPr>
              <w:t>支持GRE隧道</w:t>
            </w:r>
          </w:p>
        </w:tc>
      </w:tr>
      <w:tr w:rsidR="003861CC" w:rsidRPr="00800E0F" w:rsidTr="00834508">
        <w:tc>
          <w:tcPr>
            <w:tcW w:w="0" w:type="auto"/>
          </w:tcPr>
          <w:p w:rsidR="003861CC" w:rsidRPr="00800E0F" w:rsidRDefault="003861CC" w:rsidP="00834508">
            <w:pPr>
              <w:jc w:val="center"/>
            </w:pPr>
            <w:r w:rsidRPr="00800E0F">
              <w:t>MPLS</w:t>
            </w:r>
          </w:p>
        </w:tc>
        <w:tc>
          <w:tcPr>
            <w:tcW w:w="6000" w:type="dxa"/>
          </w:tcPr>
          <w:p w:rsidR="003861CC" w:rsidRPr="00800E0F" w:rsidRDefault="003861CC" w:rsidP="00834508">
            <w:r w:rsidRPr="00800E0F">
              <w:rPr>
                <w:rFonts w:hint="eastAsia"/>
              </w:rPr>
              <w:t>支持MPLS VPN，提供</w:t>
            </w:r>
            <w:proofErr w:type="gramStart"/>
            <w:r w:rsidRPr="00800E0F">
              <w:rPr>
                <w:rFonts w:hint="eastAsia"/>
              </w:rPr>
              <w:t>官网链接跟截图证明</w:t>
            </w:r>
            <w:proofErr w:type="gramEnd"/>
          </w:p>
        </w:tc>
      </w:tr>
      <w:tr w:rsidR="003861CC" w:rsidRPr="00800E0F" w:rsidTr="00834508">
        <w:tc>
          <w:tcPr>
            <w:tcW w:w="0" w:type="auto"/>
          </w:tcPr>
          <w:p w:rsidR="003861CC" w:rsidRPr="00800E0F" w:rsidRDefault="003861CC" w:rsidP="00834508">
            <w:pPr>
              <w:jc w:val="center"/>
            </w:pPr>
            <w:proofErr w:type="spellStart"/>
            <w:r w:rsidRPr="00800E0F">
              <w:rPr>
                <w:rFonts w:hint="eastAsia"/>
              </w:rPr>
              <w:t>Qo</w:t>
            </w:r>
            <w:r w:rsidRPr="00800E0F">
              <w:t>S</w:t>
            </w:r>
            <w:proofErr w:type="spellEnd"/>
          </w:p>
        </w:tc>
        <w:tc>
          <w:tcPr>
            <w:tcW w:w="6000" w:type="dxa"/>
          </w:tcPr>
          <w:p w:rsidR="003861CC" w:rsidRPr="00800E0F" w:rsidRDefault="003861CC" w:rsidP="00834508">
            <w:r w:rsidRPr="00800E0F">
              <w:rPr>
                <w:rFonts w:hint="eastAsia"/>
              </w:rPr>
              <w:t>支持SP, WRR,WFQ, SP+WRR, SP+WFQ调度方式</w:t>
            </w:r>
          </w:p>
        </w:tc>
      </w:tr>
      <w:tr w:rsidR="003861CC" w:rsidRPr="00800E0F" w:rsidTr="00834508">
        <w:tc>
          <w:tcPr>
            <w:tcW w:w="0" w:type="auto"/>
            <w:vMerge w:val="restart"/>
          </w:tcPr>
          <w:p w:rsidR="003861CC" w:rsidRPr="00800E0F" w:rsidRDefault="003861CC" w:rsidP="00834508">
            <w:pPr>
              <w:jc w:val="center"/>
            </w:pPr>
            <w:r w:rsidRPr="00800E0F">
              <w:rPr>
                <w:rFonts w:hint="eastAsia"/>
              </w:rPr>
              <w:t>可靠性</w:t>
            </w:r>
          </w:p>
        </w:tc>
        <w:tc>
          <w:tcPr>
            <w:tcW w:w="6000" w:type="dxa"/>
          </w:tcPr>
          <w:p w:rsidR="003861CC" w:rsidRPr="00800E0F" w:rsidRDefault="003861CC" w:rsidP="00834508">
            <w:r w:rsidRPr="00800E0F">
              <w:rPr>
                <w:rFonts w:hint="eastAsia"/>
              </w:rPr>
              <w:t>支持跨设备链路聚合技术</w:t>
            </w:r>
          </w:p>
        </w:tc>
      </w:tr>
      <w:tr w:rsidR="003861CC" w:rsidRPr="00800E0F" w:rsidTr="00834508">
        <w:tc>
          <w:tcPr>
            <w:tcW w:w="0" w:type="auto"/>
            <w:vMerge/>
          </w:tcPr>
          <w:p w:rsidR="003861CC" w:rsidRPr="00800E0F" w:rsidRDefault="003861CC" w:rsidP="00834508">
            <w:pPr>
              <w:jc w:val="center"/>
            </w:pPr>
          </w:p>
        </w:tc>
        <w:tc>
          <w:tcPr>
            <w:tcW w:w="6000" w:type="dxa"/>
          </w:tcPr>
          <w:p w:rsidR="003861CC" w:rsidRPr="00800E0F" w:rsidRDefault="003861CC" w:rsidP="00834508">
            <w:r w:rsidRPr="00800E0F">
              <w:rPr>
                <w:rFonts w:hint="eastAsia"/>
              </w:rPr>
              <w:t>兼容PVST协议，支持跨厂商生成树互通，提供第三方测试报告</w:t>
            </w:r>
          </w:p>
        </w:tc>
      </w:tr>
      <w:tr w:rsidR="003861CC" w:rsidRPr="00800E0F" w:rsidTr="00834508">
        <w:tc>
          <w:tcPr>
            <w:tcW w:w="0" w:type="auto"/>
            <w:vMerge w:val="restart"/>
          </w:tcPr>
          <w:p w:rsidR="003861CC" w:rsidRPr="00800E0F" w:rsidRDefault="003861CC" w:rsidP="00834508">
            <w:pPr>
              <w:jc w:val="center"/>
            </w:pPr>
            <w:r w:rsidRPr="00800E0F">
              <w:rPr>
                <w:rFonts w:hint="eastAsia"/>
              </w:rPr>
              <w:t>D</w:t>
            </w:r>
            <w:r w:rsidRPr="00800E0F">
              <w:t>C</w:t>
            </w:r>
            <w:r w:rsidRPr="00800E0F">
              <w:rPr>
                <w:rFonts w:hint="eastAsia"/>
              </w:rPr>
              <w:t>特性</w:t>
            </w:r>
          </w:p>
        </w:tc>
        <w:tc>
          <w:tcPr>
            <w:tcW w:w="6000" w:type="dxa"/>
          </w:tcPr>
          <w:p w:rsidR="003861CC" w:rsidRPr="00800E0F" w:rsidRDefault="003861CC" w:rsidP="00834508">
            <w:r w:rsidRPr="00800E0F">
              <w:rPr>
                <w:rFonts w:hint="eastAsia"/>
              </w:rPr>
              <w:t>支持INT可视化功能，提供第三方测试报告</w:t>
            </w:r>
          </w:p>
        </w:tc>
      </w:tr>
      <w:tr w:rsidR="003861CC" w:rsidRPr="00800E0F" w:rsidTr="00834508">
        <w:tc>
          <w:tcPr>
            <w:tcW w:w="0" w:type="auto"/>
            <w:vMerge/>
          </w:tcPr>
          <w:p w:rsidR="003861CC" w:rsidRPr="00800E0F" w:rsidRDefault="003861CC" w:rsidP="00834508">
            <w:pPr>
              <w:jc w:val="center"/>
            </w:pPr>
          </w:p>
        </w:tc>
        <w:tc>
          <w:tcPr>
            <w:tcW w:w="6000" w:type="dxa"/>
          </w:tcPr>
          <w:p w:rsidR="003861CC" w:rsidRPr="00800E0F" w:rsidRDefault="003861CC" w:rsidP="00834508">
            <w:r w:rsidRPr="00800E0F">
              <w:rPr>
                <w:rFonts w:hint="eastAsia"/>
              </w:rPr>
              <w:t>支持streaming telemetry，支持线</w:t>
            </w:r>
            <w:proofErr w:type="gramStart"/>
            <w:r w:rsidRPr="00800E0F">
              <w:rPr>
                <w:rFonts w:hint="eastAsia"/>
              </w:rPr>
              <w:t>速提供</w:t>
            </w:r>
            <w:proofErr w:type="gramEnd"/>
            <w:r w:rsidRPr="00800E0F">
              <w:rPr>
                <w:rFonts w:hint="eastAsia"/>
              </w:rPr>
              <w:t>可视化信息，提供入端口，出端口和入出时间信息</w:t>
            </w:r>
          </w:p>
        </w:tc>
      </w:tr>
      <w:tr w:rsidR="003861CC" w:rsidRPr="00800E0F" w:rsidTr="00834508">
        <w:tc>
          <w:tcPr>
            <w:tcW w:w="0" w:type="auto"/>
            <w:vMerge/>
          </w:tcPr>
          <w:p w:rsidR="003861CC" w:rsidRPr="00800E0F" w:rsidRDefault="003861CC" w:rsidP="00834508">
            <w:pPr>
              <w:jc w:val="center"/>
            </w:pPr>
          </w:p>
        </w:tc>
        <w:tc>
          <w:tcPr>
            <w:tcW w:w="6000" w:type="dxa"/>
          </w:tcPr>
          <w:p w:rsidR="003861CC" w:rsidRPr="00800E0F" w:rsidRDefault="003861CC" w:rsidP="00834508">
            <w:r w:rsidRPr="00800E0F">
              <w:rPr>
                <w:rFonts w:hint="eastAsia"/>
              </w:rPr>
              <w:t>支持无损网络</w:t>
            </w:r>
            <w:proofErr w:type="spellStart"/>
            <w:r w:rsidRPr="00800E0F">
              <w:rPr>
                <w:rFonts w:hint="eastAsia"/>
              </w:rPr>
              <w:t>RoCE</w:t>
            </w:r>
            <w:proofErr w:type="spellEnd"/>
            <w:r w:rsidRPr="00800E0F">
              <w:rPr>
                <w:rFonts w:hint="eastAsia"/>
              </w:rPr>
              <w:t>，支持PFC、ECN、ETS，提供第三方检测报告</w:t>
            </w:r>
          </w:p>
        </w:tc>
      </w:tr>
      <w:tr w:rsidR="003861CC" w:rsidRPr="00800E0F" w:rsidTr="00834508">
        <w:tc>
          <w:tcPr>
            <w:tcW w:w="0" w:type="auto"/>
            <w:vMerge/>
          </w:tcPr>
          <w:p w:rsidR="003861CC" w:rsidRPr="00800E0F" w:rsidRDefault="003861CC" w:rsidP="00834508">
            <w:pPr>
              <w:jc w:val="center"/>
            </w:pPr>
          </w:p>
        </w:tc>
        <w:tc>
          <w:tcPr>
            <w:tcW w:w="6000" w:type="dxa"/>
          </w:tcPr>
          <w:p w:rsidR="003861CC" w:rsidRPr="00800E0F" w:rsidRDefault="003861CC" w:rsidP="00834508">
            <w:r w:rsidRPr="00800E0F">
              <w:rPr>
                <w:rFonts w:hint="eastAsia"/>
              </w:rPr>
              <w:t>支持</w:t>
            </w:r>
            <w:proofErr w:type="spellStart"/>
            <w:r w:rsidRPr="00800E0F">
              <w:rPr>
                <w:rFonts w:hint="eastAsia"/>
              </w:rPr>
              <w:t>FCoE</w:t>
            </w:r>
            <w:proofErr w:type="spellEnd"/>
            <w:r w:rsidRPr="00800E0F">
              <w:rPr>
                <w:rFonts w:hint="eastAsia"/>
              </w:rPr>
              <w:t>功能，提供第三方测试报告</w:t>
            </w:r>
          </w:p>
        </w:tc>
      </w:tr>
      <w:tr w:rsidR="003861CC" w:rsidRPr="00800E0F" w:rsidTr="00834508">
        <w:tc>
          <w:tcPr>
            <w:tcW w:w="0" w:type="auto"/>
          </w:tcPr>
          <w:p w:rsidR="003861CC" w:rsidRPr="00800E0F" w:rsidRDefault="003861CC" w:rsidP="00834508">
            <w:pPr>
              <w:jc w:val="center"/>
            </w:pPr>
            <w:r w:rsidRPr="00800E0F">
              <w:rPr>
                <w:rFonts w:hint="eastAsia"/>
              </w:rPr>
              <w:t>组播</w:t>
            </w:r>
          </w:p>
        </w:tc>
        <w:tc>
          <w:tcPr>
            <w:tcW w:w="6000" w:type="dxa"/>
          </w:tcPr>
          <w:p w:rsidR="003861CC" w:rsidRPr="00800E0F" w:rsidRDefault="003861CC" w:rsidP="00834508">
            <w:r w:rsidRPr="00800E0F">
              <w:rPr>
                <w:rFonts w:hint="eastAsia"/>
              </w:rPr>
              <w:t>支持组播 over VXLAN，提供</w:t>
            </w:r>
            <w:proofErr w:type="gramStart"/>
            <w:r w:rsidRPr="00800E0F">
              <w:rPr>
                <w:rFonts w:hint="eastAsia"/>
              </w:rPr>
              <w:t>官网链接跟截图证明</w:t>
            </w:r>
            <w:proofErr w:type="gramEnd"/>
          </w:p>
        </w:tc>
      </w:tr>
      <w:tr w:rsidR="003861CC" w:rsidRPr="00800E0F" w:rsidTr="00834508">
        <w:tc>
          <w:tcPr>
            <w:tcW w:w="0" w:type="auto"/>
          </w:tcPr>
          <w:p w:rsidR="003861CC" w:rsidRPr="00800E0F" w:rsidRDefault="003861CC" w:rsidP="00834508">
            <w:pPr>
              <w:jc w:val="center"/>
            </w:pPr>
            <w:r w:rsidRPr="00800E0F">
              <w:rPr>
                <w:rFonts w:hint="eastAsia"/>
              </w:rPr>
              <w:t>配置要求</w:t>
            </w:r>
          </w:p>
        </w:tc>
        <w:tc>
          <w:tcPr>
            <w:tcW w:w="6000" w:type="dxa"/>
          </w:tcPr>
          <w:p w:rsidR="003861CC" w:rsidRPr="00800E0F" w:rsidRDefault="003861CC" w:rsidP="00AE0276">
            <w:r w:rsidRPr="00800E0F">
              <w:rPr>
                <w:rFonts w:hint="eastAsia"/>
              </w:rPr>
              <w:t>配置不小于双电源，四风扇，1根</w:t>
            </w:r>
            <w:r w:rsidRPr="00800E0F">
              <w:t>1</w:t>
            </w:r>
            <w:r w:rsidRPr="00800E0F">
              <w:rPr>
                <w:rFonts w:hint="eastAsia"/>
              </w:rPr>
              <w:t>米40</w:t>
            </w:r>
            <w:r w:rsidRPr="00800E0F">
              <w:t>G</w:t>
            </w:r>
            <w:r w:rsidR="00AE0276">
              <w:rPr>
                <w:rFonts w:hint="eastAsia"/>
              </w:rPr>
              <w:t>堆叠线缆</w:t>
            </w:r>
            <w:r w:rsidR="00AE0276" w:rsidRPr="00800E0F">
              <w:t xml:space="preserve"> </w:t>
            </w:r>
          </w:p>
        </w:tc>
      </w:tr>
      <w:tr w:rsidR="003861CC" w:rsidRPr="00800E0F" w:rsidTr="00834508">
        <w:tc>
          <w:tcPr>
            <w:tcW w:w="0" w:type="auto"/>
          </w:tcPr>
          <w:p w:rsidR="003861CC" w:rsidRPr="00800E0F" w:rsidRDefault="003861CC" w:rsidP="00834508">
            <w:pPr>
              <w:jc w:val="center"/>
            </w:pPr>
            <w:proofErr w:type="gramStart"/>
            <w:r w:rsidRPr="00800E0F">
              <w:rPr>
                <w:rFonts w:hint="eastAsia"/>
              </w:rPr>
              <w:t>原厂维保</w:t>
            </w:r>
            <w:proofErr w:type="gramEnd"/>
          </w:p>
        </w:tc>
        <w:tc>
          <w:tcPr>
            <w:tcW w:w="6000" w:type="dxa"/>
          </w:tcPr>
          <w:p w:rsidR="003861CC" w:rsidRPr="00800E0F" w:rsidRDefault="003861CC" w:rsidP="00834508">
            <w:r w:rsidRPr="00800E0F">
              <w:rPr>
                <w:rFonts w:hint="eastAsia"/>
                <w:szCs w:val="21"/>
              </w:rPr>
              <w:t>提供</w:t>
            </w:r>
            <w:r w:rsidRPr="00800E0F">
              <w:rPr>
                <w:szCs w:val="21"/>
              </w:rPr>
              <w:t>5年7*24*4</w:t>
            </w:r>
            <w:r w:rsidRPr="00800E0F">
              <w:rPr>
                <w:rFonts w:hint="eastAsia"/>
                <w:szCs w:val="21"/>
              </w:rPr>
              <w:t>原厂</w:t>
            </w:r>
            <w:r w:rsidRPr="00800E0F">
              <w:rPr>
                <w:szCs w:val="21"/>
              </w:rPr>
              <w:t>维保，提供原厂服务承诺函并盖原厂章；</w:t>
            </w:r>
          </w:p>
        </w:tc>
      </w:tr>
    </w:tbl>
    <w:p w:rsidR="00812822" w:rsidRPr="003861CC" w:rsidRDefault="00812822"/>
    <w:p w:rsidR="00812822" w:rsidRPr="00800E0F" w:rsidRDefault="0020290E">
      <w:pPr>
        <w:tabs>
          <w:tab w:val="left" w:pos="780"/>
        </w:tabs>
        <w:spacing w:beforeLines="50" w:before="156" w:line="360" w:lineRule="auto"/>
        <w:ind w:firstLineChars="200" w:firstLine="480"/>
        <w:outlineLvl w:val="0"/>
        <w:rPr>
          <w:szCs w:val="21"/>
        </w:rPr>
      </w:pPr>
      <w:r w:rsidRPr="00800E0F">
        <w:rPr>
          <w:rFonts w:hint="eastAsia"/>
          <w:szCs w:val="21"/>
        </w:rPr>
        <w:t>（一）货物为原制造商制造的全新产品，整机无污染，无侵权行为、表面无划损、无任何缺陷隐患，在中国境内可依常规安全合法使用。</w:t>
      </w:r>
    </w:p>
    <w:p w:rsidR="00812822" w:rsidRPr="00800E0F" w:rsidRDefault="0020290E">
      <w:pPr>
        <w:tabs>
          <w:tab w:val="left" w:pos="780"/>
        </w:tabs>
        <w:spacing w:beforeLines="50" w:before="156" w:line="360" w:lineRule="auto"/>
        <w:ind w:firstLineChars="200" w:firstLine="480"/>
        <w:outlineLvl w:val="0"/>
        <w:rPr>
          <w:szCs w:val="21"/>
        </w:rPr>
      </w:pPr>
      <w:r w:rsidRPr="00800E0F">
        <w:rPr>
          <w:rFonts w:hint="eastAsia"/>
          <w:szCs w:val="21"/>
        </w:rPr>
        <w:t>（二）标准：本合同所指的货物及服务应符合合同附件的技术规格所述的标准：如果没有提及适用标准，则应符合中华人民共和国国家标准或行业标准；如果中华人民共和国没有相关标准的，则采用货物来源国适用的官方标准。这些标准必须是有关机构发布的最新版本的标准。</w:t>
      </w:r>
    </w:p>
    <w:p w:rsidR="00812822" w:rsidRPr="00800E0F" w:rsidRDefault="00812822"/>
    <w:p w:rsidR="00812822" w:rsidRPr="00800E0F" w:rsidRDefault="0020290E">
      <w:pPr>
        <w:pStyle w:val="1"/>
        <w:widowControl w:val="0"/>
        <w:numPr>
          <w:ilvl w:val="0"/>
          <w:numId w:val="5"/>
        </w:numPr>
        <w:jc w:val="both"/>
      </w:pPr>
      <w:r w:rsidRPr="00800E0F">
        <w:rPr>
          <w:rFonts w:hint="eastAsia"/>
        </w:rPr>
        <w:t>交货日期</w:t>
      </w:r>
    </w:p>
    <w:p w:rsidR="00812822" w:rsidRPr="00800E0F" w:rsidRDefault="0020290E">
      <w:pPr>
        <w:spacing w:line="360" w:lineRule="auto"/>
        <w:ind w:firstLineChars="250" w:firstLine="600"/>
        <w:rPr>
          <w:szCs w:val="21"/>
        </w:rPr>
      </w:pPr>
      <w:r w:rsidRPr="00800E0F">
        <w:rPr>
          <w:rFonts w:hint="eastAsia"/>
          <w:szCs w:val="21"/>
        </w:rPr>
        <w:t>(</w:t>
      </w:r>
      <w:proofErr w:type="gramStart"/>
      <w:r w:rsidRPr="00800E0F">
        <w:rPr>
          <w:rFonts w:hint="eastAsia"/>
          <w:szCs w:val="21"/>
        </w:rPr>
        <w:t>一</w:t>
      </w:r>
      <w:proofErr w:type="gramEnd"/>
      <w:r w:rsidRPr="00800E0F">
        <w:rPr>
          <w:rFonts w:hint="eastAsia"/>
          <w:szCs w:val="21"/>
        </w:rPr>
        <w:t xml:space="preserve">)供货方须在院方支付合同首款后的 </w:t>
      </w:r>
      <w:r w:rsidRPr="00800E0F">
        <w:rPr>
          <w:szCs w:val="21"/>
        </w:rPr>
        <w:t>30</w:t>
      </w:r>
      <w:r w:rsidRPr="00800E0F">
        <w:rPr>
          <w:rFonts w:hint="eastAsia"/>
          <w:szCs w:val="21"/>
        </w:rPr>
        <w:t>个工作日内向院方提交采购清单中的物品。</w:t>
      </w:r>
    </w:p>
    <w:p w:rsidR="00812822" w:rsidRPr="00800E0F" w:rsidRDefault="0020290E">
      <w:pPr>
        <w:spacing w:line="360" w:lineRule="auto"/>
        <w:ind w:firstLineChars="250" w:firstLine="600"/>
        <w:rPr>
          <w:szCs w:val="21"/>
        </w:rPr>
      </w:pPr>
      <w:r w:rsidRPr="00800E0F">
        <w:rPr>
          <w:rFonts w:hint="eastAsia"/>
          <w:szCs w:val="21"/>
        </w:rPr>
        <w:t>(二)交货日期以货物到达院方指定货运详细地址的日期为准。</w:t>
      </w:r>
    </w:p>
    <w:p w:rsidR="00812822" w:rsidRPr="00800E0F" w:rsidRDefault="00812822"/>
    <w:p w:rsidR="00812822" w:rsidRPr="00800E0F" w:rsidRDefault="0020290E">
      <w:pPr>
        <w:pStyle w:val="1"/>
        <w:widowControl w:val="0"/>
        <w:numPr>
          <w:ilvl w:val="0"/>
          <w:numId w:val="5"/>
        </w:numPr>
        <w:jc w:val="both"/>
      </w:pPr>
      <w:r w:rsidRPr="00800E0F">
        <w:rPr>
          <w:rFonts w:hint="eastAsia"/>
        </w:rPr>
        <w:lastRenderedPageBreak/>
        <w:t>交货方式</w:t>
      </w:r>
    </w:p>
    <w:p w:rsidR="00812822" w:rsidRPr="00800E0F" w:rsidRDefault="0020290E">
      <w:pPr>
        <w:spacing w:line="360" w:lineRule="auto"/>
        <w:ind w:firstLineChars="250" w:firstLine="600"/>
        <w:rPr>
          <w:szCs w:val="21"/>
        </w:rPr>
      </w:pPr>
      <w:r w:rsidRPr="00800E0F">
        <w:rPr>
          <w:rFonts w:hint="eastAsia"/>
          <w:szCs w:val="21"/>
        </w:rPr>
        <w:t>(</w:t>
      </w:r>
      <w:proofErr w:type="gramStart"/>
      <w:r w:rsidRPr="00800E0F">
        <w:rPr>
          <w:rFonts w:hint="eastAsia"/>
          <w:szCs w:val="21"/>
        </w:rPr>
        <w:t>一</w:t>
      </w:r>
      <w:proofErr w:type="gramEnd"/>
      <w:r w:rsidRPr="00800E0F">
        <w:rPr>
          <w:rFonts w:hint="eastAsia"/>
          <w:szCs w:val="21"/>
        </w:rPr>
        <w:t>)供货方应按时将货物送至院方指定货运详细地址。</w:t>
      </w:r>
    </w:p>
    <w:p w:rsidR="00812822" w:rsidRPr="00800E0F" w:rsidRDefault="0020290E">
      <w:pPr>
        <w:spacing w:line="360" w:lineRule="auto"/>
        <w:ind w:firstLineChars="250" w:firstLine="600"/>
        <w:rPr>
          <w:szCs w:val="21"/>
        </w:rPr>
      </w:pPr>
      <w:r w:rsidRPr="00800E0F">
        <w:rPr>
          <w:rFonts w:hint="eastAsia"/>
          <w:szCs w:val="21"/>
        </w:rPr>
        <w:t>(二)交货完成的有效证明：供货方送货人，必须随货物提交交货签收单给院方收货人，交货签收单必须有院方、</w:t>
      </w:r>
      <w:proofErr w:type="gramStart"/>
      <w:r w:rsidRPr="00800E0F">
        <w:rPr>
          <w:rFonts w:hint="eastAsia"/>
          <w:szCs w:val="21"/>
        </w:rPr>
        <w:t>供货方两方</w:t>
      </w:r>
      <w:proofErr w:type="gramEnd"/>
      <w:r w:rsidRPr="00800E0F">
        <w:rPr>
          <w:rFonts w:hint="eastAsia"/>
          <w:szCs w:val="21"/>
        </w:rPr>
        <w:t>的签字方有效。</w:t>
      </w:r>
    </w:p>
    <w:p w:rsidR="00812822" w:rsidRPr="00800E0F" w:rsidRDefault="00812822"/>
    <w:p w:rsidR="00812822" w:rsidRPr="00800E0F" w:rsidRDefault="0020290E">
      <w:pPr>
        <w:pStyle w:val="1"/>
        <w:widowControl w:val="0"/>
        <w:numPr>
          <w:ilvl w:val="0"/>
          <w:numId w:val="5"/>
        </w:numPr>
        <w:jc w:val="both"/>
      </w:pPr>
      <w:r w:rsidRPr="00800E0F">
        <w:rPr>
          <w:rFonts w:hint="eastAsia"/>
        </w:rPr>
        <w:t>项目实施要求</w:t>
      </w:r>
    </w:p>
    <w:p w:rsidR="00812822" w:rsidRPr="00800E0F" w:rsidRDefault="0020290E">
      <w:pPr>
        <w:pStyle w:val="af1"/>
        <w:spacing w:line="480" w:lineRule="auto"/>
        <w:ind w:firstLineChars="218" w:firstLine="480"/>
        <w:rPr>
          <w:rFonts w:ascii="宋体" w:eastAsia="宋体" w:hAnsi="宋体"/>
          <w:sz w:val="22"/>
        </w:rPr>
      </w:pPr>
      <w:r w:rsidRPr="00800E0F">
        <w:rPr>
          <w:rFonts w:ascii="宋体" w:eastAsia="宋体" w:hAnsi="宋体" w:hint="eastAsia"/>
          <w:sz w:val="22"/>
        </w:rPr>
        <w:t>为医院信息化业务系统提供更可靠、更高性能和更便于管理、扩展的I</w:t>
      </w:r>
      <w:r w:rsidRPr="00800E0F">
        <w:rPr>
          <w:rFonts w:ascii="宋体" w:eastAsia="宋体" w:hAnsi="宋体"/>
          <w:sz w:val="22"/>
        </w:rPr>
        <w:t>T</w:t>
      </w:r>
      <w:r w:rsidRPr="00800E0F">
        <w:rPr>
          <w:rFonts w:ascii="宋体" w:eastAsia="宋体" w:hAnsi="宋体" w:hint="eastAsia"/>
          <w:sz w:val="22"/>
        </w:rPr>
        <w:t>基础设施平台，保证医院业务系统稳定运行。为保证平台顺利交付和稳定运行，需要成交供应商提供以下实施和集成服务：</w:t>
      </w:r>
    </w:p>
    <w:p w:rsidR="00812822" w:rsidRPr="00800E0F" w:rsidRDefault="0020290E">
      <w:pPr>
        <w:pStyle w:val="af1"/>
        <w:numPr>
          <w:ilvl w:val="0"/>
          <w:numId w:val="10"/>
        </w:numPr>
        <w:tabs>
          <w:tab w:val="left" w:pos="0"/>
        </w:tabs>
        <w:spacing w:line="480" w:lineRule="auto"/>
        <w:ind w:left="0" w:firstLine="440"/>
        <w:jc w:val="both"/>
        <w:rPr>
          <w:rFonts w:ascii="宋体" w:eastAsia="宋体" w:hAnsi="宋体"/>
          <w:sz w:val="22"/>
        </w:rPr>
      </w:pPr>
      <w:r w:rsidRPr="00800E0F">
        <w:rPr>
          <w:rFonts w:ascii="宋体" w:eastAsia="宋体" w:hAnsi="宋体" w:hint="eastAsia"/>
          <w:sz w:val="22"/>
        </w:rPr>
        <w:t>本建设项目，需要提供一份详细的设计和实施方案，要求设计和实施方案符合实际建设需求，从而确保项目可</w:t>
      </w:r>
      <w:proofErr w:type="gramStart"/>
      <w:r w:rsidRPr="00800E0F">
        <w:rPr>
          <w:rFonts w:ascii="宋体" w:eastAsia="宋体" w:hAnsi="宋体" w:hint="eastAsia"/>
          <w:sz w:val="22"/>
        </w:rPr>
        <w:t>按时和</w:t>
      </w:r>
      <w:proofErr w:type="gramEnd"/>
      <w:r w:rsidRPr="00800E0F">
        <w:rPr>
          <w:rFonts w:ascii="宋体" w:eastAsia="宋体" w:hAnsi="宋体" w:hint="eastAsia"/>
          <w:sz w:val="22"/>
        </w:rPr>
        <w:t>按质量交付。</w:t>
      </w:r>
    </w:p>
    <w:p w:rsidR="00812822" w:rsidRPr="00800E0F" w:rsidRDefault="0020290E">
      <w:pPr>
        <w:pStyle w:val="af1"/>
        <w:numPr>
          <w:ilvl w:val="0"/>
          <w:numId w:val="10"/>
        </w:numPr>
        <w:tabs>
          <w:tab w:val="left" w:pos="0"/>
        </w:tabs>
        <w:spacing w:line="480" w:lineRule="auto"/>
        <w:ind w:left="0" w:firstLine="440"/>
        <w:jc w:val="both"/>
        <w:rPr>
          <w:rFonts w:ascii="宋体" w:eastAsia="宋体" w:hAnsi="宋体"/>
          <w:sz w:val="22"/>
        </w:rPr>
      </w:pPr>
      <w:r w:rsidRPr="00800E0F">
        <w:rPr>
          <w:rFonts w:ascii="宋体" w:eastAsia="宋体" w:hAnsi="宋体" w:hint="eastAsia"/>
          <w:sz w:val="22"/>
        </w:rPr>
        <w:t>完成本次采购所有硬件部署实施。</w:t>
      </w:r>
    </w:p>
    <w:p w:rsidR="00812822" w:rsidRPr="00800E0F" w:rsidRDefault="0020290E">
      <w:pPr>
        <w:pStyle w:val="af1"/>
        <w:numPr>
          <w:ilvl w:val="0"/>
          <w:numId w:val="10"/>
        </w:numPr>
        <w:tabs>
          <w:tab w:val="left" w:pos="0"/>
        </w:tabs>
        <w:spacing w:line="480" w:lineRule="auto"/>
        <w:ind w:left="0" w:firstLine="440"/>
        <w:jc w:val="both"/>
        <w:rPr>
          <w:rFonts w:ascii="宋体" w:eastAsia="宋体" w:hAnsi="宋体"/>
          <w:sz w:val="22"/>
        </w:rPr>
      </w:pPr>
      <w:r w:rsidRPr="00800E0F">
        <w:rPr>
          <w:rFonts w:ascii="宋体" w:eastAsia="宋体" w:hAnsi="宋体" w:hint="eastAsia"/>
          <w:sz w:val="22"/>
        </w:rPr>
        <w:t>负责把该项目涉及的业务系统或现有部署在其他平台的业务虚拟机迁移到新部署的超融合平台或服务器系统上。</w:t>
      </w:r>
    </w:p>
    <w:p w:rsidR="00812822" w:rsidRPr="00800E0F" w:rsidRDefault="0020290E">
      <w:pPr>
        <w:pStyle w:val="af1"/>
        <w:numPr>
          <w:ilvl w:val="0"/>
          <w:numId w:val="10"/>
        </w:numPr>
        <w:tabs>
          <w:tab w:val="left" w:pos="0"/>
        </w:tabs>
        <w:spacing w:line="480" w:lineRule="auto"/>
        <w:ind w:left="0" w:firstLine="440"/>
        <w:jc w:val="both"/>
        <w:rPr>
          <w:rFonts w:ascii="宋体" w:eastAsia="宋体" w:hAnsi="宋体"/>
          <w:sz w:val="22"/>
        </w:rPr>
      </w:pPr>
      <w:r w:rsidRPr="00800E0F">
        <w:rPr>
          <w:rFonts w:ascii="宋体" w:eastAsia="宋体" w:hAnsi="宋体" w:hint="eastAsia"/>
          <w:sz w:val="22"/>
        </w:rPr>
        <w:t>实施过程中，提供和项目部署相关的辅材和线缆。</w:t>
      </w:r>
    </w:p>
    <w:p w:rsidR="00812822" w:rsidRPr="00800E0F" w:rsidRDefault="0020290E">
      <w:pPr>
        <w:pStyle w:val="af1"/>
        <w:numPr>
          <w:ilvl w:val="0"/>
          <w:numId w:val="10"/>
        </w:numPr>
        <w:tabs>
          <w:tab w:val="left" w:pos="0"/>
        </w:tabs>
        <w:spacing w:line="480" w:lineRule="auto"/>
        <w:ind w:left="0" w:firstLine="440"/>
        <w:jc w:val="both"/>
        <w:rPr>
          <w:rFonts w:ascii="宋体" w:eastAsia="宋体" w:hAnsi="宋体"/>
          <w:sz w:val="22"/>
        </w:rPr>
      </w:pPr>
      <w:r w:rsidRPr="00800E0F">
        <w:rPr>
          <w:rFonts w:ascii="宋体" w:eastAsia="宋体" w:hAnsi="宋体" w:hint="eastAsia"/>
          <w:sz w:val="22"/>
        </w:rPr>
        <w:t>项目中所涉及的软硬件均需要包含首次原厂安装实施服务。</w:t>
      </w:r>
    </w:p>
    <w:p w:rsidR="00812822" w:rsidRPr="00800E0F" w:rsidRDefault="0020290E">
      <w:pPr>
        <w:pStyle w:val="1"/>
        <w:widowControl w:val="0"/>
        <w:numPr>
          <w:ilvl w:val="0"/>
          <w:numId w:val="5"/>
        </w:numPr>
        <w:jc w:val="both"/>
      </w:pPr>
      <w:r w:rsidRPr="00800E0F">
        <w:rPr>
          <w:rFonts w:hint="eastAsia"/>
        </w:rPr>
        <w:t>保修服务</w:t>
      </w:r>
    </w:p>
    <w:p w:rsidR="00812822" w:rsidRPr="00800E0F" w:rsidRDefault="0020290E">
      <w:pPr>
        <w:spacing w:line="360" w:lineRule="auto"/>
        <w:ind w:firstLineChars="250" w:firstLine="600"/>
        <w:rPr>
          <w:szCs w:val="21"/>
        </w:rPr>
      </w:pPr>
      <w:r w:rsidRPr="00800E0F">
        <w:rPr>
          <w:rFonts w:hint="eastAsia"/>
          <w:szCs w:val="21"/>
        </w:rPr>
        <w:t>如无特别声明，硬件设备参考以下条款提供保修服务。</w:t>
      </w:r>
    </w:p>
    <w:p w:rsidR="00812822" w:rsidRPr="00800E0F" w:rsidRDefault="0020290E">
      <w:pPr>
        <w:spacing w:line="360" w:lineRule="auto"/>
        <w:ind w:firstLineChars="250" w:firstLine="600"/>
        <w:rPr>
          <w:szCs w:val="21"/>
        </w:rPr>
      </w:pPr>
      <w:r w:rsidRPr="00800E0F">
        <w:rPr>
          <w:rFonts w:hint="eastAsia"/>
          <w:szCs w:val="21"/>
        </w:rPr>
        <w:t>(</w:t>
      </w:r>
      <w:proofErr w:type="gramStart"/>
      <w:r w:rsidRPr="00800E0F">
        <w:rPr>
          <w:rFonts w:hint="eastAsia"/>
          <w:szCs w:val="21"/>
        </w:rPr>
        <w:t>一</w:t>
      </w:r>
      <w:proofErr w:type="gramEnd"/>
      <w:r w:rsidRPr="00800E0F">
        <w:rPr>
          <w:rFonts w:hint="eastAsia"/>
          <w:szCs w:val="21"/>
        </w:rPr>
        <w:t>)整机保修；保修期自验收合格之日起计算。</w:t>
      </w:r>
    </w:p>
    <w:p w:rsidR="00812822" w:rsidRPr="00800E0F" w:rsidRDefault="0020290E">
      <w:pPr>
        <w:spacing w:line="360" w:lineRule="auto"/>
        <w:ind w:firstLineChars="250" w:firstLine="600"/>
        <w:rPr>
          <w:szCs w:val="21"/>
        </w:rPr>
      </w:pPr>
      <w:r w:rsidRPr="00800E0F">
        <w:rPr>
          <w:rFonts w:hint="eastAsia"/>
          <w:szCs w:val="21"/>
        </w:rPr>
        <w:t>(二)</w:t>
      </w:r>
      <w:r w:rsidRPr="002E2781">
        <w:rPr>
          <w:rFonts w:hint="eastAsia"/>
          <w:szCs w:val="21"/>
        </w:rPr>
        <w:t>提供硬件</w:t>
      </w:r>
      <w:r w:rsidRPr="002E2781">
        <w:rPr>
          <w:szCs w:val="21"/>
        </w:rPr>
        <w:t>5</w:t>
      </w:r>
      <w:r w:rsidRPr="002E2781">
        <w:rPr>
          <w:rFonts w:hint="eastAsia"/>
          <w:szCs w:val="21"/>
        </w:rPr>
        <w:t>年原厂安装和保修服务、软件</w:t>
      </w:r>
      <w:r w:rsidRPr="002E2781">
        <w:rPr>
          <w:szCs w:val="21"/>
        </w:rPr>
        <w:t>3</w:t>
      </w:r>
      <w:r w:rsidRPr="002E2781">
        <w:rPr>
          <w:rFonts w:hint="eastAsia"/>
          <w:szCs w:val="21"/>
        </w:rPr>
        <w:t>年原厂安装和保修服务。</w:t>
      </w:r>
    </w:p>
    <w:p w:rsidR="00812822" w:rsidRPr="00800E0F" w:rsidRDefault="0020290E">
      <w:pPr>
        <w:spacing w:line="360" w:lineRule="auto"/>
        <w:ind w:firstLineChars="250" w:firstLine="600"/>
        <w:rPr>
          <w:szCs w:val="21"/>
        </w:rPr>
      </w:pPr>
      <w:r w:rsidRPr="00800E0F">
        <w:rPr>
          <w:rFonts w:hint="eastAsia"/>
          <w:szCs w:val="21"/>
        </w:rPr>
        <w:lastRenderedPageBreak/>
        <w:t>(三)在免费维护期结束前，须由供货方和院方进行一次全面检查，任何缺陷必须由供货方负责修复，在修复之后，供货方应将缺陷原因、修复内容、完成修理及恢复正常的时间和日期等报告给院方，形成项目总结报告。</w:t>
      </w:r>
    </w:p>
    <w:p w:rsidR="00812822" w:rsidRPr="00800E0F" w:rsidRDefault="0020290E">
      <w:pPr>
        <w:spacing w:line="360" w:lineRule="auto"/>
        <w:ind w:firstLineChars="250" w:firstLine="600"/>
        <w:rPr>
          <w:szCs w:val="21"/>
        </w:rPr>
      </w:pPr>
      <w:r w:rsidRPr="00800E0F">
        <w:rPr>
          <w:rFonts w:hint="eastAsia"/>
          <w:szCs w:val="21"/>
        </w:rPr>
        <w:t>(四)超过免费维护期的，双方另行协商签订维护合同，信息设备（产品）的维护报价不超过合同信息设备（产品）部分金额的</w:t>
      </w:r>
      <w:r w:rsidRPr="00800E0F">
        <w:rPr>
          <w:szCs w:val="21"/>
        </w:rPr>
        <w:t>5</w:t>
      </w:r>
      <w:r w:rsidRPr="00800E0F">
        <w:rPr>
          <w:rFonts w:hint="eastAsia"/>
          <w:szCs w:val="21"/>
        </w:rPr>
        <w:t>%。</w:t>
      </w:r>
    </w:p>
    <w:p w:rsidR="00812822" w:rsidRPr="00800E0F" w:rsidRDefault="0020290E">
      <w:pPr>
        <w:spacing w:line="360" w:lineRule="auto"/>
        <w:ind w:firstLineChars="250" w:firstLine="600"/>
        <w:rPr>
          <w:szCs w:val="21"/>
        </w:rPr>
      </w:pPr>
      <w:r w:rsidRPr="00800E0F">
        <w:rPr>
          <w:rFonts w:hint="eastAsia"/>
          <w:szCs w:val="21"/>
        </w:rPr>
        <w:t>（五）售后服务：提供厂家7*24小时免费维修服务。</w:t>
      </w:r>
    </w:p>
    <w:p w:rsidR="00812822" w:rsidRPr="00800E0F" w:rsidRDefault="0020290E">
      <w:pPr>
        <w:spacing w:line="360" w:lineRule="auto"/>
        <w:ind w:firstLineChars="250" w:firstLine="600"/>
        <w:rPr>
          <w:szCs w:val="21"/>
        </w:rPr>
      </w:pPr>
      <w:r w:rsidRPr="00800E0F">
        <w:rPr>
          <w:rFonts w:hint="eastAsia"/>
          <w:szCs w:val="21"/>
        </w:rPr>
        <w:t>（六）响应时间、方式：2小时内响应到院方报修处，供货方需提供备件先行服务。</w:t>
      </w:r>
    </w:p>
    <w:p w:rsidR="00812822" w:rsidRPr="00800E0F" w:rsidRDefault="00812822"/>
    <w:p w:rsidR="00812822" w:rsidRPr="00800E0F" w:rsidRDefault="0020290E">
      <w:pPr>
        <w:pStyle w:val="1"/>
        <w:widowControl w:val="0"/>
        <w:numPr>
          <w:ilvl w:val="0"/>
          <w:numId w:val="5"/>
        </w:numPr>
        <w:jc w:val="both"/>
      </w:pPr>
      <w:r w:rsidRPr="00800E0F">
        <w:rPr>
          <w:rFonts w:hint="eastAsia"/>
        </w:rPr>
        <w:t>培训</w:t>
      </w:r>
    </w:p>
    <w:p w:rsidR="00812822" w:rsidRPr="00800E0F" w:rsidRDefault="0020290E">
      <w:pPr>
        <w:spacing w:line="360" w:lineRule="auto"/>
        <w:ind w:firstLineChars="250" w:firstLine="600"/>
        <w:rPr>
          <w:szCs w:val="21"/>
        </w:rPr>
      </w:pPr>
      <w:r w:rsidRPr="00800E0F">
        <w:rPr>
          <w:rFonts w:hint="eastAsia"/>
          <w:szCs w:val="21"/>
        </w:rPr>
        <w:t>供货方应为院方进行培训，包括使用培训和维护培训。</w:t>
      </w:r>
    </w:p>
    <w:p w:rsidR="00812822" w:rsidRPr="00800E0F" w:rsidRDefault="0020290E">
      <w:pPr>
        <w:spacing w:line="360" w:lineRule="auto"/>
        <w:ind w:firstLineChars="250" w:firstLine="600"/>
        <w:rPr>
          <w:szCs w:val="21"/>
        </w:rPr>
      </w:pPr>
      <w:r w:rsidRPr="00800E0F">
        <w:rPr>
          <w:rFonts w:hint="eastAsia"/>
          <w:szCs w:val="21"/>
        </w:rPr>
        <w:t>供货方应提出详细的培训计划，提供培训教材。技术培训的内容必须覆盖产品的安装、日常操作和管理维护，以及基本的故障诊断与排错，并保证培训效果。</w:t>
      </w:r>
    </w:p>
    <w:p w:rsidR="00812822" w:rsidRPr="00800E0F" w:rsidRDefault="00812822"/>
    <w:p w:rsidR="00812822" w:rsidRPr="00800E0F" w:rsidRDefault="0020290E">
      <w:pPr>
        <w:pStyle w:val="1"/>
        <w:widowControl w:val="0"/>
        <w:numPr>
          <w:ilvl w:val="0"/>
          <w:numId w:val="5"/>
        </w:numPr>
        <w:jc w:val="both"/>
      </w:pPr>
      <w:r w:rsidRPr="00800E0F">
        <w:rPr>
          <w:rFonts w:hint="eastAsia"/>
        </w:rPr>
        <w:t>合同付款方式</w:t>
      </w:r>
    </w:p>
    <w:p w:rsidR="003568A2" w:rsidRPr="003568A2" w:rsidRDefault="003568A2" w:rsidP="003568A2">
      <w:pPr>
        <w:spacing w:line="360" w:lineRule="auto"/>
        <w:ind w:firstLineChars="200" w:firstLine="480"/>
        <w:rPr>
          <w:szCs w:val="21"/>
        </w:rPr>
      </w:pPr>
      <w:r w:rsidRPr="003568A2">
        <w:rPr>
          <w:szCs w:val="21"/>
        </w:rPr>
        <w:t>(</w:t>
      </w:r>
      <w:proofErr w:type="gramStart"/>
      <w:r w:rsidRPr="003568A2">
        <w:rPr>
          <w:szCs w:val="21"/>
        </w:rPr>
        <w:t>一</w:t>
      </w:r>
      <w:proofErr w:type="gramEnd"/>
      <w:r w:rsidRPr="003568A2">
        <w:rPr>
          <w:szCs w:val="21"/>
        </w:rPr>
        <w:t>)合同签订后，在收到供货方开具相应金额正式发票后，支付合同总金额的30%。</w:t>
      </w:r>
    </w:p>
    <w:p w:rsidR="003568A2" w:rsidRPr="003568A2" w:rsidRDefault="003568A2" w:rsidP="003568A2">
      <w:pPr>
        <w:spacing w:line="360" w:lineRule="auto"/>
        <w:ind w:firstLineChars="200" w:firstLine="480"/>
        <w:rPr>
          <w:szCs w:val="21"/>
        </w:rPr>
      </w:pPr>
      <w:r w:rsidRPr="003568A2">
        <w:rPr>
          <w:rFonts w:hint="eastAsia"/>
          <w:szCs w:val="21"/>
        </w:rPr>
        <w:t>（二）合同所有设备（产品）运至院方指定货运详细地址、开箱合格运转正常，并</w:t>
      </w:r>
      <w:proofErr w:type="gramStart"/>
      <w:r w:rsidRPr="003568A2">
        <w:rPr>
          <w:rFonts w:hint="eastAsia"/>
          <w:szCs w:val="21"/>
        </w:rPr>
        <w:t>经最终</w:t>
      </w:r>
      <w:proofErr w:type="gramEnd"/>
      <w:r w:rsidRPr="003568A2">
        <w:rPr>
          <w:rFonts w:hint="eastAsia"/>
          <w:szCs w:val="21"/>
        </w:rPr>
        <w:t>用户签字验收（加电验收），且收到供货方开具相应金额正式发票后，支付至结算审核价的</w:t>
      </w:r>
      <w:r w:rsidRPr="003568A2">
        <w:rPr>
          <w:szCs w:val="21"/>
        </w:rPr>
        <w:t>95%。</w:t>
      </w:r>
    </w:p>
    <w:p w:rsidR="00812822" w:rsidRDefault="003568A2" w:rsidP="003568A2">
      <w:pPr>
        <w:spacing w:line="360" w:lineRule="auto"/>
        <w:ind w:firstLineChars="200" w:firstLine="480"/>
        <w:rPr>
          <w:rFonts w:asciiTheme="minorEastAsia" w:eastAsiaTheme="minorEastAsia" w:hAnsiTheme="minorEastAsia"/>
        </w:rPr>
      </w:pPr>
      <w:r w:rsidRPr="003568A2">
        <w:rPr>
          <w:rFonts w:hint="eastAsia"/>
          <w:szCs w:val="21"/>
        </w:rPr>
        <w:t>（三）合同所有设备（产品）的保修期满后，由院方甲方对供货方在服务期内应完成任务进行确认并通过，且收到供货方开具相应金额正式发票后，向供货方支付结算审核价的</w:t>
      </w:r>
      <w:r w:rsidRPr="003568A2">
        <w:rPr>
          <w:szCs w:val="21"/>
        </w:rPr>
        <w:t>5%。</w:t>
      </w:r>
      <w:bookmarkStart w:id="2" w:name="_GoBack"/>
      <w:bookmarkEnd w:id="2"/>
    </w:p>
    <w:sectPr w:rsidR="00812822">
      <w:footerReference w:type="default" r:id="rId8"/>
      <w:pgSz w:w="11906" w:h="16838"/>
      <w:pgMar w:top="1021" w:right="1418" w:bottom="1021"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05" w:rsidRDefault="00356C05">
      <w:r>
        <w:separator/>
      </w:r>
    </w:p>
  </w:endnote>
  <w:endnote w:type="continuationSeparator" w:id="0">
    <w:p w:rsidR="00356C05" w:rsidRDefault="0035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822" w:rsidRDefault="0020290E">
    <w:pPr>
      <w:pStyle w:val="a7"/>
      <w:ind w:left="1441"/>
      <w:jc w:val="center"/>
      <w:rPr>
        <w:caps/>
        <w:color w:val="5B9BD5"/>
      </w:rPr>
    </w:pPr>
    <w:r>
      <w:rPr>
        <w:caps/>
        <w:color w:val="5B9BD5"/>
      </w:rPr>
      <w:fldChar w:fldCharType="begin"/>
    </w:r>
    <w:r>
      <w:rPr>
        <w:caps/>
        <w:color w:val="5B9BD5"/>
      </w:rPr>
      <w:instrText>PAGE   \* MERGEFORMAT</w:instrText>
    </w:r>
    <w:r>
      <w:rPr>
        <w:caps/>
        <w:color w:val="5B9BD5"/>
      </w:rPr>
      <w:fldChar w:fldCharType="separate"/>
    </w:r>
    <w:r w:rsidR="003568A2" w:rsidRPr="003568A2">
      <w:rPr>
        <w:caps/>
        <w:noProof/>
        <w:color w:val="5B9BD5"/>
        <w:lang w:val="zh-CN"/>
      </w:rPr>
      <w:t>9</w:t>
    </w:r>
    <w:r>
      <w:rPr>
        <w:caps/>
        <w:color w:val="5B9BD5"/>
      </w:rPr>
      <w:fldChar w:fldCharType="end"/>
    </w:r>
  </w:p>
  <w:p w:rsidR="00812822" w:rsidRDefault="008128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05" w:rsidRDefault="00356C05">
      <w:r>
        <w:separator/>
      </w:r>
    </w:p>
  </w:footnote>
  <w:footnote w:type="continuationSeparator" w:id="0">
    <w:p w:rsidR="00356C05" w:rsidRDefault="0035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D4AC23"/>
    <w:multiLevelType w:val="singleLevel"/>
    <w:tmpl w:val="8BD4AC23"/>
    <w:lvl w:ilvl="0">
      <w:start w:val="1"/>
      <w:numFmt w:val="chineseCountingThousand"/>
      <w:lvlText w:val="(%1)"/>
      <w:lvlJc w:val="left"/>
      <w:pPr>
        <w:ind w:left="460" w:hanging="420"/>
      </w:pPr>
      <w:rPr>
        <w:rFonts w:hint="default"/>
      </w:rPr>
    </w:lvl>
  </w:abstractNum>
  <w:abstractNum w:abstractNumId="1" w15:restartNumberingAfterBreak="0">
    <w:nsid w:val="00000017"/>
    <w:multiLevelType w:val="multilevel"/>
    <w:tmpl w:val="00000017"/>
    <w:lvl w:ilvl="0">
      <w:start w:val="1"/>
      <w:numFmt w:val="decimal"/>
      <w:pStyle w:val="1"/>
      <w:lvlText w:val="%1"/>
      <w:lvlJc w:val="left"/>
      <w:pPr>
        <w:ind w:left="432" w:hanging="432"/>
      </w:pPr>
      <w:rPr>
        <w:rFonts w:hint="eastAsia"/>
      </w:rPr>
    </w:lvl>
    <w:lvl w:ilvl="1">
      <w:start w:val="1"/>
      <w:numFmt w:val="decimal"/>
      <w:lvlText w:val="4.%2"/>
      <w:lvlJc w:val="left"/>
      <w:pPr>
        <w:ind w:left="576" w:hanging="576"/>
      </w:pPr>
      <w:rPr>
        <w:rFonts w:hint="eastAsia"/>
      </w:rPr>
    </w:lvl>
    <w:lvl w:ilvl="2">
      <w:start w:val="1"/>
      <w:numFmt w:val="decimal"/>
      <w:lvlText w:val="6.2.%3"/>
      <w:lvlJc w:val="left"/>
      <w:pPr>
        <w:ind w:left="720" w:hanging="720"/>
      </w:pPr>
      <w:rPr>
        <w:rFonts w:hint="eastAsia"/>
      </w:rPr>
    </w:lvl>
    <w:lvl w:ilvl="3">
      <w:start w:val="1"/>
      <w:numFmt w:val="decimal"/>
      <w:lvlText w:val="5.1.1.%4"/>
      <w:lvlJc w:val="left"/>
      <w:pPr>
        <w:ind w:left="864" w:hanging="864"/>
      </w:pPr>
      <w:rPr>
        <w:rFonts w:hint="eastAsia"/>
      </w:rPr>
    </w:lvl>
    <w:lvl w:ilvl="4">
      <w:start w:val="1"/>
      <w:numFmt w:val="decimal"/>
      <w:lvlText w:val="5.1.1.1.%5"/>
      <w:lvlJc w:val="left"/>
      <w:pPr>
        <w:ind w:left="2142"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6226F34"/>
    <w:multiLevelType w:val="multilevel"/>
    <w:tmpl w:val="06226F34"/>
    <w:lvl w:ilvl="0">
      <w:start w:val="1"/>
      <w:numFmt w:val="decimalEnclosedParen"/>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04B3F52"/>
    <w:multiLevelType w:val="multilevel"/>
    <w:tmpl w:val="104B3F52"/>
    <w:lvl w:ilvl="0">
      <w:start w:val="1"/>
      <w:numFmt w:val="decimalEnclosedParen"/>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E100E1F"/>
    <w:multiLevelType w:val="multilevel"/>
    <w:tmpl w:val="1E100E1F"/>
    <w:lvl w:ilvl="0">
      <w:start w:val="1"/>
      <w:numFmt w:val="decimalEnclosedParen"/>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015205"/>
    <w:multiLevelType w:val="multilevel"/>
    <w:tmpl w:val="29015205"/>
    <w:lvl w:ilvl="0">
      <w:start w:val="1"/>
      <w:numFmt w:val="decimal"/>
      <w:lvlText w:val="%1"/>
      <w:lvlJc w:val="left"/>
      <w:pPr>
        <w:ind w:left="432" w:hanging="432"/>
      </w:pPr>
      <w:rPr>
        <w:rFonts w:hint="eastAsia"/>
      </w:rPr>
    </w:lvl>
    <w:lvl w:ilvl="1">
      <w:start w:val="1"/>
      <w:numFmt w:val="decimal"/>
      <w:lvlText w:val="4.%2"/>
      <w:lvlJc w:val="left"/>
      <w:pPr>
        <w:ind w:left="576" w:hanging="576"/>
      </w:pPr>
      <w:rPr>
        <w:rFonts w:hint="eastAsia"/>
      </w:rPr>
    </w:lvl>
    <w:lvl w:ilvl="2">
      <w:start w:val="1"/>
      <w:numFmt w:val="decimal"/>
      <w:lvlText w:val="6.2.%3"/>
      <w:lvlJc w:val="left"/>
      <w:pPr>
        <w:ind w:left="720" w:hanging="720"/>
      </w:pPr>
      <w:rPr>
        <w:rFonts w:hint="eastAsia"/>
      </w:rPr>
    </w:lvl>
    <w:lvl w:ilvl="3">
      <w:start w:val="1"/>
      <w:numFmt w:val="decimal"/>
      <w:lvlText w:val="5.1.1.%4"/>
      <w:lvlJc w:val="left"/>
      <w:pPr>
        <w:ind w:left="864" w:hanging="864"/>
      </w:pPr>
      <w:rPr>
        <w:rFonts w:hint="eastAsia"/>
      </w:rPr>
    </w:lvl>
    <w:lvl w:ilvl="4">
      <w:start w:val="1"/>
      <w:numFmt w:val="decimal"/>
      <w:lvlText w:val="5.1.1.1.%5"/>
      <w:lvlJc w:val="left"/>
      <w:pPr>
        <w:ind w:left="2142"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15:restartNumberingAfterBreak="0">
    <w:nsid w:val="4D9524B8"/>
    <w:multiLevelType w:val="multilevel"/>
    <w:tmpl w:val="4D9524B8"/>
    <w:lvl w:ilvl="0">
      <w:start w:val="3"/>
      <w:numFmt w:val="japaneseCounting"/>
      <w:lvlText w:val="%1、"/>
      <w:lvlJc w:val="left"/>
      <w:pPr>
        <w:ind w:left="900" w:hanging="90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ED271F8"/>
    <w:multiLevelType w:val="multilevel"/>
    <w:tmpl w:val="5ED271F8"/>
    <w:lvl w:ilvl="0">
      <w:start w:val="1"/>
      <w:numFmt w:val="decimalEnclosedParen"/>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24F0AF8"/>
    <w:multiLevelType w:val="multilevel"/>
    <w:tmpl w:val="724F0AF8"/>
    <w:lvl w:ilvl="0">
      <w:start w:val="3"/>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4676CE1"/>
    <w:multiLevelType w:val="multilevel"/>
    <w:tmpl w:val="74676CE1"/>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5"/>
  </w:num>
  <w:num w:numId="3">
    <w:abstractNumId w:val="6"/>
  </w:num>
  <w:num w:numId="4">
    <w:abstractNumId w:val="9"/>
  </w:num>
  <w:num w:numId="5">
    <w:abstractNumId w:val="8"/>
  </w:num>
  <w:num w:numId="6">
    <w:abstractNumId w:val="3"/>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5ODA3NmFmNGZjNzhlNGQyZTY1MDMzYzYwN2U0YmMifQ=="/>
  </w:docVars>
  <w:rsids>
    <w:rsidRoot w:val="00187A27"/>
    <w:rsid w:val="00007A3A"/>
    <w:rsid w:val="00010B8E"/>
    <w:rsid w:val="000123F1"/>
    <w:rsid w:val="00015564"/>
    <w:rsid w:val="00037E41"/>
    <w:rsid w:val="000407B3"/>
    <w:rsid w:val="000414F8"/>
    <w:rsid w:val="00042A1B"/>
    <w:rsid w:val="00044B09"/>
    <w:rsid w:val="000514A8"/>
    <w:rsid w:val="000819C1"/>
    <w:rsid w:val="00083F49"/>
    <w:rsid w:val="000868DE"/>
    <w:rsid w:val="00097672"/>
    <w:rsid w:val="000A2829"/>
    <w:rsid w:val="000A512E"/>
    <w:rsid w:val="000B318B"/>
    <w:rsid w:val="000C39EB"/>
    <w:rsid w:val="000C3D8B"/>
    <w:rsid w:val="000E22D6"/>
    <w:rsid w:val="000E5C6C"/>
    <w:rsid w:val="000E6038"/>
    <w:rsid w:val="000F5E2A"/>
    <w:rsid w:val="00100E92"/>
    <w:rsid w:val="001032C2"/>
    <w:rsid w:val="00103440"/>
    <w:rsid w:val="001079C3"/>
    <w:rsid w:val="00111DA2"/>
    <w:rsid w:val="00125663"/>
    <w:rsid w:val="00125FBE"/>
    <w:rsid w:val="00140960"/>
    <w:rsid w:val="0015085F"/>
    <w:rsid w:val="00170E08"/>
    <w:rsid w:val="00174689"/>
    <w:rsid w:val="00176AD1"/>
    <w:rsid w:val="0018096F"/>
    <w:rsid w:val="00187A27"/>
    <w:rsid w:val="001B7E8C"/>
    <w:rsid w:val="001D35BE"/>
    <w:rsid w:val="001D3AC6"/>
    <w:rsid w:val="001D68E5"/>
    <w:rsid w:val="001E0EEB"/>
    <w:rsid w:val="001F410D"/>
    <w:rsid w:val="001F48A6"/>
    <w:rsid w:val="001F4BEB"/>
    <w:rsid w:val="002004F4"/>
    <w:rsid w:val="00200FBA"/>
    <w:rsid w:val="0020290E"/>
    <w:rsid w:val="00202DBC"/>
    <w:rsid w:val="00207CC4"/>
    <w:rsid w:val="00213FDE"/>
    <w:rsid w:val="00215E8C"/>
    <w:rsid w:val="002167D3"/>
    <w:rsid w:val="00216F60"/>
    <w:rsid w:val="002264BE"/>
    <w:rsid w:val="00227A46"/>
    <w:rsid w:val="0023546B"/>
    <w:rsid w:val="00237CC5"/>
    <w:rsid w:val="0024004A"/>
    <w:rsid w:val="002529E6"/>
    <w:rsid w:val="00253FE7"/>
    <w:rsid w:val="002634D2"/>
    <w:rsid w:val="002823C0"/>
    <w:rsid w:val="002917BA"/>
    <w:rsid w:val="00292840"/>
    <w:rsid w:val="00295BB7"/>
    <w:rsid w:val="002976C8"/>
    <w:rsid w:val="002D3975"/>
    <w:rsid w:val="002E2781"/>
    <w:rsid w:val="002E74A8"/>
    <w:rsid w:val="002F0487"/>
    <w:rsid w:val="002F1901"/>
    <w:rsid w:val="002F53E3"/>
    <w:rsid w:val="003107C3"/>
    <w:rsid w:val="003224C6"/>
    <w:rsid w:val="00322779"/>
    <w:rsid w:val="00324C8F"/>
    <w:rsid w:val="00330C1E"/>
    <w:rsid w:val="00333D00"/>
    <w:rsid w:val="00352248"/>
    <w:rsid w:val="0035588C"/>
    <w:rsid w:val="003568A2"/>
    <w:rsid w:val="00356C05"/>
    <w:rsid w:val="003701E9"/>
    <w:rsid w:val="00370809"/>
    <w:rsid w:val="0038422C"/>
    <w:rsid w:val="00384792"/>
    <w:rsid w:val="003861CC"/>
    <w:rsid w:val="003966FD"/>
    <w:rsid w:val="003A5DF5"/>
    <w:rsid w:val="003B4E74"/>
    <w:rsid w:val="003C68D2"/>
    <w:rsid w:val="003C6944"/>
    <w:rsid w:val="003D7293"/>
    <w:rsid w:val="003E13E3"/>
    <w:rsid w:val="00410428"/>
    <w:rsid w:val="004111D4"/>
    <w:rsid w:val="0041537E"/>
    <w:rsid w:val="004248E4"/>
    <w:rsid w:val="0042513B"/>
    <w:rsid w:val="004348F6"/>
    <w:rsid w:val="00444389"/>
    <w:rsid w:val="00450334"/>
    <w:rsid w:val="00461FEF"/>
    <w:rsid w:val="00464848"/>
    <w:rsid w:val="00474EC2"/>
    <w:rsid w:val="00475F67"/>
    <w:rsid w:val="00481A5D"/>
    <w:rsid w:val="00484D47"/>
    <w:rsid w:val="0048574B"/>
    <w:rsid w:val="004A06D6"/>
    <w:rsid w:val="004A737E"/>
    <w:rsid w:val="004D2603"/>
    <w:rsid w:val="004E3551"/>
    <w:rsid w:val="004E6839"/>
    <w:rsid w:val="004E7214"/>
    <w:rsid w:val="004F65B4"/>
    <w:rsid w:val="004F79F5"/>
    <w:rsid w:val="00500FE5"/>
    <w:rsid w:val="00505C66"/>
    <w:rsid w:val="00513C86"/>
    <w:rsid w:val="00514906"/>
    <w:rsid w:val="005166FD"/>
    <w:rsid w:val="00533ED8"/>
    <w:rsid w:val="0053420F"/>
    <w:rsid w:val="005443B4"/>
    <w:rsid w:val="005510E5"/>
    <w:rsid w:val="005572AC"/>
    <w:rsid w:val="00562373"/>
    <w:rsid w:val="0057114C"/>
    <w:rsid w:val="005721A4"/>
    <w:rsid w:val="00581AB1"/>
    <w:rsid w:val="0058481C"/>
    <w:rsid w:val="00593DBF"/>
    <w:rsid w:val="005A442C"/>
    <w:rsid w:val="005A44F2"/>
    <w:rsid w:val="005B6F29"/>
    <w:rsid w:val="005B7F40"/>
    <w:rsid w:val="005C600C"/>
    <w:rsid w:val="005D04EA"/>
    <w:rsid w:val="005D301C"/>
    <w:rsid w:val="005F0FF0"/>
    <w:rsid w:val="005F18FE"/>
    <w:rsid w:val="0060316C"/>
    <w:rsid w:val="00605880"/>
    <w:rsid w:val="00613283"/>
    <w:rsid w:val="006166DC"/>
    <w:rsid w:val="006371BC"/>
    <w:rsid w:val="00641F3D"/>
    <w:rsid w:val="0065096D"/>
    <w:rsid w:val="00656DC7"/>
    <w:rsid w:val="00663BCD"/>
    <w:rsid w:val="00682C30"/>
    <w:rsid w:val="006912E4"/>
    <w:rsid w:val="006A5AD7"/>
    <w:rsid w:val="006B5D25"/>
    <w:rsid w:val="006B73ED"/>
    <w:rsid w:val="006B7897"/>
    <w:rsid w:val="006C03C5"/>
    <w:rsid w:val="006C2B89"/>
    <w:rsid w:val="006C3F58"/>
    <w:rsid w:val="006D315F"/>
    <w:rsid w:val="006E2735"/>
    <w:rsid w:val="006E35E2"/>
    <w:rsid w:val="006F1B56"/>
    <w:rsid w:val="0070019A"/>
    <w:rsid w:val="0070275E"/>
    <w:rsid w:val="00702D1F"/>
    <w:rsid w:val="00711576"/>
    <w:rsid w:val="0071696B"/>
    <w:rsid w:val="007236B3"/>
    <w:rsid w:val="007349BC"/>
    <w:rsid w:val="007418A6"/>
    <w:rsid w:val="007422E7"/>
    <w:rsid w:val="007435B9"/>
    <w:rsid w:val="007440F2"/>
    <w:rsid w:val="007456FB"/>
    <w:rsid w:val="00746C8C"/>
    <w:rsid w:val="0075430E"/>
    <w:rsid w:val="0075527C"/>
    <w:rsid w:val="007748A7"/>
    <w:rsid w:val="007842E6"/>
    <w:rsid w:val="007856DE"/>
    <w:rsid w:val="00786B44"/>
    <w:rsid w:val="00791B31"/>
    <w:rsid w:val="007A3357"/>
    <w:rsid w:val="007B0D74"/>
    <w:rsid w:val="007B103C"/>
    <w:rsid w:val="007B1A5A"/>
    <w:rsid w:val="007B2DB7"/>
    <w:rsid w:val="007C3A16"/>
    <w:rsid w:val="007C5785"/>
    <w:rsid w:val="007D4F0F"/>
    <w:rsid w:val="007E659E"/>
    <w:rsid w:val="007F04E2"/>
    <w:rsid w:val="007F0C5D"/>
    <w:rsid w:val="00800E0F"/>
    <w:rsid w:val="008079CE"/>
    <w:rsid w:val="00812615"/>
    <w:rsid w:val="00812822"/>
    <w:rsid w:val="00813B57"/>
    <w:rsid w:val="00817F0D"/>
    <w:rsid w:val="00820553"/>
    <w:rsid w:val="00826610"/>
    <w:rsid w:val="00827DF4"/>
    <w:rsid w:val="008324B0"/>
    <w:rsid w:val="00846B44"/>
    <w:rsid w:val="0085268D"/>
    <w:rsid w:val="008532E7"/>
    <w:rsid w:val="0086457D"/>
    <w:rsid w:val="00865C7A"/>
    <w:rsid w:val="00866D38"/>
    <w:rsid w:val="008674AD"/>
    <w:rsid w:val="00872ACB"/>
    <w:rsid w:val="00876428"/>
    <w:rsid w:val="00882860"/>
    <w:rsid w:val="008A5E7B"/>
    <w:rsid w:val="008B1206"/>
    <w:rsid w:val="008B4B9C"/>
    <w:rsid w:val="008B4D0C"/>
    <w:rsid w:val="008D3616"/>
    <w:rsid w:val="008E6FF3"/>
    <w:rsid w:val="008F0A9A"/>
    <w:rsid w:val="008F141C"/>
    <w:rsid w:val="008F23D9"/>
    <w:rsid w:val="008F3190"/>
    <w:rsid w:val="00900458"/>
    <w:rsid w:val="00902F7D"/>
    <w:rsid w:val="009213ED"/>
    <w:rsid w:val="009305D1"/>
    <w:rsid w:val="009346E9"/>
    <w:rsid w:val="009658DF"/>
    <w:rsid w:val="00965937"/>
    <w:rsid w:val="00970CFA"/>
    <w:rsid w:val="00972198"/>
    <w:rsid w:val="009737FB"/>
    <w:rsid w:val="0097579A"/>
    <w:rsid w:val="00976AFA"/>
    <w:rsid w:val="009A2DBA"/>
    <w:rsid w:val="009A339D"/>
    <w:rsid w:val="009B37DA"/>
    <w:rsid w:val="009D2148"/>
    <w:rsid w:val="009D7875"/>
    <w:rsid w:val="009F2B3A"/>
    <w:rsid w:val="00A034B2"/>
    <w:rsid w:val="00A04277"/>
    <w:rsid w:val="00A059B7"/>
    <w:rsid w:val="00A278FC"/>
    <w:rsid w:val="00A31342"/>
    <w:rsid w:val="00A352FA"/>
    <w:rsid w:val="00A4561A"/>
    <w:rsid w:val="00A45678"/>
    <w:rsid w:val="00A65A0E"/>
    <w:rsid w:val="00A8200C"/>
    <w:rsid w:val="00A97BF4"/>
    <w:rsid w:val="00AA2C25"/>
    <w:rsid w:val="00AB3F44"/>
    <w:rsid w:val="00AC1944"/>
    <w:rsid w:val="00AD0DE4"/>
    <w:rsid w:val="00AD465B"/>
    <w:rsid w:val="00AE0276"/>
    <w:rsid w:val="00AE3DA4"/>
    <w:rsid w:val="00AF2696"/>
    <w:rsid w:val="00B00FCC"/>
    <w:rsid w:val="00B02535"/>
    <w:rsid w:val="00B143C3"/>
    <w:rsid w:val="00B22578"/>
    <w:rsid w:val="00B2720E"/>
    <w:rsid w:val="00B43583"/>
    <w:rsid w:val="00B43FBD"/>
    <w:rsid w:val="00B45CAC"/>
    <w:rsid w:val="00B54562"/>
    <w:rsid w:val="00B57A81"/>
    <w:rsid w:val="00B6065A"/>
    <w:rsid w:val="00B622B5"/>
    <w:rsid w:val="00B90535"/>
    <w:rsid w:val="00B94D13"/>
    <w:rsid w:val="00BB032C"/>
    <w:rsid w:val="00BB0476"/>
    <w:rsid w:val="00BB16BC"/>
    <w:rsid w:val="00BD4B1B"/>
    <w:rsid w:val="00BE2E54"/>
    <w:rsid w:val="00BE4B10"/>
    <w:rsid w:val="00BE64CC"/>
    <w:rsid w:val="00BF166E"/>
    <w:rsid w:val="00BF4B06"/>
    <w:rsid w:val="00BF5F1D"/>
    <w:rsid w:val="00C20CAE"/>
    <w:rsid w:val="00C4060F"/>
    <w:rsid w:val="00C47234"/>
    <w:rsid w:val="00C66EE9"/>
    <w:rsid w:val="00C76670"/>
    <w:rsid w:val="00C81F9A"/>
    <w:rsid w:val="00C8702E"/>
    <w:rsid w:val="00C9264D"/>
    <w:rsid w:val="00C955AF"/>
    <w:rsid w:val="00C9677E"/>
    <w:rsid w:val="00CB1431"/>
    <w:rsid w:val="00CB222D"/>
    <w:rsid w:val="00CF1BF0"/>
    <w:rsid w:val="00CF22B5"/>
    <w:rsid w:val="00CF69DB"/>
    <w:rsid w:val="00D00095"/>
    <w:rsid w:val="00D041BC"/>
    <w:rsid w:val="00D06CEA"/>
    <w:rsid w:val="00D10D1C"/>
    <w:rsid w:val="00D11D64"/>
    <w:rsid w:val="00D319F2"/>
    <w:rsid w:val="00D470B0"/>
    <w:rsid w:val="00D52197"/>
    <w:rsid w:val="00D56EA9"/>
    <w:rsid w:val="00D57402"/>
    <w:rsid w:val="00D6314A"/>
    <w:rsid w:val="00D82633"/>
    <w:rsid w:val="00D83FF1"/>
    <w:rsid w:val="00D842DD"/>
    <w:rsid w:val="00D9320E"/>
    <w:rsid w:val="00DA0EA8"/>
    <w:rsid w:val="00DC4820"/>
    <w:rsid w:val="00DC54DB"/>
    <w:rsid w:val="00DD0C43"/>
    <w:rsid w:val="00DD3B18"/>
    <w:rsid w:val="00DD7217"/>
    <w:rsid w:val="00DE233F"/>
    <w:rsid w:val="00E065F2"/>
    <w:rsid w:val="00E10390"/>
    <w:rsid w:val="00E128C5"/>
    <w:rsid w:val="00E12949"/>
    <w:rsid w:val="00E1356C"/>
    <w:rsid w:val="00E34AF4"/>
    <w:rsid w:val="00E3539C"/>
    <w:rsid w:val="00E3588F"/>
    <w:rsid w:val="00E42F87"/>
    <w:rsid w:val="00E55E8B"/>
    <w:rsid w:val="00E66C49"/>
    <w:rsid w:val="00E67BF5"/>
    <w:rsid w:val="00E771F0"/>
    <w:rsid w:val="00E86B80"/>
    <w:rsid w:val="00E901C3"/>
    <w:rsid w:val="00E94198"/>
    <w:rsid w:val="00EA65D1"/>
    <w:rsid w:val="00EB733F"/>
    <w:rsid w:val="00EF38AB"/>
    <w:rsid w:val="00F02891"/>
    <w:rsid w:val="00F02C30"/>
    <w:rsid w:val="00F04AF5"/>
    <w:rsid w:val="00F0643F"/>
    <w:rsid w:val="00F15CF5"/>
    <w:rsid w:val="00F22343"/>
    <w:rsid w:val="00F2350D"/>
    <w:rsid w:val="00F25724"/>
    <w:rsid w:val="00F31A41"/>
    <w:rsid w:val="00F4451A"/>
    <w:rsid w:val="00F65DCC"/>
    <w:rsid w:val="00F73A4D"/>
    <w:rsid w:val="00F81A92"/>
    <w:rsid w:val="00F94DF7"/>
    <w:rsid w:val="00F96879"/>
    <w:rsid w:val="00FA33CC"/>
    <w:rsid w:val="00FA695F"/>
    <w:rsid w:val="00FB0CC3"/>
    <w:rsid w:val="00FC1A1F"/>
    <w:rsid w:val="00FC20FB"/>
    <w:rsid w:val="00FC57FF"/>
    <w:rsid w:val="00FC71A4"/>
    <w:rsid w:val="00FC77D4"/>
    <w:rsid w:val="00FD6587"/>
    <w:rsid w:val="00FF7430"/>
    <w:rsid w:val="05AB1FA9"/>
    <w:rsid w:val="0C565B48"/>
    <w:rsid w:val="0DAD0977"/>
    <w:rsid w:val="0F357C01"/>
    <w:rsid w:val="11D50CC6"/>
    <w:rsid w:val="129A0611"/>
    <w:rsid w:val="1ED713EE"/>
    <w:rsid w:val="1F3D5D53"/>
    <w:rsid w:val="27B00A89"/>
    <w:rsid w:val="2D306F11"/>
    <w:rsid w:val="30B05F05"/>
    <w:rsid w:val="3A7E0E22"/>
    <w:rsid w:val="3AD722D6"/>
    <w:rsid w:val="42B12EA9"/>
    <w:rsid w:val="45F428E0"/>
    <w:rsid w:val="4F2770E7"/>
    <w:rsid w:val="4FE11155"/>
    <w:rsid w:val="52183D09"/>
    <w:rsid w:val="543945EF"/>
    <w:rsid w:val="56467514"/>
    <w:rsid w:val="56E6518A"/>
    <w:rsid w:val="624944C5"/>
    <w:rsid w:val="649D19E3"/>
    <w:rsid w:val="682664D1"/>
    <w:rsid w:val="6DA92D7B"/>
    <w:rsid w:val="71080739"/>
    <w:rsid w:val="72784E36"/>
    <w:rsid w:val="770374C4"/>
    <w:rsid w:val="7E1A38FE"/>
    <w:rsid w:val="7E76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12823-4609-4C36-8B17-24800680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sz w:val="24"/>
      <w:szCs w:val="24"/>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ind w:leftChars="100" w:left="100" w:rightChars="100" w:right="240"/>
      <w:outlineLvl w:val="1"/>
    </w:pPr>
    <w:rPr>
      <w:rFonts w:ascii="Cambria" w:hAnsi="Cambria"/>
      <w:b/>
      <w:bCs/>
      <w:sz w:val="30"/>
      <w:szCs w:val="32"/>
    </w:rPr>
  </w:style>
  <w:style w:type="paragraph" w:styleId="3">
    <w:name w:val="heading 3"/>
    <w:basedOn w:val="a"/>
    <w:next w:val="a"/>
    <w:link w:val="30"/>
    <w:uiPriority w:val="9"/>
    <w:unhideWhenUsed/>
    <w:qFormat/>
    <w:pPr>
      <w:keepNext/>
      <w:keepLines/>
      <w:spacing w:before="260" w:after="260" w:line="416" w:lineRule="auto"/>
      <w:ind w:leftChars="100" w:left="240" w:rightChars="100" w:right="240"/>
      <w:outlineLvl w:val="2"/>
    </w:pPr>
    <w:rPr>
      <w:b/>
      <w:bCs/>
      <w:sz w:val="28"/>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uiPriority w:val="99"/>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qFormat/>
    <w:pPr>
      <w:spacing w:before="240" w:after="60" w:line="312" w:lineRule="auto"/>
      <w:jc w:val="center"/>
      <w:outlineLvl w:val="1"/>
    </w:pPr>
    <w:rPr>
      <w:rFonts w:ascii="Cambria" w:hAnsi="Cambria"/>
      <w:b/>
      <w:bCs/>
      <w:kern w:val="28"/>
      <w:sz w:val="32"/>
      <w:szCs w:val="32"/>
      <w:lang w:eastAsia="en-US"/>
    </w:rPr>
  </w:style>
  <w:style w:type="paragraph" w:styleId="ac">
    <w:name w:val="annotation subject"/>
    <w:basedOn w:val="a3"/>
    <w:next w:val="a3"/>
    <w:link w:val="ad"/>
    <w:uiPriority w:val="99"/>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qFormat/>
    <w:rPr>
      <w:sz w:val="21"/>
      <w:szCs w:val="21"/>
    </w:rPr>
  </w:style>
  <w:style w:type="character" w:customStyle="1" w:styleId="10">
    <w:name w:val="标题 1 字符"/>
    <w:basedOn w:val="a0"/>
    <w:link w:val="1"/>
    <w:uiPriority w:val="9"/>
    <w:qFormat/>
    <w:rPr>
      <w:rFonts w:ascii="宋体" w:hAnsi="宋体"/>
      <w:b/>
      <w:bCs/>
      <w:kern w:val="44"/>
      <w:sz w:val="44"/>
      <w:szCs w:val="44"/>
    </w:rPr>
  </w:style>
  <w:style w:type="character" w:customStyle="1" w:styleId="a8">
    <w:name w:val="页脚 字符"/>
    <w:basedOn w:val="a0"/>
    <w:link w:val="a7"/>
    <w:qFormat/>
    <w:rPr>
      <w:rFonts w:ascii="Times New Roman" w:eastAsia="宋体" w:hAnsi="Times New Roman" w:cs="Times New Roman"/>
      <w:sz w:val="18"/>
      <w:szCs w:val="18"/>
    </w:rPr>
  </w:style>
  <w:style w:type="character" w:customStyle="1" w:styleId="af0">
    <w:name w:val="列出段落 字符"/>
    <w:link w:val="af1"/>
    <w:uiPriority w:val="34"/>
    <w:qFormat/>
    <w:rPr>
      <w:rFonts w:ascii="等线" w:eastAsia="等线" w:hAnsi="等线"/>
    </w:rPr>
  </w:style>
  <w:style w:type="paragraph" w:styleId="af1">
    <w:name w:val="List Paragraph"/>
    <w:basedOn w:val="a"/>
    <w:link w:val="af0"/>
    <w:uiPriority w:val="34"/>
    <w:qFormat/>
    <w:pPr>
      <w:ind w:firstLineChars="200" w:firstLine="420"/>
    </w:pPr>
    <w:rPr>
      <w:rFonts w:ascii="等线" w:eastAsia="等线" w:hAnsi="等线"/>
      <w:szCs w:val="22"/>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qFormat/>
    <w:rPr>
      <w:rFonts w:ascii="Times New Roman" w:eastAsia="宋体" w:hAnsi="Times New Roman" w:cs="Times New Roman"/>
      <w:kern w:val="2"/>
      <w:sz w:val="18"/>
      <w:szCs w:val="18"/>
    </w:rPr>
  </w:style>
  <w:style w:type="character" w:customStyle="1" w:styleId="a4">
    <w:name w:val="批注文字 字符"/>
    <w:basedOn w:val="a0"/>
    <w:link w:val="a3"/>
    <w:uiPriority w:val="99"/>
    <w:qFormat/>
    <w:rPr>
      <w:rFonts w:ascii="Times New Roman" w:eastAsia="宋体" w:hAnsi="Times New Roman" w:cs="Times New Roman"/>
      <w:kern w:val="2"/>
      <w:sz w:val="21"/>
      <w:szCs w:val="24"/>
    </w:rPr>
  </w:style>
  <w:style w:type="character" w:customStyle="1" w:styleId="ad">
    <w:name w:val="批注主题 字符"/>
    <w:basedOn w:val="a4"/>
    <w:link w:val="ac"/>
    <w:uiPriority w:val="99"/>
    <w:qFormat/>
    <w:rPr>
      <w:rFonts w:ascii="Times New Roman" w:eastAsia="宋体" w:hAnsi="Times New Roman" w:cs="Times New Roman"/>
      <w:b/>
      <w:bCs/>
      <w:kern w:val="2"/>
      <w:sz w:val="21"/>
      <w:szCs w:val="24"/>
    </w:rPr>
  </w:style>
  <w:style w:type="character" w:customStyle="1" w:styleId="30">
    <w:name w:val="标题 3 字符"/>
    <w:basedOn w:val="a0"/>
    <w:link w:val="3"/>
    <w:uiPriority w:val="9"/>
    <w:qFormat/>
    <w:rPr>
      <w:rFonts w:ascii="宋体" w:hAnsi="宋体"/>
      <w:b/>
      <w:bCs/>
      <w:sz w:val="28"/>
      <w:szCs w:val="32"/>
    </w:rPr>
  </w:style>
  <w:style w:type="character" w:customStyle="1" w:styleId="markedcontent">
    <w:name w:val="markedcontent"/>
    <w:basedOn w:val="a0"/>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20">
    <w:name w:val="标题 2 字符"/>
    <w:basedOn w:val="a0"/>
    <w:link w:val="2"/>
    <w:uiPriority w:val="9"/>
    <w:qFormat/>
    <w:rPr>
      <w:rFonts w:ascii="Cambria" w:hAnsi="Cambria"/>
      <w:b/>
      <w:bCs/>
      <w:sz w:val="30"/>
      <w:szCs w:val="32"/>
    </w:rPr>
  </w:style>
  <w:style w:type="paragraph" w:customStyle="1" w:styleId="11">
    <w:name w:val="修订1"/>
    <w:hidden/>
    <w:uiPriority w:val="99"/>
    <w:semiHidden/>
    <w:qFormat/>
    <w:rPr>
      <w:rFonts w:ascii="宋体" w:hAnsi="宋体"/>
      <w:sz w:val="24"/>
      <w:szCs w:val="24"/>
    </w:rPr>
  </w:style>
  <w:style w:type="character" w:customStyle="1" w:styleId="40">
    <w:name w:val="标题 4 字符"/>
    <w:basedOn w:val="a0"/>
    <w:link w:val="4"/>
    <w:uiPriority w:val="9"/>
    <w:qFormat/>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1CDE-A8C0-4297-9065-6B43CEF9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1040</Words>
  <Characters>5933</Characters>
  <Application>Microsoft Office Word</Application>
  <DocSecurity>0</DocSecurity>
  <Lines>49</Lines>
  <Paragraphs>13</Paragraphs>
  <ScaleCrop>false</ScaleCrop>
  <Company>Microsoft</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netuser</dc:creator>
  <cp:lastModifiedBy>伍睿</cp:lastModifiedBy>
  <cp:revision>2</cp:revision>
  <cp:lastPrinted>2023-05-31T08:58:00Z</cp:lastPrinted>
  <dcterms:created xsi:type="dcterms:W3CDTF">2023-06-07T03:04:00Z</dcterms:created>
  <dcterms:modified xsi:type="dcterms:W3CDTF">2023-06-07T03:04:00Z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6C849DFB501D4B5D88FBC0040FC101AE_13</vt:lpwstr>
  </property>
</Properties>
</file>