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医学影像分析专业硬件购置项目需求</w:t>
      </w: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项目名称</w:t>
      </w:r>
    </w:p>
    <w:p>
      <w:pPr>
        <w:spacing w:line="360" w:lineRule="auto"/>
        <w:ind w:left="432"/>
        <w:rPr>
          <w:rFonts w:ascii="仿宋" w:hAnsi="仿宋" w:eastAsia="仿宋"/>
          <w:szCs w:val="21"/>
        </w:rPr>
      </w:pPr>
      <w:r>
        <w:rPr>
          <w:rFonts w:hint="eastAsia" w:ascii="仿宋" w:hAnsi="仿宋" w:eastAsia="仿宋"/>
          <w:szCs w:val="21"/>
        </w:rPr>
        <w:t>项目名称：医学影像分析专业硬件购置项目</w:t>
      </w:r>
    </w:p>
    <w:p>
      <w:pPr>
        <w:spacing w:line="360" w:lineRule="auto"/>
        <w:ind w:left="432"/>
        <w:rPr>
          <w:rFonts w:ascii="仿宋" w:hAnsi="仿宋" w:eastAsia="仿宋"/>
          <w:sz w:val="2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lang w:eastAsia="zh-CN"/>
        </w:rPr>
        <w:t>采购清单</w:t>
      </w:r>
    </w:p>
    <w:p>
      <w:pPr>
        <w:rPr>
          <w:rFonts w:ascii="仿宋" w:hAnsi="仿宋" w:eastAsia="仿宋"/>
        </w:rPr>
      </w:pPr>
      <w:r>
        <w:rPr>
          <w:rFonts w:hint="eastAsia" w:ascii="仿宋" w:hAnsi="仿宋" w:eastAsia="仿宋"/>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3180"/>
        <w:gridCol w:w="3864"/>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b/>
              </w:rPr>
            </w:pPr>
            <w:r>
              <w:rPr>
                <w:rFonts w:hint="eastAsia" w:ascii="仿宋" w:hAnsi="仿宋" w:eastAsia="仿宋"/>
                <w:b/>
              </w:rPr>
              <w:t>序号</w:t>
            </w:r>
          </w:p>
        </w:tc>
        <w:tc>
          <w:tcPr>
            <w:tcW w:w="3180" w:type="dxa"/>
          </w:tcPr>
          <w:p>
            <w:pPr>
              <w:jc w:val="center"/>
              <w:rPr>
                <w:rFonts w:ascii="仿宋" w:hAnsi="仿宋" w:eastAsia="仿宋"/>
                <w:b/>
              </w:rPr>
            </w:pPr>
            <w:r>
              <w:rPr>
                <w:rFonts w:hint="eastAsia" w:ascii="仿宋" w:hAnsi="仿宋" w:eastAsia="仿宋"/>
                <w:b/>
              </w:rPr>
              <w:t>名称</w:t>
            </w:r>
          </w:p>
        </w:tc>
        <w:tc>
          <w:tcPr>
            <w:tcW w:w="3864" w:type="dxa"/>
          </w:tcPr>
          <w:p>
            <w:pPr>
              <w:jc w:val="center"/>
              <w:rPr>
                <w:rFonts w:ascii="仿宋" w:hAnsi="仿宋" w:eastAsia="仿宋"/>
                <w:b/>
              </w:rPr>
            </w:pPr>
            <w:r>
              <w:rPr>
                <w:rFonts w:hint="eastAsia" w:ascii="仿宋" w:hAnsi="仿宋" w:eastAsia="仿宋"/>
                <w:b/>
              </w:rPr>
              <w:t>配置描述</w:t>
            </w:r>
          </w:p>
        </w:tc>
        <w:tc>
          <w:tcPr>
            <w:tcW w:w="1349" w:type="dxa"/>
          </w:tcPr>
          <w:p>
            <w:pPr>
              <w:jc w:val="center"/>
              <w:rPr>
                <w:rFonts w:ascii="仿宋" w:hAnsi="仿宋" w:eastAsia="仿宋"/>
                <w:b/>
              </w:rPr>
            </w:pPr>
            <w:r>
              <w:rPr>
                <w:rFonts w:hint="eastAsia" w:ascii="仿宋" w:hAnsi="仿宋" w:eastAsia="仿宋"/>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rPr>
            </w:pPr>
            <w:r>
              <w:rPr>
                <w:rFonts w:ascii="仿宋" w:hAnsi="仿宋" w:eastAsia="仿宋"/>
              </w:rPr>
              <w:t>1</w:t>
            </w:r>
          </w:p>
        </w:tc>
        <w:tc>
          <w:tcPr>
            <w:tcW w:w="3180" w:type="dxa"/>
            <w:vAlign w:val="bottom"/>
          </w:tcPr>
          <w:p>
            <w:pPr>
              <w:widowControl/>
              <w:jc w:val="center"/>
              <w:rPr>
                <w:rFonts w:ascii="仿宋" w:hAnsi="仿宋" w:eastAsia="仿宋"/>
              </w:rPr>
            </w:pPr>
            <w:r>
              <w:rPr>
                <w:rFonts w:hint="eastAsia" w:ascii="仿宋" w:hAnsi="仿宋" w:eastAsia="仿宋"/>
              </w:rPr>
              <w:t>影像分析终端</w:t>
            </w:r>
          </w:p>
        </w:tc>
        <w:tc>
          <w:tcPr>
            <w:tcW w:w="3864" w:type="dxa"/>
          </w:tcPr>
          <w:p>
            <w:pPr>
              <w:rPr>
                <w:rStyle w:val="23"/>
                <w:rFonts w:ascii="仿宋" w:hAnsi="仿宋" w:eastAsia="仿宋"/>
              </w:rPr>
            </w:pPr>
            <w:r>
              <w:fldChar w:fldCharType="begin"/>
            </w:r>
            <w:r>
              <w:instrText xml:space="preserve"> HYPERLINK \l "_6.1.1、大数据服务器" </w:instrText>
            </w:r>
            <w:r>
              <w:fldChar w:fldCharType="separate"/>
            </w:r>
            <w:r>
              <w:rPr>
                <w:rStyle w:val="23"/>
                <w:rFonts w:hint="eastAsia" w:ascii="仿宋" w:hAnsi="仿宋" w:eastAsia="仿宋"/>
              </w:rPr>
              <w:t>配置详见3</w:t>
            </w:r>
            <w:r>
              <w:rPr>
                <w:rStyle w:val="23"/>
                <w:rFonts w:ascii="仿宋" w:hAnsi="仿宋" w:eastAsia="仿宋"/>
              </w:rPr>
              <w:t>.</w:t>
            </w:r>
            <w:r>
              <w:rPr>
                <w:rStyle w:val="23"/>
                <w:rFonts w:hint="eastAsia" w:ascii="仿宋" w:hAnsi="仿宋" w:eastAsia="仿宋"/>
              </w:rPr>
              <w:t>1.1、影像分析终端</w:t>
            </w:r>
            <w:r>
              <w:rPr>
                <w:rStyle w:val="23"/>
                <w:rFonts w:hint="eastAsia" w:ascii="仿宋" w:hAnsi="仿宋" w:eastAsia="仿宋"/>
              </w:rPr>
              <w:fldChar w:fldCharType="end"/>
            </w:r>
          </w:p>
        </w:tc>
        <w:tc>
          <w:tcPr>
            <w:tcW w:w="1349" w:type="dxa"/>
            <w:vAlign w:val="center"/>
          </w:tcPr>
          <w:p>
            <w:pPr>
              <w:widowControl/>
              <w:jc w:val="center"/>
              <w:rPr>
                <w:rFonts w:ascii="仿宋" w:hAnsi="仿宋" w:eastAsia="仿宋"/>
              </w:rPr>
            </w:pPr>
            <w:r>
              <w:rPr>
                <w:rFonts w:ascii="仿宋" w:hAnsi="仿宋" w:eastAsia="仿宋"/>
              </w:rPr>
              <w:t>17</w:t>
            </w:r>
          </w:p>
        </w:tc>
      </w:tr>
    </w:tbl>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1"/>
          <w:numId w:val="1"/>
        </w:numPr>
        <w:spacing w:line="578" w:lineRule="auto"/>
        <w:ind w:firstLineChars="0"/>
        <w:outlineLvl w:val="0"/>
        <w:rPr>
          <w:rFonts w:ascii="仿宋" w:hAnsi="仿宋" w:eastAsia="仿宋"/>
          <w:b/>
          <w:bCs/>
          <w:vanish/>
          <w:kern w:val="44"/>
          <w:sz w:val="44"/>
          <w:szCs w:val="44"/>
        </w:rPr>
      </w:pPr>
    </w:p>
    <w:p>
      <w:pPr>
        <w:pStyle w:val="2"/>
        <w:numPr>
          <w:ilvl w:val="0"/>
          <w:numId w:val="0"/>
        </w:numPr>
        <w:spacing w:before="0" w:after="0"/>
        <w:ind w:left="432"/>
        <w:rPr>
          <w:rFonts w:ascii="仿宋" w:hAnsi="仿宋" w:eastAsia="仿宋"/>
          <w:sz w:val="28"/>
          <w:szCs w:val="3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详细</w:t>
      </w:r>
      <w:r>
        <w:rPr>
          <w:rFonts w:hint="eastAsia" w:ascii="仿宋" w:hAnsi="仿宋" w:eastAsia="仿宋"/>
          <w:sz w:val="32"/>
          <w:szCs w:val="32"/>
          <w:lang w:eastAsia="zh-CN"/>
        </w:rPr>
        <w:t>配置参数</w:t>
      </w:r>
    </w:p>
    <w:p>
      <w:pPr>
        <w:pStyle w:val="3"/>
        <w:spacing w:before="0" w:after="0" w:line="276" w:lineRule="auto"/>
        <w:rPr>
          <w:rFonts w:ascii="仿宋" w:hAnsi="仿宋" w:eastAsia="仿宋"/>
          <w:sz w:val="21"/>
          <w:szCs w:val="21"/>
        </w:rPr>
      </w:pPr>
      <w:bookmarkStart w:id="0" w:name="_6.1.1、大数据服务器"/>
      <w:bookmarkEnd w:id="0"/>
      <w:r>
        <w:rPr>
          <w:rFonts w:ascii="仿宋" w:hAnsi="仿宋" w:eastAsia="仿宋"/>
          <w:sz w:val="21"/>
          <w:szCs w:val="21"/>
        </w:rPr>
        <w:t>3.1.1</w:t>
      </w:r>
      <w:r>
        <w:rPr>
          <w:rFonts w:hint="eastAsia" w:ascii="仿宋" w:hAnsi="仿宋" w:eastAsia="仿宋"/>
          <w:sz w:val="21"/>
          <w:szCs w:val="21"/>
        </w:rPr>
        <w:t>、</w:t>
      </w:r>
      <w:r>
        <w:rPr>
          <w:rFonts w:hint="eastAsia" w:ascii="仿宋" w:hAnsi="仿宋" w:eastAsia="仿宋"/>
          <w:sz w:val="21"/>
          <w:szCs w:val="21"/>
          <w:lang w:eastAsia="zh-CN"/>
        </w:rPr>
        <w:t>影像分析终端</w:t>
      </w:r>
    </w:p>
    <w:tbl>
      <w:tblPr>
        <w:tblStyle w:val="19"/>
        <w:tblW w:w="5000" w:type="pct"/>
        <w:tblInd w:w="0" w:type="dxa"/>
        <w:tblLayout w:type="autofit"/>
        <w:tblCellMar>
          <w:top w:w="0" w:type="dxa"/>
          <w:left w:w="108" w:type="dxa"/>
          <w:bottom w:w="0" w:type="dxa"/>
          <w:right w:w="108" w:type="dxa"/>
        </w:tblCellMar>
      </w:tblPr>
      <w:tblGrid>
        <w:gridCol w:w="1157"/>
        <w:gridCol w:w="8129"/>
      </w:tblGrid>
      <w:tr>
        <w:tblPrEx>
          <w:tblCellMar>
            <w:top w:w="0" w:type="dxa"/>
            <w:left w:w="108" w:type="dxa"/>
            <w:bottom w:w="0" w:type="dxa"/>
            <w:right w:w="108" w:type="dxa"/>
          </w:tblCellMar>
        </w:tblPrEx>
        <w:trPr>
          <w:trHeight w:val="320" w:hRule="atLeast"/>
        </w:trPr>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指标项</w:t>
            </w:r>
          </w:p>
        </w:tc>
        <w:tc>
          <w:tcPr>
            <w:tcW w:w="4377"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指标要求</w:t>
            </w:r>
          </w:p>
        </w:tc>
      </w:tr>
      <w:tr>
        <w:tblPrEx>
          <w:tblCellMar>
            <w:top w:w="0" w:type="dxa"/>
            <w:left w:w="108" w:type="dxa"/>
            <w:bottom w:w="0" w:type="dxa"/>
            <w:right w:w="108" w:type="dxa"/>
          </w:tblCellMar>
        </w:tblPrEx>
        <w:trPr>
          <w:trHeight w:val="320" w:hRule="atLeast"/>
        </w:trPr>
        <w:tc>
          <w:tcPr>
            <w:tcW w:w="623" w:type="pct"/>
            <w:tcBorders>
              <w:top w:val="nil"/>
              <w:left w:val="single" w:color="auto" w:sz="4" w:space="0"/>
              <w:bottom w:val="single" w:color="auto" w:sz="4" w:space="0"/>
              <w:right w:val="single" w:color="auto" w:sz="4" w:space="0"/>
            </w:tcBorders>
            <w:vAlign w:val="center"/>
          </w:tcPr>
          <w:p>
            <w:pPr>
              <w:widowControl/>
              <w:spacing w:line="276" w:lineRule="auto"/>
              <w:rPr>
                <w:rFonts w:ascii="仿宋" w:hAnsi="仿宋" w:eastAsia="仿宋" w:cs="宋体"/>
                <w:color w:val="000000"/>
                <w:szCs w:val="21"/>
              </w:rPr>
            </w:pPr>
            <w:r>
              <w:rPr>
                <w:rFonts w:hint="eastAsia" w:ascii="仿宋" w:hAnsi="仿宋" w:eastAsia="仿宋" w:cs="宋体"/>
                <w:color w:val="000000"/>
                <w:szCs w:val="21"/>
              </w:rPr>
              <w:t>影像分析终端</w:t>
            </w:r>
          </w:p>
        </w:tc>
        <w:tc>
          <w:tcPr>
            <w:tcW w:w="4377" w:type="pct"/>
            <w:tcBorders>
              <w:top w:val="nil"/>
              <w:left w:val="nil"/>
              <w:bottom w:val="single" w:color="auto" w:sz="4" w:space="0"/>
              <w:right w:val="single" w:color="auto" w:sz="4" w:space="0"/>
            </w:tcBorders>
            <w:vAlign w:val="center"/>
          </w:tcPr>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lang w:eastAsia="zh-CN"/>
              </w:rPr>
              <w:t>尺寸：</w:t>
            </w:r>
            <w:r>
              <w:rPr>
                <w:rFonts w:ascii="Arial" w:hAnsi="Arial" w:cs="Arial"/>
                <w:color w:val="333333"/>
                <w:sz w:val="20"/>
                <w:szCs w:val="20"/>
                <w:shd w:val="clear" w:color="auto" w:fill="FFFFFF"/>
              </w:rPr>
              <w:t>≥27</w:t>
            </w:r>
            <w:r>
              <w:rPr>
                <w:rFonts w:hint="eastAsia" w:ascii="Arial" w:hAnsi="Arial" w:cs="Arial"/>
                <w:color w:val="333333"/>
                <w:sz w:val="20"/>
                <w:szCs w:val="20"/>
                <w:shd w:val="clear" w:color="auto" w:fill="FFFFFF"/>
                <w:lang w:eastAsia="zh-CN"/>
              </w:rPr>
              <w:t>寸</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分辨率：</w:t>
            </w:r>
            <w:r>
              <w:rPr>
                <w:rFonts w:ascii="Arial" w:hAnsi="Arial" w:cs="Arial"/>
                <w:color w:val="333333"/>
                <w:sz w:val="20"/>
                <w:szCs w:val="20"/>
                <w:shd w:val="clear" w:color="auto" w:fill="FFFFFF"/>
              </w:rPr>
              <w:t>≥2560</w:t>
            </w:r>
            <w:r>
              <w:rPr>
                <w:rFonts w:hint="eastAsia" w:ascii="Arial" w:hAnsi="Arial" w:cs="Arial"/>
                <w:color w:val="333333"/>
                <w:sz w:val="20"/>
                <w:szCs w:val="20"/>
                <w:shd w:val="clear" w:color="auto" w:fill="FFFFFF"/>
                <w:lang w:eastAsia="zh-CN"/>
              </w:rPr>
              <w:t>x</w:t>
            </w:r>
            <w:r>
              <w:rPr>
                <w:rFonts w:ascii="Arial" w:hAnsi="Arial" w:cs="Arial"/>
                <w:color w:val="333333"/>
                <w:sz w:val="20"/>
                <w:szCs w:val="20"/>
                <w:shd w:val="clear" w:color="auto" w:fill="FFFFFF"/>
              </w:rPr>
              <w:t>1440</w:t>
            </w:r>
            <w:r>
              <w:rPr>
                <w:rFonts w:hint="eastAsia" w:ascii="Arial" w:hAnsi="Arial" w:cs="Arial"/>
                <w:color w:val="333333"/>
                <w:sz w:val="20"/>
                <w:szCs w:val="20"/>
                <w:shd w:val="clear" w:color="auto" w:fill="FFFFFF"/>
                <w:lang w:eastAsia="zh-CN"/>
              </w:rPr>
              <w:t>（横屏）</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点距：</w:t>
            </w:r>
            <w:r>
              <w:rPr>
                <w:rFonts w:ascii="Arial" w:hAnsi="Arial" w:cs="Arial"/>
                <w:color w:val="333333"/>
                <w:sz w:val="20"/>
                <w:szCs w:val="20"/>
                <w:shd w:val="clear" w:color="auto" w:fill="FFFFFF"/>
              </w:rPr>
              <w:t>≤0.233 (H)X0.233(V) mm</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最大亮度：</w:t>
            </w:r>
            <w:r>
              <w:rPr>
                <w:rFonts w:ascii="Arial" w:hAnsi="Arial" w:cs="Arial"/>
                <w:color w:val="333333"/>
                <w:sz w:val="20"/>
                <w:szCs w:val="20"/>
                <w:shd w:val="clear" w:color="auto" w:fill="FFFFFF"/>
              </w:rPr>
              <w:t>≥500cd/㎡</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对比度：</w:t>
            </w:r>
            <w:r>
              <w:rPr>
                <w:rFonts w:ascii="Arial" w:hAnsi="Arial" w:cs="Arial"/>
                <w:color w:val="333333"/>
                <w:sz w:val="20"/>
                <w:szCs w:val="20"/>
                <w:shd w:val="clear" w:color="auto" w:fill="FFFFFF"/>
              </w:rPr>
              <w:t>≥1000</w:t>
            </w:r>
            <w:r>
              <w:rPr>
                <w:rFonts w:hint="eastAsia" w:ascii="Arial" w:hAnsi="Arial" w:cs="Arial"/>
                <w:color w:val="333333"/>
                <w:sz w:val="20"/>
                <w:szCs w:val="20"/>
                <w:shd w:val="clear" w:color="auto" w:fill="FFFFFF"/>
                <w:lang w:eastAsia="zh-CN"/>
              </w:rPr>
              <w:t>:1</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CRB色彩重建</w:t>
            </w:r>
            <w:r>
              <w:rPr>
                <w:rFonts w:hint="eastAsia" w:ascii="仿宋" w:hAnsi="仿宋" w:eastAsia="仿宋" w:cs="宋体"/>
                <w:color w:val="000000"/>
                <w:szCs w:val="21"/>
                <w:lang w:eastAsia="zh-CN"/>
              </w:rPr>
              <w:t>：能自动识别图像中的彩色内容，在灰阶内容符合DICOM</w:t>
            </w:r>
            <w:r>
              <w:rPr>
                <w:rFonts w:ascii="仿宋" w:hAnsi="仿宋" w:eastAsia="仿宋" w:cs="宋体"/>
                <w:color w:val="000000"/>
                <w:szCs w:val="21"/>
                <w:lang w:eastAsia="zh-CN"/>
              </w:rPr>
              <w:t xml:space="preserve"> </w:t>
            </w:r>
            <w:r>
              <w:rPr>
                <w:rFonts w:hint="eastAsia" w:ascii="仿宋" w:hAnsi="仿宋" w:eastAsia="仿宋" w:cs="宋体"/>
                <w:color w:val="000000"/>
                <w:szCs w:val="21"/>
                <w:lang w:eastAsia="zh-CN"/>
              </w:rPr>
              <w:t>Part14标准的情况下，对彩色内容的亮度及色调进行重新构建并校准，从而实现在同一屏幕上的灰度图像使用DICOM曲线，彩色内容使用 Gamma 曲线进行混合显示</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lang w:eastAsia="zh-CN"/>
              </w:rPr>
              <w:t>菜单调节：无按键设置，通过显示控制软件在计算机端调节参数</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多分屏显示模式</w:t>
            </w:r>
            <w:r>
              <w:rPr>
                <w:rFonts w:hint="eastAsia" w:ascii="仿宋" w:hAnsi="仿宋" w:eastAsia="仿宋" w:cs="宋体"/>
                <w:color w:val="000000"/>
                <w:szCs w:val="21"/>
                <w:lang w:eastAsia="zh-CN"/>
              </w:rPr>
              <w:t>：影像对比模式，影像报告模式，可支持两分屏或四分屏各分屏的显示曲线均可独立控制，DICOM 和文档模式亮度可独立控制</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嵌入式胶片夹</w:t>
            </w:r>
            <w:r>
              <w:rPr>
                <w:rFonts w:hint="eastAsia" w:ascii="仿宋" w:hAnsi="仿宋" w:eastAsia="仿宋" w:cs="宋体"/>
                <w:color w:val="000000"/>
                <w:szCs w:val="21"/>
                <w:lang w:eastAsia="zh-CN"/>
              </w:rPr>
              <w:t>：通过前置嵌入式胶片夹，可自动识别胶片的插拔状态，自动开启或关闭观片灯模式，且左右分屏可单独或同时进入观片灯模式，胶片夹与整机一体化设计</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rPr>
              <w:t>合规性检测与校准</w:t>
            </w:r>
            <w:r>
              <w:rPr>
                <w:rFonts w:hint="eastAsia" w:ascii="仿宋" w:hAnsi="仿宋" w:eastAsia="仿宋" w:cs="宋体"/>
                <w:color w:val="000000"/>
                <w:szCs w:val="21"/>
                <w:lang w:eastAsia="zh-CN"/>
              </w:rPr>
              <w:t>：通过集成于终端正面的DICOM校准系统对DICOM显示曲线合规性进行自动检测与校正</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lang w:eastAsia="zh-CN"/>
              </w:rPr>
              <w:t>医生健康管理系统：显示屏采用低频闪显示技术，降低眼睛疲劳度，采用降蓝光技术，保护眼睛，同时对医生的阅片时间进行设置提醒管理</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lang w:eastAsia="zh-CN"/>
              </w:rPr>
              <w:t>电源配置：终端内置医疗级标准电源，支持交流100-240V~50/60Hz电源供电，无需外接电源适配器</w:t>
            </w:r>
          </w:p>
        </w:tc>
      </w:tr>
    </w:tbl>
    <w:p>
      <w:pPr>
        <w:tabs>
          <w:tab w:val="left" w:pos="780"/>
        </w:tabs>
        <w:spacing w:before="156" w:beforeLines="50" w:line="360" w:lineRule="auto"/>
        <w:outlineLvl w:val="0"/>
        <w:rPr>
          <w:rFonts w:hint="eastAsia" w:ascii="仿宋" w:hAnsi="仿宋" w:eastAsia="仿宋" w:cs="宋体"/>
          <w:szCs w:val="21"/>
        </w:rPr>
      </w:pPr>
      <w:bookmarkStart w:id="1" w:name="_6.1.2、容器服务器"/>
      <w:bookmarkEnd w:id="1"/>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仿宋" w:hAnsi="仿宋" w:eastAsia="仿宋" w:cs="宋体"/>
          <w:szCs w:val="21"/>
        </w:rPr>
      </w:pPr>
    </w:p>
    <w:p>
      <w:pPr>
        <w:pStyle w:val="2"/>
        <w:numPr>
          <w:ilvl w:val="0"/>
          <w:numId w:val="3"/>
        </w:numPr>
        <w:spacing w:before="0" w:after="0"/>
        <w:rPr>
          <w:rFonts w:ascii="仿宋" w:hAnsi="仿宋" w:eastAsia="仿宋"/>
          <w:sz w:val="21"/>
          <w:szCs w:val="21"/>
        </w:rPr>
      </w:pPr>
      <w:r>
        <w:rPr>
          <w:rFonts w:hint="eastAsia" w:ascii="仿宋" w:hAnsi="仿宋" w:eastAsia="仿宋"/>
          <w:sz w:val="32"/>
          <w:szCs w:val="32"/>
        </w:rPr>
        <w:t>交货</w:t>
      </w:r>
      <w:r>
        <w:rPr>
          <w:rFonts w:hint="eastAsia" w:ascii="仿宋" w:hAnsi="仿宋" w:eastAsia="仿宋"/>
          <w:sz w:val="32"/>
          <w:szCs w:val="32"/>
          <w:lang w:eastAsia="zh-CN"/>
        </w:rPr>
        <w:t>日</w:t>
      </w:r>
      <w:r>
        <w:rPr>
          <w:rFonts w:hint="eastAsia" w:ascii="仿宋" w:hAnsi="仿宋" w:eastAsia="仿宋"/>
          <w:sz w:val="32"/>
          <w:szCs w:val="32"/>
        </w:rPr>
        <w:t>期</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(一)供货方须在院方支付合同首款后的</w:t>
      </w:r>
      <w:r>
        <w:rPr>
          <w:rFonts w:ascii="仿宋" w:hAnsi="仿宋" w:eastAsia="仿宋" w:cs="宋体"/>
          <w:szCs w:val="21"/>
        </w:rPr>
        <w:t>7</w:t>
      </w:r>
      <w:r>
        <w:rPr>
          <w:rFonts w:hint="eastAsia" w:ascii="仿宋" w:hAnsi="仿宋" w:eastAsia="仿宋" w:cs="宋体"/>
          <w:szCs w:val="21"/>
        </w:rPr>
        <w:t>个工作日内向院方提交采购清单中的物品。</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(二)交货日期以货物到达院方指定货运详细地址的日期为准。</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交货方式</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(一)供货方应按时将货物送至院方指定货运详细地址。</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(二)交货完成的有效证明：供货方送货人，必须随货物提交交货签收单给院方收货人，交货签收单必须有院方、供货方两方的签字方有效。</w:t>
      </w:r>
    </w:p>
    <w:p>
      <w:pPr>
        <w:rPr>
          <w:rFonts w:ascii="仿宋" w:hAnsi="仿宋" w:eastAsia="仿宋"/>
          <w:lang w:eastAsia="zh-CN"/>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安装</w:t>
      </w:r>
      <w:r>
        <w:rPr>
          <w:rFonts w:hint="eastAsia" w:ascii="仿宋" w:hAnsi="仿宋" w:eastAsia="仿宋"/>
          <w:b/>
          <w:bCs/>
          <w:kern w:val="44"/>
          <w:sz w:val="32"/>
          <w:szCs w:val="32"/>
          <w:lang w:val="zh-CN"/>
        </w:rPr>
        <w:t>要求</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(一)供货方负责合同项下设备的安装调试，并按院方要求，免费提供本项目下设备的搬迁工作。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(二)供货方应按院方指定的安装日期、安装要求进行安装工作。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保修</w:t>
      </w:r>
      <w:r>
        <w:rPr>
          <w:rFonts w:hint="eastAsia" w:ascii="仿宋" w:hAnsi="仿宋" w:eastAsia="仿宋"/>
          <w:b/>
          <w:bCs/>
          <w:kern w:val="44"/>
          <w:sz w:val="32"/>
          <w:szCs w:val="32"/>
          <w:lang w:val="zh-CN"/>
        </w:rPr>
        <w:t>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(一)整机保修；保修期自验收合格之日起计算。</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(二)提供</w:t>
      </w:r>
      <w:r>
        <w:rPr>
          <w:rFonts w:ascii="仿宋" w:hAnsi="仿宋" w:eastAsia="仿宋" w:cs="宋体"/>
          <w:szCs w:val="21"/>
        </w:rPr>
        <w:t>3</w:t>
      </w:r>
      <w:r>
        <w:rPr>
          <w:rFonts w:hint="eastAsia" w:ascii="仿宋" w:hAnsi="仿宋" w:eastAsia="仿宋" w:cs="宋体"/>
          <w:szCs w:val="21"/>
        </w:rPr>
        <w:t>年原厂家保修服务。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仿宋" w:hAnsi="仿宋" w:eastAsia="仿宋" w:cs="宋体"/>
          <w:szCs w:val="21"/>
        </w:rPr>
      </w:pPr>
      <w:r>
        <w:rPr>
          <w:rFonts w:hint="eastAsia" w:ascii="仿宋" w:hAnsi="仿宋" w:eastAsia="仿宋" w:cs="宋体"/>
          <w:szCs w:val="21"/>
        </w:rPr>
        <w:t>(四)超过免费维护期的，双方另行协商签订维护合同，信息设备（产品）的维护报价不超过合同信息设备（产品）部分金额的</w:t>
      </w:r>
      <w:r>
        <w:rPr>
          <w:rFonts w:ascii="仿宋" w:hAnsi="仿宋" w:eastAsia="仿宋" w:cs="宋体"/>
          <w:szCs w:val="21"/>
        </w:rPr>
        <w:t>5</w:t>
      </w:r>
      <w:r>
        <w:rPr>
          <w:rFonts w:hint="eastAsia" w:ascii="仿宋" w:hAnsi="仿宋" w:eastAsia="仿宋" w:cs="宋体"/>
          <w:szCs w:val="21"/>
        </w:rPr>
        <w:t>%。</w:t>
      </w:r>
    </w:p>
    <w:p>
      <w:pPr>
        <w:spacing w:line="360" w:lineRule="auto"/>
        <w:ind w:firstLine="525" w:firstLineChars="250"/>
        <w:rPr>
          <w:rFonts w:ascii="仿宋" w:hAnsi="仿宋" w:eastAsia="仿宋" w:cs="宋体"/>
          <w:szCs w:val="21"/>
        </w:rPr>
      </w:pPr>
      <w:r>
        <w:rPr>
          <w:rFonts w:hint="eastAsia" w:ascii="仿宋" w:hAnsi="仿宋" w:eastAsia="仿宋" w:cs="宋体"/>
          <w:szCs w:val="21"/>
        </w:rPr>
        <w:t>售后服务：提供原厂家7*24小时免费维修服务。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响应时间、方式：2小时内响应到院方报修处，供货方需提供备件先行服务。</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供货方应为院方进行培训，包括使用培训和维护培训。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仿宋" w:hAnsi="仿宋" w:eastAsia="仿宋" w:cs="宋体"/>
          <w:szCs w:val="21"/>
        </w:rPr>
      </w:pPr>
    </w:p>
    <w:p>
      <w:pPr>
        <w:pStyle w:val="2"/>
        <w:numPr>
          <w:ilvl w:val="0"/>
          <w:numId w:val="3"/>
        </w:numPr>
        <w:spacing w:before="0" w:after="0"/>
        <w:rPr>
          <w:rFonts w:ascii="仿宋" w:hAnsi="仿宋" w:eastAsia="仿宋"/>
          <w:color w:val="FF0000"/>
          <w:sz w:val="32"/>
          <w:szCs w:val="32"/>
        </w:rPr>
      </w:pPr>
      <w:r>
        <w:rPr>
          <w:rFonts w:hint="eastAsia" w:ascii="仿宋" w:hAnsi="仿宋" w:eastAsia="仿宋"/>
          <w:sz w:val="32"/>
          <w:szCs w:val="32"/>
        </w:rPr>
        <w:t>合同款支付方式</w:t>
      </w:r>
    </w:p>
    <w:p>
      <w:pPr>
        <w:spacing w:line="360" w:lineRule="auto"/>
        <w:ind w:firstLine="420" w:firstLineChars="200"/>
        <w:rPr>
          <w:rFonts w:ascii="仿宋" w:hAnsi="仿宋" w:eastAsia="仿宋" w:cs="宋体"/>
          <w:szCs w:val="21"/>
        </w:rPr>
      </w:pPr>
      <w:r>
        <w:rPr>
          <w:rFonts w:hint="eastAsia" w:ascii="仿宋" w:hAnsi="仿宋" w:eastAsia="仿宋" w:cs="宋体"/>
          <w:szCs w:val="21"/>
        </w:rPr>
        <w:t>甲方将按如下方式向乙方支付合同费用：</w:t>
      </w:r>
    </w:p>
    <w:p>
      <w:pPr>
        <w:numPr>
          <w:ilvl w:val="0"/>
          <w:numId w:val="5"/>
        </w:numPr>
        <w:spacing w:line="360" w:lineRule="auto"/>
        <w:ind w:firstLineChars="200"/>
        <w:rPr>
          <w:rFonts w:ascii="仿宋" w:hAnsi="仿宋" w:eastAsia="仿宋" w:cs="宋体"/>
          <w:szCs w:val="21"/>
        </w:rPr>
      </w:pPr>
      <w:bookmarkStart w:id="2" w:name="_GoBack"/>
      <w:bookmarkEnd w:id="2"/>
      <w:r>
        <w:rPr>
          <w:rFonts w:hint="eastAsia" w:ascii="仿宋" w:hAnsi="仿宋" w:eastAsia="仿宋" w:cs="宋体"/>
          <w:szCs w:val="21"/>
        </w:rPr>
        <w:t>合同所有设备（产品）运至甲方指定货运详细地址、开箱合格运转正常，并经最终用户签字验收（加电验收），且甲方在收到乙方开具相应金额正式发票以及售后服务履约承诺函后，向乙方支付至结算审核价的</w:t>
      </w:r>
      <w:r>
        <w:rPr>
          <w:rFonts w:ascii="仿宋" w:hAnsi="仿宋" w:eastAsia="仿宋" w:cs="宋体"/>
          <w:szCs w:val="21"/>
        </w:rPr>
        <w:t>100</w:t>
      </w:r>
      <w:r>
        <w:rPr>
          <w:rFonts w:hint="eastAsia" w:ascii="仿宋" w:hAnsi="仿宋" w:eastAsia="仿宋" w:cs="宋体"/>
          <w:szCs w:val="21"/>
        </w:rPr>
        <w:t>%。</w:t>
      </w: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BFBFA"/>
    <w:multiLevelType w:val="singleLevel"/>
    <w:tmpl w:val="0EBBFBFA"/>
    <w:lvl w:ilvl="0" w:tentative="0">
      <w:start w:val="1"/>
      <w:numFmt w:val="chineseCounting"/>
      <w:suff w:val="nothing"/>
      <w:lvlText w:val="（%1）"/>
      <w:lvlJc w:val="left"/>
      <w:pPr>
        <w:ind w:left="0" w:firstLine="420"/>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BFA6D95"/>
    <w:multiLevelType w:val="multilevel"/>
    <w:tmpl w:val="4BFA6D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ZWFkYzBhOTk5MTFmNWNjZjhiNmZlMWQ0NGEyNzYifQ=="/>
  </w:docVars>
  <w:rsids>
    <w:rsidRoot w:val="00303343"/>
    <w:rsid w:val="000051D2"/>
    <w:rsid w:val="000079DD"/>
    <w:rsid w:val="00012DCC"/>
    <w:rsid w:val="00016B63"/>
    <w:rsid w:val="00041752"/>
    <w:rsid w:val="0004334E"/>
    <w:rsid w:val="00046B39"/>
    <w:rsid w:val="00054706"/>
    <w:rsid w:val="000612F5"/>
    <w:rsid w:val="00066DE7"/>
    <w:rsid w:val="00074EDD"/>
    <w:rsid w:val="000757C1"/>
    <w:rsid w:val="0008271F"/>
    <w:rsid w:val="00086AE0"/>
    <w:rsid w:val="0009064D"/>
    <w:rsid w:val="00090A18"/>
    <w:rsid w:val="00096532"/>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004F"/>
    <w:rsid w:val="00153AB3"/>
    <w:rsid w:val="00162D29"/>
    <w:rsid w:val="00164878"/>
    <w:rsid w:val="00164C38"/>
    <w:rsid w:val="00165091"/>
    <w:rsid w:val="00171903"/>
    <w:rsid w:val="00181223"/>
    <w:rsid w:val="0018200C"/>
    <w:rsid w:val="001833B6"/>
    <w:rsid w:val="00190CD2"/>
    <w:rsid w:val="00194BFE"/>
    <w:rsid w:val="001A22A1"/>
    <w:rsid w:val="001B36D6"/>
    <w:rsid w:val="001B4850"/>
    <w:rsid w:val="001B7966"/>
    <w:rsid w:val="001B7D79"/>
    <w:rsid w:val="001C23B3"/>
    <w:rsid w:val="001C7BC6"/>
    <w:rsid w:val="001D4A68"/>
    <w:rsid w:val="001D7749"/>
    <w:rsid w:val="001E3B38"/>
    <w:rsid w:val="00200054"/>
    <w:rsid w:val="002000DE"/>
    <w:rsid w:val="00202EFF"/>
    <w:rsid w:val="00204FAB"/>
    <w:rsid w:val="0020509F"/>
    <w:rsid w:val="00207A96"/>
    <w:rsid w:val="00214A6F"/>
    <w:rsid w:val="00221F1F"/>
    <w:rsid w:val="00223E47"/>
    <w:rsid w:val="00241D77"/>
    <w:rsid w:val="00245725"/>
    <w:rsid w:val="00246092"/>
    <w:rsid w:val="002509F5"/>
    <w:rsid w:val="002535AA"/>
    <w:rsid w:val="00260E6E"/>
    <w:rsid w:val="00261CBC"/>
    <w:rsid w:val="00265DE7"/>
    <w:rsid w:val="00270260"/>
    <w:rsid w:val="002722CA"/>
    <w:rsid w:val="002834D3"/>
    <w:rsid w:val="002853BF"/>
    <w:rsid w:val="0028609C"/>
    <w:rsid w:val="00292528"/>
    <w:rsid w:val="002A01D6"/>
    <w:rsid w:val="002A4778"/>
    <w:rsid w:val="002C1296"/>
    <w:rsid w:val="002C4AA6"/>
    <w:rsid w:val="002C53D1"/>
    <w:rsid w:val="002D6BE1"/>
    <w:rsid w:val="002D6E1C"/>
    <w:rsid w:val="002E1C48"/>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42D7"/>
    <w:rsid w:val="00397B7E"/>
    <w:rsid w:val="003A7269"/>
    <w:rsid w:val="003B285A"/>
    <w:rsid w:val="003B7DE3"/>
    <w:rsid w:val="003C0FB7"/>
    <w:rsid w:val="003C6D81"/>
    <w:rsid w:val="003D0F80"/>
    <w:rsid w:val="003D2595"/>
    <w:rsid w:val="003E7083"/>
    <w:rsid w:val="003F629F"/>
    <w:rsid w:val="00403938"/>
    <w:rsid w:val="00405AA9"/>
    <w:rsid w:val="00413DA3"/>
    <w:rsid w:val="00414171"/>
    <w:rsid w:val="0041787F"/>
    <w:rsid w:val="00423450"/>
    <w:rsid w:val="0042702D"/>
    <w:rsid w:val="00433136"/>
    <w:rsid w:val="00435C81"/>
    <w:rsid w:val="0044060A"/>
    <w:rsid w:val="00440F72"/>
    <w:rsid w:val="004565AA"/>
    <w:rsid w:val="00456A2C"/>
    <w:rsid w:val="004630DC"/>
    <w:rsid w:val="00474AE0"/>
    <w:rsid w:val="0047796F"/>
    <w:rsid w:val="004808AF"/>
    <w:rsid w:val="00482931"/>
    <w:rsid w:val="004947B0"/>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16D"/>
    <w:rsid w:val="005A4D1C"/>
    <w:rsid w:val="005B046D"/>
    <w:rsid w:val="005B1692"/>
    <w:rsid w:val="005B33AE"/>
    <w:rsid w:val="005C19C0"/>
    <w:rsid w:val="005C49D7"/>
    <w:rsid w:val="005C5BB2"/>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107F"/>
    <w:rsid w:val="00623637"/>
    <w:rsid w:val="006279C6"/>
    <w:rsid w:val="006344BA"/>
    <w:rsid w:val="00644B74"/>
    <w:rsid w:val="00644F1D"/>
    <w:rsid w:val="00646B59"/>
    <w:rsid w:val="006604C2"/>
    <w:rsid w:val="0068073E"/>
    <w:rsid w:val="006861F5"/>
    <w:rsid w:val="00697FBB"/>
    <w:rsid w:val="006B2085"/>
    <w:rsid w:val="006B21B8"/>
    <w:rsid w:val="006B3754"/>
    <w:rsid w:val="006B7B58"/>
    <w:rsid w:val="006C36EB"/>
    <w:rsid w:val="006D4B15"/>
    <w:rsid w:val="006D59F7"/>
    <w:rsid w:val="006E5E07"/>
    <w:rsid w:val="006F0434"/>
    <w:rsid w:val="00701D12"/>
    <w:rsid w:val="0070239F"/>
    <w:rsid w:val="007214BF"/>
    <w:rsid w:val="0072309C"/>
    <w:rsid w:val="0072695B"/>
    <w:rsid w:val="0074224C"/>
    <w:rsid w:val="00750A70"/>
    <w:rsid w:val="00752912"/>
    <w:rsid w:val="007556BE"/>
    <w:rsid w:val="00756F6E"/>
    <w:rsid w:val="007621CC"/>
    <w:rsid w:val="0076668A"/>
    <w:rsid w:val="00784C08"/>
    <w:rsid w:val="00785EDF"/>
    <w:rsid w:val="00786A29"/>
    <w:rsid w:val="00795F59"/>
    <w:rsid w:val="007A5027"/>
    <w:rsid w:val="007C0A5B"/>
    <w:rsid w:val="007D22AB"/>
    <w:rsid w:val="007E71E6"/>
    <w:rsid w:val="007F5726"/>
    <w:rsid w:val="008100F3"/>
    <w:rsid w:val="008168FB"/>
    <w:rsid w:val="0081766B"/>
    <w:rsid w:val="00821CA9"/>
    <w:rsid w:val="00822BA6"/>
    <w:rsid w:val="008334AC"/>
    <w:rsid w:val="008419E9"/>
    <w:rsid w:val="008548FB"/>
    <w:rsid w:val="008623FD"/>
    <w:rsid w:val="00863E39"/>
    <w:rsid w:val="008643D4"/>
    <w:rsid w:val="00866774"/>
    <w:rsid w:val="00873B97"/>
    <w:rsid w:val="0089712C"/>
    <w:rsid w:val="008A62AC"/>
    <w:rsid w:val="008B2206"/>
    <w:rsid w:val="008C255D"/>
    <w:rsid w:val="008D3291"/>
    <w:rsid w:val="008D41CA"/>
    <w:rsid w:val="008D59AA"/>
    <w:rsid w:val="008E145D"/>
    <w:rsid w:val="008E2B56"/>
    <w:rsid w:val="008E69C8"/>
    <w:rsid w:val="00900232"/>
    <w:rsid w:val="00900BAA"/>
    <w:rsid w:val="00903734"/>
    <w:rsid w:val="00903878"/>
    <w:rsid w:val="00903CF6"/>
    <w:rsid w:val="009052C7"/>
    <w:rsid w:val="00905AC4"/>
    <w:rsid w:val="00905FFA"/>
    <w:rsid w:val="0092017A"/>
    <w:rsid w:val="00922032"/>
    <w:rsid w:val="00925C23"/>
    <w:rsid w:val="00927E08"/>
    <w:rsid w:val="009303FA"/>
    <w:rsid w:val="00932A85"/>
    <w:rsid w:val="00941F0C"/>
    <w:rsid w:val="00943004"/>
    <w:rsid w:val="00953807"/>
    <w:rsid w:val="00963F1D"/>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128E"/>
    <w:rsid w:val="009D6951"/>
    <w:rsid w:val="009D7DD1"/>
    <w:rsid w:val="009E0351"/>
    <w:rsid w:val="009E214B"/>
    <w:rsid w:val="009E53AF"/>
    <w:rsid w:val="009F0270"/>
    <w:rsid w:val="009F61FA"/>
    <w:rsid w:val="00A05796"/>
    <w:rsid w:val="00A13CB0"/>
    <w:rsid w:val="00A14FD8"/>
    <w:rsid w:val="00A22CA1"/>
    <w:rsid w:val="00A342C6"/>
    <w:rsid w:val="00A4595D"/>
    <w:rsid w:val="00A51146"/>
    <w:rsid w:val="00A61D3A"/>
    <w:rsid w:val="00A663BC"/>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26C4"/>
    <w:rsid w:val="00AE1DD2"/>
    <w:rsid w:val="00AE4106"/>
    <w:rsid w:val="00AF579B"/>
    <w:rsid w:val="00B12138"/>
    <w:rsid w:val="00B17749"/>
    <w:rsid w:val="00B17AE9"/>
    <w:rsid w:val="00B17C05"/>
    <w:rsid w:val="00B20334"/>
    <w:rsid w:val="00B20819"/>
    <w:rsid w:val="00B225B9"/>
    <w:rsid w:val="00B24AB1"/>
    <w:rsid w:val="00B36BD9"/>
    <w:rsid w:val="00B40A2C"/>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0FF4"/>
    <w:rsid w:val="00BB2B54"/>
    <w:rsid w:val="00BC3CA1"/>
    <w:rsid w:val="00BC49E5"/>
    <w:rsid w:val="00BC6DB1"/>
    <w:rsid w:val="00BD3194"/>
    <w:rsid w:val="00BD5FA8"/>
    <w:rsid w:val="00BE23E5"/>
    <w:rsid w:val="00BE31E6"/>
    <w:rsid w:val="00BE34D2"/>
    <w:rsid w:val="00BE6715"/>
    <w:rsid w:val="00BF757E"/>
    <w:rsid w:val="00BF7C0E"/>
    <w:rsid w:val="00BF7F5A"/>
    <w:rsid w:val="00C07EB0"/>
    <w:rsid w:val="00C17719"/>
    <w:rsid w:val="00C20730"/>
    <w:rsid w:val="00C2470A"/>
    <w:rsid w:val="00C26272"/>
    <w:rsid w:val="00C335D8"/>
    <w:rsid w:val="00C47616"/>
    <w:rsid w:val="00C50E12"/>
    <w:rsid w:val="00C54491"/>
    <w:rsid w:val="00C71B43"/>
    <w:rsid w:val="00C74D8F"/>
    <w:rsid w:val="00C751A9"/>
    <w:rsid w:val="00C766DD"/>
    <w:rsid w:val="00C76BDF"/>
    <w:rsid w:val="00C775CE"/>
    <w:rsid w:val="00C8030E"/>
    <w:rsid w:val="00C91697"/>
    <w:rsid w:val="00C9203A"/>
    <w:rsid w:val="00C92EAA"/>
    <w:rsid w:val="00CA148F"/>
    <w:rsid w:val="00CA29F9"/>
    <w:rsid w:val="00CA3144"/>
    <w:rsid w:val="00CA615E"/>
    <w:rsid w:val="00CB6B73"/>
    <w:rsid w:val="00CC218D"/>
    <w:rsid w:val="00CC6334"/>
    <w:rsid w:val="00CC677A"/>
    <w:rsid w:val="00CD008E"/>
    <w:rsid w:val="00CD39D2"/>
    <w:rsid w:val="00CD6EDC"/>
    <w:rsid w:val="00CE2D1F"/>
    <w:rsid w:val="00CF1561"/>
    <w:rsid w:val="00CF1A40"/>
    <w:rsid w:val="00CF36EF"/>
    <w:rsid w:val="00CF4AE2"/>
    <w:rsid w:val="00D1110F"/>
    <w:rsid w:val="00D15B10"/>
    <w:rsid w:val="00D23E20"/>
    <w:rsid w:val="00D30FA6"/>
    <w:rsid w:val="00D31AB6"/>
    <w:rsid w:val="00D31DE0"/>
    <w:rsid w:val="00D32842"/>
    <w:rsid w:val="00D407EB"/>
    <w:rsid w:val="00D454AB"/>
    <w:rsid w:val="00D536AB"/>
    <w:rsid w:val="00D54E0C"/>
    <w:rsid w:val="00D5537A"/>
    <w:rsid w:val="00D64109"/>
    <w:rsid w:val="00D652FC"/>
    <w:rsid w:val="00D71136"/>
    <w:rsid w:val="00D7755A"/>
    <w:rsid w:val="00D77F36"/>
    <w:rsid w:val="00D9057D"/>
    <w:rsid w:val="00DA026E"/>
    <w:rsid w:val="00DA576E"/>
    <w:rsid w:val="00DB0A86"/>
    <w:rsid w:val="00DB56B5"/>
    <w:rsid w:val="00DB57B7"/>
    <w:rsid w:val="00DC33CF"/>
    <w:rsid w:val="00DC3415"/>
    <w:rsid w:val="00DD121C"/>
    <w:rsid w:val="00DD3DE6"/>
    <w:rsid w:val="00DE4534"/>
    <w:rsid w:val="00DE687E"/>
    <w:rsid w:val="00DF3D3A"/>
    <w:rsid w:val="00DF4228"/>
    <w:rsid w:val="00E06670"/>
    <w:rsid w:val="00E06A75"/>
    <w:rsid w:val="00E278FC"/>
    <w:rsid w:val="00E47752"/>
    <w:rsid w:val="00E53030"/>
    <w:rsid w:val="00E56652"/>
    <w:rsid w:val="00E62C9E"/>
    <w:rsid w:val="00E63369"/>
    <w:rsid w:val="00E63569"/>
    <w:rsid w:val="00E80756"/>
    <w:rsid w:val="00E815AB"/>
    <w:rsid w:val="00E81F96"/>
    <w:rsid w:val="00E8302B"/>
    <w:rsid w:val="00E83E34"/>
    <w:rsid w:val="00E847A3"/>
    <w:rsid w:val="00E84F8C"/>
    <w:rsid w:val="00E85360"/>
    <w:rsid w:val="00E85641"/>
    <w:rsid w:val="00E85DA4"/>
    <w:rsid w:val="00E86B42"/>
    <w:rsid w:val="00E909C9"/>
    <w:rsid w:val="00E95892"/>
    <w:rsid w:val="00E97354"/>
    <w:rsid w:val="00EA4A81"/>
    <w:rsid w:val="00EA5C44"/>
    <w:rsid w:val="00EA6408"/>
    <w:rsid w:val="00EC0483"/>
    <w:rsid w:val="00EC33A4"/>
    <w:rsid w:val="00EC5FE0"/>
    <w:rsid w:val="00ED0897"/>
    <w:rsid w:val="00ED73FF"/>
    <w:rsid w:val="00ED7F01"/>
    <w:rsid w:val="00EE0B09"/>
    <w:rsid w:val="00EE2FB8"/>
    <w:rsid w:val="00EE4612"/>
    <w:rsid w:val="00EE51DE"/>
    <w:rsid w:val="00EE609F"/>
    <w:rsid w:val="00EF2527"/>
    <w:rsid w:val="00EF5E01"/>
    <w:rsid w:val="00EF6223"/>
    <w:rsid w:val="00EF659E"/>
    <w:rsid w:val="00EF6EC0"/>
    <w:rsid w:val="00F02058"/>
    <w:rsid w:val="00F0343C"/>
    <w:rsid w:val="00F04CE5"/>
    <w:rsid w:val="00F1164B"/>
    <w:rsid w:val="00F11660"/>
    <w:rsid w:val="00F13514"/>
    <w:rsid w:val="00F1360F"/>
    <w:rsid w:val="00F16AA8"/>
    <w:rsid w:val="00F21791"/>
    <w:rsid w:val="00F3226A"/>
    <w:rsid w:val="00F33DB0"/>
    <w:rsid w:val="00F36222"/>
    <w:rsid w:val="00F45DB8"/>
    <w:rsid w:val="00F54D21"/>
    <w:rsid w:val="00F54D29"/>
    <w:rsid w:val="00F62BCD"/>
    <w:rsid w:val="00F74B77"/>
    <w:rsid w:val="00F764FE"/>
    <w:rsid w:val="00F80625"/>
    <w:rsid w:val="00F827B6"/>
    <w:rsid w:val="00F827C3"/>
    <w:rsid w:val="00F86265"/>
    <w:rsid w:val="00F92BE5"/>
    <w:rsid w:val="00F94449"/>
    <w:rsid w:val="00FA0574"/>
    <w:rsid w:val="00FB68D3"/>
    <w:rsid w:val="00FC4B75"/>
    <w:rsid w:val="00FE583E"/>
    <w:rsid w:val="00FE7554"/>
    <w:rsid w:val="00FF17FE"/>
    <w:rsid w:val="19181FB1"/>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qFormat/>
    <w:uiPriority w:val="0"/>
    <w:rPr>
      <w:rFonts w:ascii="Calibri" w:hAnsi="Courier New"/>
      <w:szCs w:val="20"/>
      <w:lang w:val="zh-CN" w:eastAsia="zh-CN"/>
    </w:rPr>
  </w:style>
  <w:style w:type="paragraph" w:styleId="14">
    <w:name w:val="Balloon Text"/>
    <w:basedOn w:val="1"/>
    <w:link w:val="37"/>
    <w:qFormat/>
    <w:uiPriority w:val="0"/>
    <w:rPr>
      <w:sz w:val="18"/>
      <w:szCs w:val="18"/>
      <w:lang w:val="zh-CN" w:eastAsia="zh-CN"/>
    </w:rPr>
  </w:style>
  <w:style w:type="paragraph" w:styleId="15">
    <w:name w:val="footer"/>
    <w:basedOn w:val="1"/>
    <w:link w:val="38"/>
    <w:qFormat/>
    <w:uiPriority w:val="0"/>
    <w:pPr>
      <w:tabs>
        <w:tab w:val="center" w:pos="4153"/>
        <w:tab w:val="right" w:pos="8306"/>
      </w:tabs>
      <w:snapToGrid w:val="0"/>
      <w:jc w:val="left"/>
    </w:pPr>
    <w:rPr>
      <w:sz w:val="18"/>
      <w:szCs w:val="18"/>
      <w:lang w:val="zh-CN" w:eastAsia="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qFormat/>
    <w:uiPriority w:val="0"/>
    <w:rPr>
      <w:color w:val="954F72" w:themeColor="followedHyperlink"/>
      <w:u w:val="single"/>
      <w14:textFill>
        <w14:solidFill>
          <w14:schemeClr w14:val="folHlink"/>
        </w14:solidFill>
      </w14:textFill>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0"/>
    <w:rPr>
      <w:b/>
      <w:bCs/>
      <w:kern w:val="44"/>
      <w:sz w:val="44"/>
      <w:szCs w:val="44"/>
      <w:lang w:val="zh-CN" w:eastAsia="zh-CN"/>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uiPriority w:val="0"/>
    <w:rPr>
      <w:b/>
      <w:bCs/>
      <w:kern w:val="2"/>
      <w:sz w:val="30"/>
      <w:szCs w:val="30"/>
    </w:rPr>
  </w:style>
  <w:style w:type="character" w:customStyle="1" w:styleId="28">
    <w:name w:val="标题 4 字符"/>
    <w:link w:val="5"/>
    <w:qFormat/>
    <w:uiPriority w:val="0"/>
    <w:rPr>
      <w:rFonts w:ascii="宋体" w:hAnsi="宋体"/>
      <w:b/>
      <w:bCs/>
      <w:kern w:val="2"/>
      <w:sz w:val="28"/>
      <w:szCs w:val="28"/>
      <w:lang w:val="zh-CN" w:eastAsia="zh-CN"/>
    </w:rPr>
  </w:style>
  <w:style w:type="character" w:customStyle="1" w:styleId="29">
    <w:name w:val="标题 5 字符"/>
    <w:link w:val="6"/>
    <w:qFormat/>
    <w:uiPriority w:val="0"/>
    <w:rPr>
      <w:b/>
      <w:bCs/>
      <w:kern w:val="2"/>
      <w:sz w:val="28"/>
      <w:szCs w:val="28"/>
      <w:lang w:val="zh-CN" w:eastAsia="zh-CN"/>
    </w:rPr>
  </w:style>
  <w:style w:type="character" w:customStyle="1" w:styleId="30">
    <w:name w:val="标题 6 字符"/>
    <w:link w:val="7"/>
    <w:qFormat/>
    <w:uiPriority w:val="0"/>
    <w:rPr>
      <w:rFonts w:ascii="等线 Light" w:hAnsi="等线 Light" w:eastAsia="等线 Light"/>
      <w:b/>
      <w:bCs/>
      <w:kern w:val="2"/>
      <w:sz w:val="24"/>
      <w:szCs w:val="24"/>
      <w:lang w:val="zh-CN" w:eastAsia="zh-CN"/>
    </w:rPr>
  </w:style>
  <w:style w:type="character" w:customStyle="1" w:styleId="31">
    <w:name w:val="标题 7 字符"/>
    <w:link w:val="8"/>
    <w:qFormat/>
    <w:uiPriority w:val="0"/>
    <w:rPr>
      <w:b/>
      <w:bCs/>
      <w:kern w:val="2"/>
      <w:sz w:val="24"/>
      <w:szCs w:val="24"/>
      <w:lang w:val="zh-CN" w:eastAsia="zh-CN"/>
    </w:rPr>
  </w:style>
  <w:style w:type="character" w:customStyle="1" w:styleId="32">
    <w:name w:val="标题 8 字符"/>
    <w:link w:val="9"/>
    <w:qFormat/>
    <w:uiPriority w:val="0"/>
    <w:rPr>
      <w:rFonts w:ascii="等线 Light" w:hAnsi="等线 Light" w:eastAsia="等线 Light"/>
      <w:kern w:val="2"/>
      <w:sz w:val="24"/>
      <w:szCs w:val="24"/>
      <w:lang w:val="zh-CN" w:eastAsia="zh-CN"/>
    </w:rPr>
  </w:style>
  <w:style w:type="character" w:customStyle="1" w:styleId="33">
    <w:name w:val="标题 9 字符"/>
    <w:link w:val="10"/>
    <w:qFormat/>
    <w:uiPriority w:val="0"/>
    <w:rPr>
      <w:rFonts w:ascii="等线 Light" w:hAnsi="等线 Light" w:eastAsia="等线 Light"/>
      <w:kern w:val="2"/>
      <w:sz w:val="21"/>
      <w:szCs w:val="21"/>
      <w:lang w:val="zh-CN" w:eastAsia="zh-CN"/>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qFormat/>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259</Words>
  <Characters>1479</Characters>
  <Lines>12</Lines>
  <Paragraphs>3</Paragraphs>
  <TotalTime>1364</TotalTime>
  <ScaleCrop>false</ScaleCrop>
  <LinksUpToDate>false</LinksUpToDate>
  <CharactersWithSpaces>1735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Ben</cp:lastModifiedBy>
  <dcterms:modified xsi:type="dcterms:W3CDTF">2023-10-08T08:52:48Z</dcterms:modified>
  <dc:title>1</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E6BF652D54F944798887341195E59480</vt:lpwstr>
  </property>
</Properties>
</file>