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4" w:beforeLines="200" w:after="312" w:afterLines="100" w:line="360" w:lineRule="auto"/>
        <w:jc w:val="center"/>
        <w:rPr>
          <w:rFonts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</w:rPr>
        <w:t>药品价格公示终端采购项目需求</w:t>
      </w:r>
    </w:p>
    <w:p>
      <w:pPr>
        <w:pStyle w:val="2"/>
        <w:numPr>
          <w:ilvl w:val="0"/>
          <w:numId w:val="3"/>
        </w:numPr>
        <w:spacing w:before="0" w:after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</w:t>
      </w:r>
    </w:p>
    <w:p>
      <w:pPr>
        <w:spacing w:line="360" w:lineRule="auto"/>
        <w:ind w:left="432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项目名称：药品价格公示终端采购项目</w:t>
      </w:r>
    </w:p>
    <w:p>
      <w:pPr>
        <w:spacing w:line="360" w:lineRule="auto"/>
        <w:ind w:left="432"/>
        <w:rPr>
          <w:rFonts w:ascii="仿宋" w:hAnsi="仿宋" w:eastAsia="仿宋"/>
          <w:sz w:val="22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采购清单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采购设备及数量如下：</w:t>
      </w:r>
    </w:p>
    <w:tbl>
      <w:tblPr>
        <w:tblStyle w:val="1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3180"/>
        <w:gridCol w:w="4228"/>
        <w:gridCol w:w="9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序号</w:t>
            </w:r>
          </w:p>
        </w:tc>
        <w:tc>
          <w:tcPr>
            <w:tcW w:w="3180" w:type="dxa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名称</w:t>
            </w:r>
          </w:p>
        </w:tc>
        <w:tc>
          <w:tcPr>
            <w:tcW w:w="4228" w:type="dxa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配置描述</w:t>
            </w:r>
          </w:p>
        </w:tc>
        <w:tc>
          <w:tcPr>
            <w:tcW w:w="985" w:type="dxa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</w:t>
            </w:r>
          </w:p>
        </w:tc>
        <w:tc>
          <w:tcPr>
            <w:tcW w:w="3180" w:type="dxa"/>
            <w:vAlign w:val="bottom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</w:rPr>
              <w:t>信息发布</w:t>
            </w:r>
            <w:r>
              <w:rPr>
                <w:rFonts w:hint="eastAsia" w:ascii="仿宋" w:hAnsi="仿宋" w:eastAsia="仿宋"/>
                <w:lang w:val="en-US" w:eastAsia="zh-CN"/>
              </w:rPr>
              <w:t>盒子</w:t>
            </w:r>
          </w:p>
        </w:tc>
        <w:tc>
          <w:tcPr>
            <w:tcW w:w="4228" w:type="dxa"/>
          </w:tcPr>
          <w:p>
            <w:pPr>
              <w:rPr>
                <w:rStyle w:val="23"/>
                <w:rFonts w:ascii="仿宋" w:hAnsi="仿宋" w:eastAsia="仿宋"/>
              </w:rPr>
            </w:pPr>
            <w:r>
              <w:fldChar w:fldCharType="begin"/>
            </w:r>
            <w:r>
              <w:instrText xml:space="preserve"> HYPERLINK \l "_6.1.1、大数据服务器" </w:instrText>
            </w:r>
            <w:r>
              <w:fldChar w:fldCharType="separate"/>
            </w:r>
            <w:r>
              <w:rPr>
                <w:rStyle w:val="23"/>
                <w:rFonts w:hint="eastAsia" w:ascii="仿宋" w:hAnsi="仿宋" w:eastAsia="仿宋"/>
              </w:rPr>
              <w:t>配置详见3</w:t>
            </w:r>
            <w:r>
              <w:rPr>
                <w:rStyle w:val="23"/>
                <w:rFonts w:ascii="仿宋" w:hAnsi="仿宋" w:eastAsia="仿宋"/>
              </w:rPr>
              <w:t>.</w:t>
            </w:r>
            <w:r>
              <w:rPr>
                <w:rStyle w:val="23"/>
                <w:rFonts w:hint="eastAsia" w:ascii="仿宋" w:hAnsi="仿宋" w:eastAsia="仿宋"/>
              </w:rPr>
              <w:t>1.1、信息发布</w:t>
            </w:r>
            <w:r>
              <w:rPr>
                <w:rStyle w:val="23"/>
                <w:rFonts w:hint="eastAsia" w:ascii="仿宋" w:hAnsi="仿宋" w:eastAsia="仿宋"/>
                <w:lang w:val="en-US" w:eastAsia="zh-CN"/>
              </w:rPr>
              <w:t>盒子</w:t>
            </w:r>
            <w:r>
              <w:rPr>
                <w:rStyle w:val="23"/>
                <w:rFonts w:hint="eastAsia" w:ascii="仿宋" w:hAnsi="仿宋" w:eastAsia="仿宋"/>
              </w:rPr>
              <w:fldChar w:fldCharType="end"/>
            </w:r>
          </w:p>
        </w:tc>
        <w:tc>
          <w:tcPr>
            <w:tcW w:w="9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3180" w:type="dxa"/>
            <w:vAlign w:val="bottom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数据接口软件</w:t>
            </w:r>
          </w:p>
        </w:tc>
        <w:tc>
          <w:tcPr>
            <w:tcW w:w="4228" w:type="dxa"/>
          </w:tcPr>
          <w:p>
            <w:pPr>
              <w:rPr>
                <w:rStyle w:val="23"/>
                <w:rFonts w:ascii="仿宋" w:hAnsi="仿宋" w:eastAsia="仿宋"/>
              </w:rPr>
            </w:pPr>
            <w:r>
              <w:fldChar w:fldCharType="begin"/>
            </w:r>
            <w:r>
              <w:instrText xml:space="preserve"> HYPERLINK \l "_6.1.1、大数据服务器" </w:instrText>
            </w:r>
            <w:r>
              <w:fldChar w:fldCharType="separate"/>
            </w:r>
            <w:r>
              <w:rPr>
                <w:rStyle w:val="23"/>
                <w:rFonts w:hint="eastAsia" w:ascii="仿宋" w:hAnsi="仿宋" w:eastAsia="仿宋"/>
              </w:rPr>
              <w:t>配置详见3</w:t>
            </w:r>
            <w:r>
              <w:rPr>
                <w:rStyle w:val="23"/>
                <w:rFonts w:ascii="仿宋" w:hAnsi="仿宋" w:eastAsia="仿宋"/>
              </w:rPr>
              <w:t>.</w:t>
            </w:r>
            <w:r>
              <w:rPr>
                <w:rStyle w:val="23"/>
                <w:rFonts w:hint="eastAsia" w:ascii="仿宋" w:hAnsi="仿宋" w:eastAsia="仿宋"/>
              </w:rPr>
              <w:t>1.</w:t>
            </w:r>
            <w:r>
              <w:rPr>
                <w:rStyle w:val="23"/>
                <w:rFonts w:ascii="仿宋" w:hAnsi="仿宋" w:eastAsia="仿宋"/>
              </w:rPr>
              <w:t>2</w:t>
            </w:r>
            <w:r>
              <w:rPr>
                <w:rStyle w:val="23"/>
                <w:rFonts w:hint="eastAsia" w:ascii="仿宋" w:hAnsi="仿宋" w:eastAsia="仿宋"/>
              </w:rPr>
              <w:t>、数据接口软件</w:t>
            </w:r>
            <w:r>
              <w:rPr>
                <w:rStyle w:val="23"/>
                <w:rFonts w:hint="eastAsia" w:ascii="仿宋" w:hAnsi="仿宋" w:eastAsia="仿宋"/>
              </w:rPr>
              <w:fldChar w:fldCharType="end"/>
            </w:r>
          </w:p>
        </w:tc>
        <w:tc>
          <w:tcPr>
            <w:tcW w:w="985" w:type="dxa"/>
          </w:tcPr>
          <w:p>
            <w:pPr>
              <w:jc w:val="center"/>
            </w:pPr>
            <w:r>
              <w:rPr>
                <w:rFonts w:ascii="仿宋" w:hAnsi="仿宋" w:eastAsia="仿宋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</w:t>
            </w:r>
          </w:p>
        </w:tc>
        <w:tc>
          <w:tcPr>
            <w:tcW w:w="3180" w:type="dxa"/>
            <w:vAlign w:val="bottom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65寸数字标牌</w:t>
            </w:r>
          </w:p>
        </w:tc>
        <w:tc>
          <w:tcPr>
            <w:tcW w:w="4228" w:type="dxa"/>
          </w:tcPr>
          <w:p>
            <w:pPr>
              <w:rPr>
                <w:rStyle w:val="23"/>
                <w:rFonts w:ascii="仿宋" w:hAnsi="仿宋" w:eastAsia="仿宋"/>
              </w:rPr>
            </w:pPr>
            <w:r>
              <w:fldChar w:fldCharType="begin"/>
            </w:r>
            <w:r>
              <w:instrText xml:space="preserve"> HYPERLINK \l "_6.1.1、大数据服务器" </w:instrText>
            </w:r>
            <w:r>
              <w:fldChar w:fldCharType="separate"/>
            </w:r>
            <w:r>
              <w:rPr>
                <w:rStyle w:val="23"/>
                <w:rFonts w:hint="eastAsia" w:ascii="仿宋" w:hAnsi="仿宋" w:eastAsia="仿宋"/>
              </w:rPr>
              <w:t>配置详见3</w:t>
            </w:r>
            <w:r>
              <w:rPr>
                <w:rStyle w:val="23"/>
                <w:rFonts w:ascii="仿宋" w:hAnsi="仿宋" w:eastAsia="仿宋"/>
              </w:rPr>
              <w:t>.</w:t>
            </w:r>
            <w:r>
              <w:rPr>
                <w:rStyle w:val="23"/>
                <w:rFonts w:hint="eastAsia" w:ascii="仿宋" w:hAnsi="仿宋" w:eastAsia="仿宋"/>
              </w:rPr>
              <w:t>1.</w:t>
            </w:r>
            <w:r>
              <w:rPr>
                <w:rStyle w:val="23"/>
                <w:rFonts w:ascii="仿宋" w:hAnsi="仿宋" w:eastAsia="仿宋"/>
              </w:rPr>
              <w:t>3</w:t>
            </w:r>
            <w:r>
              <w:rPr>
                <w:rStyle w:val="23"/>
                <w:rFonts w:hint="eastAsia" w:ascii="仿宋" w:hAnsi="仿宋" w:eastAsia="仿宋"/>
              </w:rPr>
              <w:t>、6</w:t>
            </w:r>
            <w:r>
              <w:rPr>
                <w:rStyle w:val="23"/>
                <w:rFonts w:ascii="仿宋" w:hAnsi="仿宋" w:eastAsia="仿宋"/>
              </w:rPr>
              <w:t>5</w:t>
            </w:r>
            <w:r>
              <w:rPr>
                <w:rStyle w:val="23"/>
                <w:rFonts w:hint="eastAsia" w:ascii="仿宋" w:hAnsi="仿宋" w:eastAsia="仿宋"/>
              </w:rPr>
              <w:t>寸数字标牌</w:t>
            </w:r>
            <w:r>
              <w:rPr>
                <w:rStyle w:val="23"/>
                <w:rFonts w:hint="eastAsia" w:ascii="仿宋" w:hAnsi="仿宋" w:eastAsia="仿宋"/>
              </w:rPr>
              <w:fldChar w:fldCharType="end"/>
            </w:r>
          </w:p>
        </w:tc>
        <w:tc>
          <w:tcPr>
            <w:tcW w:w="985" w:type="dxa"/>
          </w:tcPr>
          <w:p>
            <w:pPr>
              <w:jc w:val="center"/>
            </w:pPr>
            <w:r>
              <w:rPr>
                <w:rFonts w:ascii="仿宋" w:hAnsi="仿宋" w:eastAsia="仿宋"/>
              </w:rPr>
              <w:t>1</w:t>
            </w:r>
          </w:p>
        </w:tc>
      </w:tr>
    </w:tbl>
    <w:p>
      <w:pPr>
        <w:pStyle w:val="49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仿宋" w:hAnsi="仿宋" w:eastAsia="仿宋"/>
          <w:b/>
          <w:bCs/>
          <w:vanish/>
          <w:kern w:val="44"/>
          <w:sz w:val="44"/>
          <w:szCs w:val="44"/>
        </w:rPr>
      </w:pPr>
    </w:p>
    <w:p>
      <w:pPr>
        <w:pStyle w:val="49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仿宋" w:hAnsi="仿宋" w:eastAsia="仿宋"/>
          <w:b/>
          <w:bCs/>
          <w:vanish/>
          <w:kern w:val="44"/>
          <w:sz w:val="44"/>
          <w:szCs w:val="44"/>
        </w:rPr>
      </w:pPr>
    </w:p>
    <w:p>
      <w:pPr>
        <w:pStyle w:val="49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仿宋" w:hAnsi="仿宋" w:eastAsia="仿宋"/>
          <w:b/>
          <w:bCs/>
          <w:vanish/>
          <w:kern w:val="44"/>
          <w:sz w:val="44"/>
          <w:szCs w:val="44"/>
        </w:rPr>
      </w:pPr>
    </w:p>
    <w:p>
      <w:pPr>
        <w:pStyle w:val="49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仿宋" w:hAnsi="仿宋" w:eastAsia="仿宋"/>
          <w:b/>
          <w:bCs/>
          <w:vanish/>
          <w:kern w:val="44"/>
          <w:sz w:val="44"/>
          <w:szCs w:val="44"/>
        </w:rPr>
      </w:pPr>
    </w:p>
    <w:p>
      <w:pPr>
        <w:pStyle w:val="2"/>
        <w:numPr>
          <w:ilvl w:val="0"/>
          <w:numId w:val="0"/>
        </w:numPr>
        <w:spacing w:before="0" w:after="0"/>
        <w:ind w:left="432"/>
        <w:rPr>
          <w:rFonts w:ascii="仿宋" w:hAnsi="仿宋" w:eastAsia="仿宋"/>
          <w:sz w:val="28"/>
          <w:szCs w:val="32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="仿宋" w:hAnsi="仿宋" w:eastAsia="仿宋"/>
          <w:sz w:val="32"/>
          <w:szCs w:val="32"/>
        </w:rPr>
      </w:pPr>
      <w:bookmarkStart w:id="2" w:name="_GoBack"/>
      <w:bookmarkEnd w:id="2"/>
      <w:r>
        <w:rPr>
          <w:rFonts w:hint="eastAsia" w:ascii="仿宋" w:hAnsi="仿宋" w:eastAsia="仿宋"/>
          <w:sz w:val="32"/>
          <w:szCs w:val="32"/>
        </w:rPr>
        <w:t>详细</w:t>
      </w:r>
      <w:r>
        <w:rPr>
          <w:rFonts w:hint="eastAsia" w:ascii="仿宋" w:hAnsi="仿宋" w:eastAsia="仿宋"/>
          <w:sz w:val="32"/>
          <w:szCs w:val="32"/>
          <w:lang w:eastAsia="zh-CN"/>
        </w:rPr>
        <w:t>配置参数</w:t>
      </w:r>
    </w:p>
    <w:p>
      <w:pPr>
        <w:pStyle w:val="3"/>
        <w:spacing w:before="0" w:after="0" w:line="276" w:lineRule="auto"/>
        <w:rPr>
          <w:rFonts w:ascii="仿宋" w:hAnsi="仿宋" w:eastAsia="仿宋"/>
          <w:sz w:val="21"/>
          <w:szCs w:val="21"/>
        </w:rPr>
      </w:pPr>
      <w:bookmarkStart w:id="0" w:name="_6.1.1、大数据服务器"/>
      <w:bookmarkEnd w:id="0"/>
      <w:r>
        <w:rPr>
          <w:rFonts w:ascii="仿宋" w:hAnsi="仿宋" w:eastAsia="仿宋"/>
          <w:sz w:val="21"/>
          <w:szCs w:val="21"/>
        </w:rPr>
        <w:t>3.1.1</w:t>
      </w:r>
      <w:r>
        <w:rPr>
          <w:rFonts w:hint="eastAsia" w:ascii="仿宋" w:hAnsi="仿宋" w:eastAsia="仿宋"/>
          <w:sz w:val="21"/>
          <w:szCs w:val="21"/>
        </w:rPr>
        <w:t>、</w:t>
      </w:r>
      <w:r>
        <w:rPr>
          <w:rFonts w:hint="eastAsia" w:ascii="仿宋" w:hAnsi="仿宋" w:eastAsia="仿宋"/>
          <w:sz w:val="21"/>
          <w:szCs w:val="24"/>
          <w:lang w:val="en-US" w:eastAsia="zh-CN"/>
        </w:rPr>
        <w:t>信息发布盒子</w:t>
      </w:r>
    </w:p>
    <w:tbl>
      <w:tblPr>
        <w:tblStyle w:val="1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7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41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指标要求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rPr>
                <w:rFonts w:hint="eastAsia" w:ascii="仿宋" w:hAnsi="仿宋" w:eastAsia="仿宋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</w:rPr>
              <w:t>信息发布</w:t>
            </w:r>
            <w:r>
              <w:rPr>
                <w:rFonts w:hint="eastAsia" w:ascii="仿宋" w:hAnsi="仿宋" w:eastAsia="仿宋"/>
                <w:lang w:val="en-US" w:eastAsia="zh-CN"/>
              </w:rPr>
              <w:t>盒子</w:t>
            </w:r>
          </w:p>
        </w:tc>
        <w:tc>
          <w:tcPr>
            <w:tcW w:w="4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</w:rPr>
              <w:t>软件需部署在信息发布服务器硬件上，包含设备注册和分组管理、素材上传和分类、节目内容编辑、节目播放排期、内容审核、用户权限管理等功能</w:t>
            </w:r>
          </w:p>
        </w:tc>
      </w:tr>
    </w:tbl>
    <w:p>
      <w:pPr>
        <w:rPr>
          <w:lang w:val="zh-CN" w:eastAsia="zh-CN"/>
        </w:rPr>
      </w:pPr>
      <w:bookmarkStart w:id="1" w:name="_6.1.2、容器服务器"/>
      <w:bookmarkEnd w:id="1"/>
    </w:p>
    <w:p>
      <w:pPr>
        <w:pStyle w:val="3"/>
        <w:spacing w:before="0" w:after="0" w:line="276" w:lineRule="auto"/>
        <w:rPr>
          <w:rFonts w:ascii="仿宋" w:hAnsi="仿宋" w:eastAsia="仿宋"/>
          <w:sz w:val="21"/>
          <w:szCs w:val="21"/>
        </w:rPr>
      </w:pPr>
      <w:r>
        <w:rPr>
          <w:rFonts w:ascii="仿宋" w:hAnsi="仿宋" w:eastAsia="仿宋"/>
          <w:sz w:val="21"/>
          <w:szCs w:val="21"/>
        </w:rPr>
        <w:t>3.1.2</w:t>
      </w:r>
      <w:r>
        <w:rPr>
          <w:rFonts w:hint="eastAsia" w:ascii="仿宋" w:hAnsi="仿宋" w:eastAsia="仿宋"/>
          <w:sz w:val="21"/>
          <w:szCs w:val="21"/>
        </w:rPr>
        <w:t>、</w:t>
      </w:r>
      <w:r>
        <w:rPr>
          <w:rFonts w:hint="eastAsia" w:ascii="仿宋" w:hAnsi="仿宋" w:eastAsia="仿宋"/>
          <w:sz w:val="21"/>
          <w:szCs w:val="24"/>
          <w:lang w:val="en-US" w:eastAsia="zh-CN"/>
        </w:rPr>
        <w:t>数据接口软件</w:t>
      </w:r>
    </w:p>
    <w:tbl>
      <w:tblPr>
        <w:tblStyle w:val="1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7693"/>
      </w:tblGrid>
      <w:tr>
        <w:trPr>
          <w:trHeight w:val="320" w:hRule="atLeast"/>
        </w:trPr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41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指标要求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</w:rPr>
              <w:t>数据接口软件</w:t>
            </w:r>
          </w:p>
        </w:tc>
        <w:tc>
          <w:tcPr>
            <w:tcW w:w="4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用于与第三方系统的数据交互同步，为业务系统提供运行所需要的数据支持</w:t>
            </w:r>
          </w:p>
        </w:tc>
      </w:tr>
    </w:tbl>
    <w:p>
      <w:pPr>
        <w:spacing w:line="276" w:lineRule="auto"/>
        <w:rPr>
          <w:rFonts w:ascii="仿宋" w:hAnsi="仿宋" w:eastAsia="仿宋"/>
          <w:szCs w:val="21"/>
          <w:lang w:val="zh-CN" w:eastAsia="zh-CN"/>
        </w:rPr>
      </w:pPr>
    </w:p>
    <w:p>
      <w:pPr>
        <w:pStyle w:val="3"/>
        <w:spacing w:before="0" w:after="0" w:line="276" w:lineRule="auto"/>
        <w:rPr>
          <w:rFonts w:ascii="仿宋" w:hAnsi="仿宋" w:eastAsia="仿宋"/>
          <w:sz w:val="21"/>
          <w:szCs w:val="21"/>
        </w:rPr>
      </w:pPr>
      <w:r>
        <w:rPr>
          <w:rFonts w:ascii="仿宋" w:hAnsi="仿宋" w:eastAsia="仿宋"/>
          <w:sz w:val="21"/>
          <w:szCs w:val="21"/>
        </w:rPr>
        <w:t>3.1.3</w:t>
      </w:r>
      <w:r>
        <w:rPr>
          <w:rFonts w:hint="eastAsia" w:ascii="仿宋" w:hAnsi="仿宋" w:eastAsia="仿宋"/>
          <w:sz w:val="21"/>
          <w:szCs w:val="21"/>
        </w:rPr>
        <w:t>、</w:t>
      </w:r>
      <w:r>
        <w:rPr>
          <w:rFonts w:hint="eastAsia" w:ascii="仿宋" w:hAnsi="仿宋" w:eastAsia="仿宋"/>
          <w:sz w:val="21"/>
          <w:szCs w:val="24"/>
          <w:lang w:val="en-US" w:eastAsia="zh-CN"/>
        </w:rPr>
        <w:t>65寸数字标牌</w:t>
      </w:r>
    </w:p>
    <w:tbl>
      <w:tblPr>
        <w:tblStyle w:val="1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7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41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指标要求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</w:rPr>
              <w:t>65寸数字标牌</w:t>
            </w:r>
          </w:p>
        </w:tc>
        <w:tc>
          <w:tcPr>
            <w:tcW w:w="4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44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面板技术：LED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44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工作分辨率：1920 x 1080p (向下兼容)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44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亮度：300cd/㎡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44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对比度：3000:1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44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色彩度：10.7亿</w:t>
            </w:r>
          </w:p>
          <w:p>
            <w:pPr>
              <w:widowControl/>
              <w:numPr>
                <w:ilvl w:val="0"/>
                <w:numId w:val="4"/>
              </w:numPr>
              <w:spacing w:line="4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刷新率：50HZ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44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可视角度：178/178°</w:t>
            </w:r>
          </w:p>
          <w:p>
            <w:pPr>
              <w:widowControl/>
              <w:numPr>
                <w:ilvl w:val="0"/>
                <w:numId w:val="4"/>
              </w:numPr>
              <w:spacing w:line="4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配置：i3 HDD 120G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4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信号接口：HDMI/DVI x1, USB x2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4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外观设计：黑色</w:t>
            </w:r>
          </w:p>
          <w:p>
            <w:pPr>
              <w:pStyle w:val="49"/>
              <w:numPr>
                <w:ilvl w:val="0"/>
                <w:numId w:val="4"/>
              </w:numPr>
              <w:spacing w:line="440" w:lineRule="exact"/>
              <w:ind w:firstLineChars="0"/>
              <w:rPr>
                <w:rFonts w:ascii="仿宋" w:hAnsi="仿宋" w:eastAsia="仿宋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>安装方式：壁挂式</w:t>
            </w:r>
          </w:p>
          <w:p>
            <w:pPr>
              <w:pStyle w:val="49"/>
              <w:numPr>
                <w:ilvl w:val="0"/>
                <w:numId w:val="4"/>
              </w:numPr>
              <w:spacing w:line="440" w:lineRule="exact"/>
              <w:ind w:firstLineChars="0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>电源性能：100-240V交流，50/60Hz</w:t>
            </w:r>
          </w:p>
        </w:tc>
      </w:tr>
    </w:tbl>
    <w:p>
      <w:pPr>
        <w:tabs>
          <w:tab w:val="left" w:pos="780"/>
        </w:tabs>
        <w:spacing w:before="156" w:beforeLines="50" w:line="360" w:lineRule="auto"/>
        <w:outlineLvl w:val="0"/>
        <w:rPr>
          <w:rFonts w:hint="eastAsia" w:ascii="仿宋" w:hAnsi="仿宋" w:eastAsia="仿宋" w:cs="宋体"/>
          <w:szCs w:val="21"/>
          <w:lang w:val="zh-CN"/>
        </w:rPr>
      </w:pP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（一）货物为原制造商制造的全新产品，整机无污染，无侵权行为、表面无划损、无任何缺陷隐患，在中国境内可依常规安全合法使用。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（二）标准：本合同所指的货物及服务应符合合同附件的技术规格所述的标准：如果没有提及适用标准，则应符合中华人民共和国国家标准或行业标准；如果中华人民共和国没有相关标准的，则采用货物来源国适用的官方标准。这些标准必须是有关机构发布的最新版本的标准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仿宋" w:hAnsi="仿宋" w:eastAsia="仿宋" w:cs="宋体"/>
          <w:szCs w:val="21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32"/>
          <w:szCs w:val="32"/>
        </w:rPr>
        <w:t>交货</w:t>
      </w:r>
      <w:r>
        <w:rPr>
          <w:rFonts w:hint="eastAsia" w:ascii="仿宋" w:hAnsi="仿宋" w:eastAsia="仿宋"/>
          <w:sz w:val="32"/>
          <w:szCs w:val="32"/>
          <w:lang w:eastAsia="zh-CN"/>
        </w:rPr>
        <w:t>日</w:t>
      </w:r>
      <w:r>
        <w:rPr>
          <w:rFonts w:hint="eastAsia" w:ascii="仿宋" w:hAnsi="仿宋" w:eastAsia="仿宋"/>
          <w:sz w:val="32"/>
          <w:szCs w:val="32"/>
        </w:rPr>
        <w:t>期</w:t>
      </w:r>
    </w:p>
    <w:p>
      <w:pPr>
        <w:spacing w:line="360" w:lineRule="auto"/>
        <w:ind w:firstLine="525" w:firstLineChars="250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(一)供货方须在院方支付合同首款后的</w:t>
      </w:r>
      <w:r>
        <w:rPr>
          <w:rFonts w:ascii="仿宋" w:hAnsi="仿宋" w:eastAsia="仿宋" w:cs="宋体"/>
          <w:szCs w:val="21"/>
        </w:rPr>
        <w:t>7</w:t>
      </w:r>
      <w:r>
        <w:rPr>
          <w:rFonts w:hint="eastAsia" w:ascii="仿宋" w:hAnsi="仿宋" w:eastAsia="仿宋" w:cs="宋体"/>
          <w:szCs w:val="21"/>
        </w:rPr>
        <w:t>个工作日内向院方提交采购清单中的物品。</w:t>
      </w:r>
    </w:p>
    <w:p>
      <w:pPr>
        <w:spacing w:line="360" w:lineRule="auto"/>
        <w:ind w:firstLine="525" w:firstLineChars="250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(二)交货日期以货物到达院方指定货运详细地址的日期为准。</w:t>
      </w:r>
    </w:p>
    <w:p>
      <w:pPr>
        <w:spacing w:line="360" w:lineRule="auto"/>
        <w:ind w:firstLine="525" w:firstLineChars="250"/>
        <w:rPr>
          <w:rFonts w:ascii="仿宋" w:hAnsi="仿宋" w:eastAsia="仿宋" w:cs="宋体"/>
          <w:szCs w:val="21"/>
        </w:rPr>
      </w:pPr>
    </w:p>
    <w:p>
      <w:pPr>
        <w:numPr>
          <w:ilvl w:val="0"/>
          <w:numId w:val="3"/>
        </w:numPr>
        <w:rPr>
          <w:rFonts w:ascii="仿宋" w:hAnsi="仿宋" w:eastAsia="仿宋"/>
          <w:b/>
          <w:bCs/>
          <w:kern w:val="44"/>
          <w:sz w:val="32"/>
          <w:szCs w:val="32"/>
          <w:lang w:val="zh-CN" w:eastAsia="zh-CN"/>
        </w:rPr>
      </w:pPr>
      <w:r>
        <w:rPr>
          <w:rFonts w:hint="eastAsia" w:ascii="仿宋" w:hAnsi="仿宋" w:eastAsia="仿宋"/>
          <w:b/>
          <w:bCs/>
          <w:kern w:val="44"/>
          <w:sz w:val="32"/>
          <w:szCs w:val="32"/>
          <w:lang w:val="zh-CN" w:eastAsia="zh-CN"/>
        </w:rPr>
        <w:t>交货方式</w:t>
      </w:r>
    </w:p>
    <w:p>
      <w:pPr>
        <w:spacing w:line="360" w:lineRule="auto"/>
        <w:ind w:firstLine="525" w:firstLineChars="250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(一)供货方应按时将货物送至院方指定货运详细地址。</w:t>
      </w:r>
    </w:p>
    <w:p>
      <w:pPr>
        <w:spacing w:line="360" w:lineRule="auto"/>
        <w:ind w:firstLine="525" w:firstLineChars="250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(二)交货完成的有效证明：供货方送货人，必须随货物提交交货签收单给院方收货人，交货签收单必须有院方、供货方两方的签字方有效。</w:t>
      </w:r>
    </w:p>
    <w:p>
      <w:pPr>
        <w:rPr>
          <w:rFonts w:ascii="仿宋" w:hAnsi="仿宋" w:eastAsia="仿宋"/>
          <w:lang w:eastAsia="zh-CN"/>
        </w:rPr>
      </w:pPr>
    </w:p>
    <w:p>
      <w:pPr>
        <w:numPr>
          <w:ilvl w:val="0"/>
          <w:numId w:val="3"/>
        </w:numPr>
        <w:rPr>
          <w:rFonts w:ascii="仿宋" w:hAnsi="仿宋" w:eastAsia="仿宋"/>
          <w:b/>
          <w:bCs/>
          <w:kern w:val="44"/>
          <w:sz w:val="32"/>
          <w:szCs w:val="32"/>
          <w:lang w:val="zh-CN" w:eastAsia="zh-CN"/>
        </w:rPr>
      </w:pPr>
      <w:r>
        <w:rPr>
          <w:rFonts w:hint="eastAsia" w:ascii="仿宋" w:hAnsi="仿宋" w:eastAsia="仿宋"/>
          <w:b/>
          <w:bCs/>
          <w:kern w:val="44"/>
          <w:sz w:val="32"/>
          <w:szCs w:val="32"/>
          <w:lang w:val="zh-CN" w:eastAsia="zh-CN"/>
        </w:rPr>
        <w:t>安装</w:t>
      </w:r>
      <w:r>
        <w:rPr>
          <w:rFonts w:hint="eastAsia" w:ascii="仿宋" w:hAnsi="仿宋" w:eastAsia="仿宋"/>
          <w:b/>
          <w:bCs/>
          <w:kern w:val="44"/>
          <w:sz w:val="32"/>
          <w:szCs w:val="32"/>
          <w:lang w:val="zh-CN"/>
        </w:rPr>
        <w:t>要求</w:t>
      </w:r>
    </w:p>
    <w:p>
      <w:pPr>
        <w:spacing w:line="360" w:lineRule="auto"/>
        <w:ind w:firstLine="525" w:firstLineChars="250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(一)供货方负责合同项下设备的安装调试，并按院方要求，免费提供本项目下设备的搬迁工作。</w:t>
      </w:r>
    </w:p>
    <w:p>
      <w:pPr>
        <w:spacing w:line="360" w:lineRule="auto"/>
        <w:ind w:firstLine="525" w:firstLineChars="250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(二)供货方应按院方指定的安装日期、安装要求进行安装工作。</w:t>
      </w:r>
    </w:p>
    <w:p>
      <w:pPr>
        <w:spacing w:line="360" w:lineRule="auto"/>
        <w:ind w:firstLine="525" w:firstLineChars="250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(三)供货方需根据院方的详细需求，提交项目产品的安装、调试及培训实施方案，方案得到院方确认后实施，保证系统按时、正常地投入运行。</w:t>
      </w:r>
    </w:p>
    <w:p>
      <w:pPr>
        <w:spacing w:line="360" w:lineRule="auto"/>
        <w:ind w:firstLine="525" w:firstLineChars="250"/>
        <w:rPr>
          <w:rFonts w:ascii="仿宋" w:hAnsi="仿宋" w:eastAsia="仿宋" w:cs="宋体"/>
          <w:szCs w:val="21"/>
        </w:rPr>
      </w:pPr>
    </w:p>
    <w:p>
      <w:pPr>
        <w:numPr>
          <w:ilvl w:val="0"/>
          <w:numId w:val="3"/>
        </w:numPr>
        <w:rPr>
          <w:rFonts w:ascii="仿宋" w:hAnsi="仿宋" w:eastAsia="仿宋"/>
          <w:b/>
          <w:bCs/>
          <w:kern w:val="44"/>
          <w:sz w:val="32"/>
          <w:szCs w:val="32"/>
          <w:lang w:val="zh-CN" w:eastAsia="zh-CN"/>
        </w:rPr>
      </w:pPr>
      <w:r>
        <w:rPr>
          <w:rFonts w:hint="eastAsia" w:ascii="仿宋" w:hAnsi="仿宋" w:eastAsia="仿宋"/>
          <w:b/>
          <w:bCs/>
          <w:kern w:val="44"/>
          <w:sz w:val="32"/>
          <w:szCs w:val="32"/>
          <w:lang w:val="zh-CN" w:eastAsia="zh-CN"/>
        </w:rPr>
        <w:t>保修</w:t>
      </w:r>
      <w:r>
        <w:rPr>
          <w:rFonts w:hint="eastAsia" w:ascii="仿宋" w:hAnsi="仿宋" w:eastAsia="仿宋"/>
          <w:b/>
          <w:bCs/>
          <w:kern w:val="44"/>
          <w:sz w:val="32"/>
          <w:szCs w:val="32"/>
          <w:lang w:val="zh-CN"/>
        </w:rPr>
        <w:t>服务</w:t>
      </w:r>
    </w:p>
    <w:p>
      <w:pPr>
        <w:spacing w:line="360" w:lineRule="auto"/>
        <w:ind w:firstLine="525" w:firstLineChars="250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(一)整机保修；保修期自验收合格之日起计算。</w:t>
      </w:r>
    </w:p>
    <w:p>
      <w:pPr>
        <w:spacing w:line="360" w:lineRule="auto"/>
        <w:ind w:firstLine="525" w:firstLineChars="250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(二)提供</w:t>
      </w:r>
      <w:r>
        <w:rPr>
          <w:rFonts w:ascii="仿宋" w:hAnsi="仿宋" w:eastAsia="仿宋" w:cs="宋体"/>
          <w:szCs w:val="21"/>
        </w:rPr>
        <w:t>3</w:t>
      </w:r>
      <w:r>
        <w:rPr>
          <w:rFonts w:hint="eastAsia" w:ascii="仿宋" w:hAnsi="仿宋" w:eastAsia="仿宋" w:cs="宋体"/>
          <w:szCs w:val="21"/>
        </w:rPr>
        <w:t>年原厂家保修服务。</w:t>
      </w:r>
    </w:p>
    <w:p>
      <w:pPr>
        <w:spacing w:line="360" w:lineRule="auto"/>
        <w:ind w:firstLine="525" w:firstLineChars="250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(三)在免费维护期结束前，须由供货方和院方进行一次全面检查，任何缺陷必须由供货方负责修复，在修复之后，供货方应将缺陷原因、修复内容、完成修理及恢复正常的时间和日期等报告给院方，形成项目总结报告。</w:t>
      </w:r>
    </w:p>
    <w:p>
      <w:pPr>
        <w:spacing w:line="360" w:lineRule="auto"/>
        <w:ind w:firstLine="525" w:firstLineChars="250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(四)超过免费维护期的，双方另行协商签订维护合同，信息设备（产品）的维护报价不超过合同信息设备（产品）部分金额的</w:t>
      </w:r>
      <w:r>
        <w:rPr>
          <w:rFonts w:ascii="仿宋" w:hAnsi="仿宋" w:eastAsia="仿宋" w:cs="宋体"/>
          <w:szCs w:val="21"/>
        </w:rPr>
        <w:t>5</w:t>
      </w:r>
      <w:r>
        <w:rPr>
          <w:rFonts w:hint="eastAsia" w:ascii="仿宋" w:hAnsi="仿宋" w:eastAsia="仿宋" w:cs="宋体"/>
          <w:szCs w:val="21"/>
        </w:rPr>
        <w:t>%。</w:t>
      </w:r>
    </w:p>
    <w:p>
      <w:pPr>
        <w:spacing w:line="360" w:lineRule="auto"/>
        <w:ind w:firstLine="525" w:firstLineChars="250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售后服务：提供原厂家7*24小时免费维修服务。</w:t>
      </w:r>
    </w:p>
    <w:p>
      <w:pPr>
        <w:spacing w:line="360" w:lineRule="auto"/>
        <w:ind w:firstLine="525" w:firstLineChars="250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响应时间、方式：2小时内响应到院方报修处，供货方需提供备件先行服务。</w:t>
      </w:r>
    </w:p>
    <w:p>
      <w:pPr>
        <w:spacing w:line="360" w:lineRule="auto"/>
        <w:ind w:firstLine="525" w:firstLineChars="250"/>
        <w:rPr>
          <w:rFonts w:ascii="仿宋" w:hAnsi="仿宋" w:eastAsia="仿宋" w:cs="宋体"/>
          <w:szCs w:val="21"/>
        </w:rPr>
      </w:pPr>
    </w:p>
    <w:p>
      <w:pPr>
        <w:numPr>
          <w:ilvl w:val="0"/>
          <w:numId w:val="3"/>
        </w:numPr>
        <w:rPr>
          <w:rFonts w:ascii="仿宋" w:hAnsi="仿宋" w:eastAsia="仿宋"/>
          <w:b/>
          <w:bCs/>
          <w:kern w:val="44"/>
          <w:sz w:val="32"/>
          <w:szCs w:val="32"/>
          <w:lang w:val="zh-CN" w:eastAsia="zh-CN"/>
        </w:rPr>
      </w:pPr>
      <w:r>
        <w:rPr>
          <w:rFonts w:hint="eastAsia" w:ascii="仿宋" w:hAnsi="仿宋" w:eastAsia="仿宋"/>
          <w:b/>
          <w:bCs/>
          <w:kern w:val="44"/>
          <w:sz w:val="32"/>
          <w:szCs w:val="32"/>
          <w:lang w:val="zh-CN" w:eastAsia="zh-CN"/>
        </w:rPr>
        <w:t>培训</w:t>
      </w:r>
    </w:p>
    <w:p>
      <w:pPr>
        <w:spacing w:line="360" w:lineRule="auto"/>
        <w:ind w:firstLine="525" w:firstLineChars="250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供货方应为院方进行培训，包括使用培训和维护培训。</w:t>
      </w:r>
    </w:p>
    <w:p>
      <w:pPr>
        <w:spacing w:line="360" w:lineRule="auto"/>
        <w:ind w:firstLine="525" w:firstLineChars="250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供货方应提出详细的培训计划，提供培训教材。技术培训的内容必须覆盖产品的安装、日常操作和管理维护，以及基本的故障诊断与排错，并保证培训效果。</w:t>
      </w:r>
    </w:p>
    <w:p>
      <w:pPr>
        <w:spacing w:line="360" w:lineRule="auto"/>
        <w:ind w:firstLine="525" w:firstLineChars="250"/>
        <w:rPr>
          <w:rFonts w:ascii="仿宋" w:hAnsi="仿宋" w:eastAsia="仿宋" w:cs="宋体"/>
          <w:szCs w:val="21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合同款支付方式</w:t>
      </w:r>
    </w:p>
    <w:p>
      <w:pPr>
        <w:spacing w:line="360" w:lineRule="auto"/>
        <w:ind w:firstLine="420" w:firstLineChars="200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甲方将按如下方式向乙方支付合同费用：</w:t>
      </w:r>
    </w:p>
    <w:p>
      <w:pPr>
        <w:numPr>
          <w:ilvl w:val="0"/>
          <w:numId w:val="5"/>
        </w:numPr>
        <w:tabs>
          <w:tab w:val="left" w:pos="0"/>
          <w:tab w:val="left" w:pos="210"/>
        </w:tabs>
        <w:spacing w:line="360" w:lineRule="auto"/>
        <w:ind w:left="0" w:firstLine="420" w:firstLineChars="200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合同签订后，甲方在收到乙方开具相应金额正式发票后，向乙方支付合同总金额的30%。</w:t>
      </w:r>
    </w:p>
    <w:p>
      <w:pPr>
        <w:numPr>
          <w:ilvl w:val="0"/>
          <w:numId w:val="5"/>
        </w:numPr>
        <w:tabs>
          <w:tab w:val="left" w:pos="0"/>
          <w:tab w:val="left" w:pos="210"/>
        </w:tabs>
        <w:spacing w:line="360" w:lineRule="auto"/>
        <w:ind w:left="0" w:firstLine="420" w:firstLineChars="200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合同所有设备（产品）运至甲方指定货运详细地址、开箱合格运转正常，并经最终用户签字验收（加电验收），且甲方收到乙方开具相应硬件金额正式发票后，向乙方支付至硬件结算审核价的</w:t>
      </w:r>
      <w:r>
        <w:rPr>
          <w:rFonts w:ascii="仿宋" w:hAnsi="仿宋" w:eastAsia="仿宋" w:cs="宋体"/>
          <w:szCs w:val="21"/>
        </w:rPr>
        <w:t>100</w:t>
      </w:r>
      <w:r>
        <w:rPr>
          <w:rFonts w:hint="eastAsia" w:ascii="仿宋" w:hAnsi="仿宋" w:eastAsia="仿宋" w:cs="宋体"/>
          <w:szCs w:val="21"/>
        </w:rPr>
        <w:t>%。</w:t>
      </w:r>
    </w:p>
    <w:p/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  <w:lang w:val="zh-CN" w:eastAsia="zh-CN"/>
      </w:rPr>
      <w:t>1</w:t>
    </w:r>
    <w:r>
      <w:rPr>
        <w:caps/>
        <w:color w:val="5B9BD5"/>
      </w:rPr>
      <w:fldChar w:fldCharType="end"/>
    </w:r>
  </w:p>
  <w:p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2ECD1FFF"/>
    <w:multiLevelType w:val="multilevel"/>
    <w:tmpl w:val="2ECD1FFF"/>
    <w:lvl w:ilvl="0" w:tentative="0">
      <w:start w:val="1"/>
      <w:numFmt w:val="chineseCountingThousand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8"/>
      <w:numFmt w:val="japaneseCounting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6B0356"/>
    <w:multiLevelType w:val="multilevel"/>
    <w:tmpl w:val="396B035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BB3C91"/>
    <w:multiLevelType w:val="multilevel"/>
    <w:tmpl w:val="3EBB3C91"/>
    <w:lvl w:ilvl="0" w:tentative="0">
      <w:start w:val="1"/>
      <w:numFmt w:val="decimal"/>
      <w:pStyle w:val="58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1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7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6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1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5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0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4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hZWFkYzBhOTk5MTFmNWNjZjhiNmZlMWQ0NGEyNzYifQ=="/>
  </w:docVars>
  <w:rsids>
    <w:rsidRoot w:val="00303343"/>
    <w:rsid w:val="000051D2"/>
    <w:rsid w:val="000079DD"/>
    <w:rsid w:val="00012DCC"/>
    <w:rsid w:val="00016B63"/>
    <w:rsid w:val="00041752"/>
    <w:rsid w:val="0004324C"/>
    <w:rsid w:val="0004334E"/>
    <w:rsid w:val="00046B39"/>
    <w:rsid w:val="00054706"/>
    <w:rsid w:val="000612F5"/>
    <w:rsid w:val="00066DE7"/>
    <w:rsid w:val="00074EDD"/>
    <w:rsid w:val="000757C1"/>
    <w:rsid w:val="0008271F"/>
    <w:rsid w:val="00086AE0"/>
    <w:rsid w:val="0009064D"/>
    <w:rsid w:val="00090A18"/>
    <w:rsid w:val="00096532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413F"/>
    <w:rsid w:val="00135BF9"/>
    <w:rsid w:val="001365DD"/>
    <w:rsid w:val="00136606"/>
    <w:rsid w:val="00140E0C"/>
    <w:rsid w:val="0014437A"/>
    <w:rsid w:val="0015004F"/>
    <w:rsid w:val="00153AB3"/>
    <w:rsid w:val="00162D29"/>
    <w:rsid w:val="00164878"/>
    <w:rsid w:val="00164C38"/>
    <w:rsid w:val="00165091"/>
    <w:rsid w:val="00171903"/>
    <w:rsid w:val="00181223"/>
    <w:rsid w:val="0018200C"/>
    <w:rsid w:val="001833B6"/>
    <w:rsid w:val="00190CD2"/>
    <w:rsid w:val="00194BFE"/>
    <w:rsid w:val="001A22A1"/>
    <w:rsid w:val="001B36D6"/>
    <w:rsid w:val="001B4850"/>
    <w:rsid w:val="001B7966"/>
    <w:rsid w:val="001B7D79"/>
    <w:rsid w:val="001C2248"/>
    <w:rsid w:val="001C23B3"/>
    <w:rsid w:val="001C7BC6"/>
    <w:rsid w:val="001D4A68"/>
    <w:rsid w:val="001D7749"/>
    <w:rsid w:val="001E3B38"/>
    <w:rsid w:val="001F0F38"/>
    <w:rsid w:val="00200054"/>
    <w:rsid w:val="002000DE"/>
    <w:rsid w:val="00202EFF"/>
    <w:rsid w:val="00204FAB"/>
    <w:rsid w:val="0020509F"/>
    <w:rsid w:val="00207A96"/>
    <w:rsid w:val="00214A6F"/>
    <w:rsid w:val="00221F1F"/>
    <w:rsid w:val="00223E47"/>
    <w:rsid w:val="00241D77"/>
    <w:rsid w:val="00245725"/>
    <w:rsid w:val="00246092"/>
    <w:rsid w:val="002509F5"/>
    <w:rsid w:val="002535AA"/>
    <w:rsid w:val="00260E6E"/>
    <w:rsid w:val="00261CBC"/>
    <w:rsid w:val="00265DE7"/>
    <w:rsid w:val="00270260"/>
    <w:rsid w:val="002722CA"/>
    <w:rsid w:val="002834D3"/>
    <w:rsid w:val="002853BF"/>
    <w:rsid w:val="0028609C"/>
    <w:rsid w:val="00292528"/>
    <w:rsid w:val="002A01D6"/>
    <w:rsid w:val="002A4778"/>
    <w:rsid w:val="002C1296"/>
    <w:rsid w:val="002C4AA6"/>
    <w:rsid w:val="002C53D1"/>
    <w:rsid w:val="002D6BE1"/>
    <w:rsid w:val="002D6E1C"/>
    <w:rsid w:val="002E1C48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53942"/>
    <w:rsid w:val="00360458"/>
    <w:rsid w:val="00366980"/>
    <w:rsid w:val="00370A5D"/>
    <w:rsid w:val="003802E2"/>
    <w:rsid w:val="00385E95"/>
    <w:rsid w:val="00385FED"/>
    <w:rsid w:val="003942D7"/>
    <w:rsid w:val="00397B7E"/>
    <w:rsid w:val="003A7269"/>
    <w:rsid w:val="003B285A"/>
    <w:rsid w:val="003B7DE3"/>
    <w:rsid w:val="003C0FB7"/>
    <w:rsid w:val="003C6D81"/>
    <w:rsid w:val="003D0F80"/>
    <w:rsid w:val="003D2595"/>
    <w:rsid w:val="003E7083"/>
    <w:rsid w:val="003F629F"/>
    <w:rsid w:val="00403938"/>
    <w:rsid w:val="00405AA9"/>
    <w:rsid w:val="00413DA3"/>
    <w:rsid w:val="00414171"/>
    <w:rsid w:val="0041787F"/>
    <w:rsid w:val="00423450"/>
    <w:rsid w:val="0042702D"/>
    <w:rsid w:val="00433136"/>
    <w:rsid w:val="00435C81"/>
    <w:rsid w:val="0044060A"/>
    <w:rsid w:val="00440F72"/>
    <w:rsid w:val="004565AA"/>
    <w:rsid w:val="00456A2C"/>
    <w:rsid w:val="004630DC"/>
    <w:rsid w:val="00474AE0"/>
    <w:rsid w:val="0047796F"/>
    <w:rsid w:val="004808AF"/>
    <w:rsid w:val="00482931"/>
    <w:rsid w:val="00495574"/>
    <w:rsid w:val="004A44FF"/>
    <w:rsid w:val="004B23AF"/>
    <w:rsid w:val="004C2C5B"/>
    <w:rsid w:val="004D08F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16D"/>
    <w:rsid w:val="005A4D1C"/>
    <w:rsid w:val="005B046D"/>
    <w:rsid w:val="005B1692"/>
    <w:rsid w:val="005B33AE"/>
    <w:rsid w:val="005C49D7"/>
    <w:rsid w:val="005C5BB2"/>
    <w:rsid w:val="005C60FB"/>
    <w:rsid w:val="005C7EF5"/>
    <w:rsid w:val="005D1C7F"/>
    <w:rsid w:val="005D2402"/>
    <w:rsid w:val="005D2BF6"/>
    <w:rsid w:val="005E17A1"/>
    <w:rsid w:val="005E7C53"/>
    <w:rsid w:val="005F0356"/>
    <w:rsid w:val="005F73BC"/>
    <w:rsid w:val="00600923"/>
    <w:rsid w:val="006053FC"/>
    <w:rsid w:val="006067C8"/>
    <w:rsid w:val="00612F3F"/>
    <w:rsid w:val="00620E68"/>
    <w:rsid w:val="0062107F"/>
    <w:rsid w:val="00623637"/>
    <w:rsid w:val="006279C6"/>
    <w:rsid w:val="006344BA"/>
    <w:rsid w:val="00644B74"/>
    <w:rsid w:val="00644F1D"/>
    <w:rsid w:val="00646B59"/>
    <w:rsid w:val="006604C2"/>
    <w:rsid w:val="0068073E"/>
    <w:rsid w:val="006861F5"/>
    <w:rsid w:val="00686DB6"/>
    <w:rsid w:val="00697FBB"/>
    <w:rsid w:val="006B2085"/>
    <w:rsid w:val="006B21B8"/>
    <w:rsid w:val="006B3754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A5027"/>
    <w:rsid w:val="007C0A5B"/>
    <w:rsid w:val="007D22AB"/>
    <w:rsid w:val="007E71E6"/>
    <w:rsid w:val="007F5726"/>
    <w:rsid w:val="008100F3"/>
    <w:rsid w:val="008168FB"/>
    <w:rsid w:val="0081766B"/>
    <w:rsid w:val="00821CA9"/>
    <w:rsid w:val="00822BA6"/>
    <w:rsid w:val="008334AC"/>
    <w:rsid w:val="008419E9"/>
    <w:rsid w:val="008548FB"/>
    <w:rsid w:val="008623FD"/>
    <w:rsid w:val="00863E39"/>
    <w:rsid w:val="008643D4"/>
    <w:rsid w:val="00866774"/>
    <w:rsid w:val="00873B97"/>
    <w:rsid w:val="0089712C"/>
    <w:rsid w:val="008A62AC"/>
    <w:rsid w:val="008B2206"/>
    <w:rsid w:val="008C255D"/>
    <w:rsid w:val="008D3291"/>
    <w:rsid w:val="008D41CA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AC4"/>
    <w:rsid w:val="00905FFA"/>
    <w:rsid w:val="0092017A"/>
    <w:rsid w:val="00922032"/>
    <w:rsid w:val="00925C23"/>
    <w:rsid w:val="00927E08"/>
    <w:rsid w:val="009303FA"/>
    <w:rsid w:val="00932A85"/>
    <w:rsid w:val="00941F0C"/>
    <w:rsid w:val="00943004"/>
    <w:rsid w:val="00953807"/>
    <w:rsid w:val="00963F1D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C1F02"/>
    <w:rsid w:val="009C3783"/>
    <w:rsid w:val="009C4E7E"/>
    <w:rsid w:val="009D128E"/>
    <w:rsid w:val="009D6951"/>
    <w:rsid w:val="009D7DD1"/>
    <w:rsid w:val="009E0351"/>
    <w:rsid w:val="009E214B"/>
    <w:rsid w:val="009E53AF"/>
    <w:rsid w:val="009F0270"/>
    <w:rsid w:val="009F4D37"/>
    <w:rsid w:val="009F61FA"/>
    <w:rsid w:val="00A05796"/>
    <w:rsid w:val="00A13CB0"/>
    <w:rsid w:val="00A14FD8"/>
    <w:rsid w:val="00A22CA1"/>
    <w:rsid w:val="00A342C6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A31D6"/>
    <w:rsid w:val="00AB348F"/>
    <w:rsid w:val="00AB7D36"/>
    <w:rsid w:val="00AC1390"/>
    <w:rsid w:val="00AC4663"/>
    <w:rsid w:val="00AD26C4"/>
    <w:rsid w:val="00AE1DD2"/>
    <w:rsid w:val="00AE4106"/>
    <w:rsid w:val="00B0485B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0A2C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0FF4"/>
    <w:rsid w:val="00BB2B54"/>
    <w:rsid w:val="00BC3CA1"/>
    <w:rsid w:val="00BC49E5"/>
    <w:rsid w:val="00BC6DB1"/>
    <w:rsid w:val="00BD3194"/>
    <w:rsid w:val="00BD5FA8"/>
    <w:rsid w:val="00BE23E5"/>
    <w:rsid w:val="00BE31E6"/>
    <w:rsid w:val="00BE34D2"/>
    <w:rsid w:val="00BF757E"/>
    <w:rsid w:val="00BF7C0E"/>
    <w:rsid w:val="00BF7F5A"/>
    <w:rsid w:val="00C07EB0"/>
    <w:rsid w:val="00C17719"/>
    <w:rsid w:val="00C20730"/>
    <w:rsid w:val="00C2470A"/>
    <w:rsid w:val="00C26272"/>
    <w:rsid w:val="00C335D8"/>
    <w:rsid w:val="00C47616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03A"/>
    <w:rsid w:val="00C92EAA"/>
    <w:rsid w:val="00CA148F"/>
    <w:rsid w:val="00CA29F9"/>
    <w:rsid w:val="00CA3144"/>
    <w:rsid w:val="00CA615E"/>
    <w:rsid w:val="00CB6B73"/>
    <w:rsid w:val="00CC218D"/>
    <w:rsid w:val="00CC6334"/>
    <w:rsid w:val="00CC677A"/>
    <w:rsid w:val="00CD008E"/>
    <w:rsid w:val="00CD39D2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1AB6"/>
    <w:rsid w:val="00D31DE0"/>
    <w:rsid w:val="00D32842"/>
    <w:rsid w:val="00D407EB"/>
    <w:rsid w:val="00D454AB"/>
    <w:rsid w:val="00D536AB"/>
    <w:rsid w:val="00D54E0C"/>
    <w:rsid w:val="00D5537A"/>
    <w:rsid w:val="00D64109"/>
    <w:rsid w:val="00D71136"/>
    <w:rsid w:val="00D7755A"/>
    <w:rsid w:val="00D77F36"/>
    <w:rsid w:val="00D9057D"/>
    <w:rsid w:val="00DA026E"/>
    <w:rsid w:val="00DA576E"/>
    <w:rsid w:val="00DB0A86"/>
    <w:rsid w:val="00DB56B5"/>
    <w:rsid w:val="00DB57B7"/>
    <w:rsid w:val="00DB59CA"/>
    <w:rsid w:val="00DC33CF"/>
    <w:rsid w:val="00DC3415"/>
    <w:rsid w:val="00DD121C"/>
    <w:rsid w:val="00DD3DE6"/>
    <w:rsid w:val="00DE4534"/>
    <w:rsid w:val="00DE687E"/>
    <w:rsid w:val="00DF3D3A"/>
    <w:rsid w:val="00DF4228"/>
    <w:rsid w:val="00E06670"/>
    <w:rsid w:val="00E06A75"/>
    <w:rsid w:val="00E278FC"/>
    <w:rsid w:val="00E47752"/>
    <w:rsid w:val="00E53030"/>
    <w:rsid w:val="00E56652"/>
    <w:rsid w:val="00E62C9E"/>
    <w:rsid w:val="00E63369"/>
    <w:rsid w:val="00E63569"/>
    <w:rsid w:val="00E80756"/>
    <w:rsid w:val="00E815AB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09C9"/>
    <w:rsid w:val="00E95892"/>
    <w:rsid w:val="00E97354"/>
    <w:rsid w:val="00EA4A81"/>
    <w:rsid w:val="00EA5C44"/>
    <w:rsid w:val="00EA6408"/>
    <w:rsid w:val="00EC0483"/>
    <w:rsid w:val="00EC33A4"/>
    <w:rsid w:val="00EC5FE0"/>
    <w:rsid w:val="00ED0897"/>
    <w:rsid w:val="00ED73FF"/>
    <w:rsid w:val="00ED7F01"/>
    <w:rsid w:val="00EE0B09"/>
    <w:rsid w:val="00EE2FB8"/>
    <w:rsid w:val="00EE4612"/>
    <w:rsid w:val="00EE51DE"/>
    <w:rsid w:val="00EE609F"/>
    <w:rsid w:val="00EF2527"/>
    <w:rsid w:val="00EF5E01"/>
    <w:rsid w:val="00EF6223"/>
    <w:rsid w:val="00EF659E"/>
    <w:rsid w:val="00EF6EC0"/>
    <w:rsid w:val="00F02058"/>
    <w:rsid w:val="00F0343C"/>
    <w:rsid w:val="00F04CE5"/>
    <w:rsid w:val="00F10946"/>
    <w:rsid w:val="00F1164B"/>
    <w:rsid w:val="00F11660"/>
    <w:rsid w:val="00F13514"/>
    <w:rsid w:val="00F1360F"/>
    <w:rsid w:val="00F168D5"/>
    <w:rsid w:val="00F16AA8"/>
    <w:rsid w:val="00F21791"/>
    <w:rsid w:val="00F3226A"/>
    <w:rsid w:val="00F33DB0"/>
    <w:rsid w:val="00F36222"/>
    <w:rsid w:val="00F45DB8"/>
    <w:rsid w:val="00F46AD4"/>
    <w:rsid w:val="00F54D21"/>
    <w:rsid w:val="00F54D29"/>
    <w:rsid w:val="00F62BCD"/>
    <w:rsid w:val="00F74B77"/>
    <w:rsid w:val="00F764FE"/>
    <w:rsid w:val="00F80625"/>
    <w:rsid w:val="00F827B6"/>
    <w:rsid w:val="00F86265"/>
    <w:rsid w:val="00F92BE5"/>
    <w:rsid w:val="00F94449"/>
    <w:rsid w:val="00FA0574"/>
    <w:rsid w:val="00FA5CB8"/>
    <w:rsid w:val="00FB68D3"/>
    <w:rsid w:val="00FC4B75"/>
    <w:rsid w:val="00FE583E"/>
    <w:rsid w:val="00FE7554"/>
    <w:rsid w:val="00FF17FE"/>
    <w:rsid w:val="1C60788F"/>
    <w:rsid w:val="42200080"/>
    <w:rsid w:val="488C513A"/>
    <w:rsid w:val="664E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6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 w:eastAsia="zh-CN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 w:eastAsia="zh-CN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 w:eastAsia="zh-CN"/>
    </w:rPr>
  </w:style>
  <w:style w:type="paragraph" w:styleId="6">
    <w:name w:val="heading 5"/>
    <w:basedOn w:val="1"/>
    <w:next w:val="1"/>
    <w:link w:val="29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 w:eastAsia="zh-CN"/>
    </w:rPr>
  </w:style>
  <w:style w:type="paragraph" w:styleId="7">
    <w:name w:val="heading 6"/>
    <w:basedOn w:val="1"/>
    <w:next w:val="1"/>
    <w:link w:val="30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 w:eastAsia="zh-CN"/>
    </w:rPr>
  </w:style>
  <w:style w:type="paragraph" w:styleId="8">
    <w:name w:val="heading 7"/>
    <w:basedOn w:val="1"/>
    <w:next w:val="1"/>
    <w:link w:val="31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 w:eastAsia="zh-CN"/>
    </w:rPr>
  </w:style>
  <w:style w:type="paragraph" w:styleId="9">
    <w:name w:val="heading 8"/>
    <w:basedOn w:val="1"/>
    <w:next w:val="1"/>
    <w:link w:val="32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 w:eastAsia="zh-CN"/>
    </w:rPr>
  </w:style>
  <w:style w:type="paragraph" w:styleId="10">
    <w:name w:val="heading 9"/>
    <w:basedOn w:val="1"/>
    <w:next w:val="1"/>
    <w:link w:val="33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 w:eastAsia="zh-CN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4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annotation text"/>
    <w:basedOn w:val="1"/>
    <w:link w:val="35"/>
    <w:unhideWhenUsed/>
    <w:qFormat/>
    <w:uiPriority w:val="0"/>
    <w:pPr>
      <w:jc w:val="left"/>
    </w:pPr>
    <w:rPr>
      <w:kern w:val="0"/>
      <w:sz w:val="20"/>
      <w:lang w:val="zh-CN" w:eastAsia="zh-CN"/>
    </w:rPr>
  </w:style>
  <w:style w:type="paragraph" w:styleId="13">
    <w:name w:val="Plain Text"/>
    <w:basedOn w:val="1"/>
    <w:link w:val="36"/>
    <w:qFormat/>
    <w:uiPriority w:val="0"/>
    <w:rPr>
      <w:rFonts w:ascii="Calibri" w:hAnsi="Courier New"/>
      <w:szCs w:val="20"/>
      <w:lang w:val="zh-CN" w:eastAsia="zh-CN"/>
    </w:rPr>
  </w:style>
  <w:style w:type="paragraph" w:styleId="14">
    <w:name w:val="Balloon Text"/>
    <w:basedOn w:val="1"/>
    <w:link w:val="37"/>
    <w:qFormat/>
    <w:uiPriority w:val="0"/>
    <w:rPr>
      <w:sz w:val="18"/>
      <w:szCs w:val="18"/>
      <w:lang w:val="zh-CN" w:eastAsia="zh-CN"/>
    </w:rPr>
  </w:style>
  <w:style w:type="paragraph" w:styleId="15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16">
    <w:name w:val="header"/>
    <w:basedOn w:val="1"/>
    <w:link w:val="3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17">
    <w:name w:val="Subtitle"/>
    <w:basedOn w:val="1"/>
    <w:next w:val="1"/>
    <w:link w:val="64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0">
    <w:name w:val="Table Grid"/>
    <w:basedOn w:val="1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2">
    <w:name w:val="FollowedHyperlink"/>
    <w:basedOn w:val="21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3">
    <w:name w:val="Hyperlink"/>
    <w:uiPriority w:val="0"/>
    <w:rPr>
      <w:color w:val="0563C1"/>
      <w:u w:val="single"/>
    </w:rPr>
  </w:style>
  <w:style w:type="character" w:styleId="24">
    <w:name w:val="annotation reference"/>
    <w:unhideWhenUsed/>
    <w:qFormat/>
    <w:uiPriority w:val="99"/>
    <w:rPr>
      <w:sz w:val="21"/>
      <w:szCs w:val="21"/>
    </w:rPr>
  </w:style>
  <w:style w:type="character" w:customStyle="1" w:styleId="25">
    <w:name w:val="标题 1 字符"/>
    <w:link w:val="2"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6">
    <w:name w:val="标题 2 字符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7">
    <w:name w:val="标题 3 字符"/>
    <w:link w:val="4"/>
    <w:qFormat/>
    <w:uiPriority w:val="0"/>
    <w:rPr>
      <w:b/>
      <w:bCs/>
      <w:kern w:val="2"/>
      <w:sz w:val="30"/>
      <w:szCs w:val="30"/>
    </w:rPr>
  </w:style>
  <w:style w:type="character" w:customStyle="1" w:styleId="28">
    <w:name w:val="标题 4 字符"/>
    <w:link w:val="5"/>
    <w:uiPriority w:val="0"/>
    <w:rPr>
      <w:rFonts w:ascii="宋体" w:hAnsi="宋体"/>
      <w:b/>
      <w:bCs/>
      <w:kern w:val="2"/>
      <w:sz w:val="28"/>
      <w:szCs w:val="28"/>
      <w:lang w:val="zh-CN" w:eastAsia="zh-CN"/>
    </w:rPr>
  </w:style>
  <w:style w:type="character" w:customStyle="1" w:styleId="29">
    <w:name w:val="标题 5 字符"/>
    <w:link w:val="6"/>
    <w:qFormat/>
    <w:uiPriority w:val="0"/>
    <w:rPr>
      <w:b/>
      <w:bCs/>
      <w:kern w:val="2"/>
      <w:sz w:val="28"/>
      <w:szCs w:val="28"/>
      <w:lang w:val="zh-CN" w:eastAsia="zh-CN"/>
    </w:rPr>
  </w:style>
  <w:style w:type="character" w:customStyle="1" w:styleId="30">
    <w:name w:val="标题 6 字符"/>
    <w:link w:val="7"/>
    <w:qFormat/>
    <w:uiPriority w:val="0"/>
    <w:rPr>
      <w:rFonts w:ascii="等线 Light" w:hAnsi="等线 Light" w:eastAsia="等线 Light"/>
      <w:b/>
      <w:bCs/>
      <w:kern w:val="2"/>
      <w:sz w:val="24"/>
      <w:szCs w:val="24"/>
      <w:lang w:val="zh-CN" w:eastAsia="zh-CN"/>
    </w:rPr>
  </w:style>
  <w:style w:type="character" w:customStyle="1" w:styleId="31">
    <w:name w:val="标题 7 字符"/>
    <w:link w:val="8"/>
    <w:uiPriority w:val="0"/>
    <w:rPr>
      <w:b/>
      <w:bCs/>
      <w:kern w:val="2"/>
      <w:sz w:val="24"/>
      <w:szCs w:val="24"/>
      <w:lang w:val="zh-CN" w:eastAsia="zh-CN"/>
    </w:rPr>
  </w:style>
  <w:style w:type="character" w:customStyle="1" w:styleId="32">
    <w:name w:val="标题 8 字符"/>
    <w:link w:val="9"/>
    <w:uiPriority w:val="0"/>
    <w:rPr>
      <w:rFonts w:ascii="等线 Light" w:hAnsi="等线 Light" w:eastAsia="等线 Light"/>
      <w:kern w:val="2"/>
      <w:sz w:val="24"/>
      <w:szCs w:val="24"/>
      <w:lang w:val="zh-CN" w:eastAsia="zh-CN"/>
    </w:rPr>
  </w:style>
  <w:style w:type="character" w:customStyle="1" w:styleId="33">
    <w:name w:val="标题 9 字符"/>
    <w:link w:val="10"/>
    <w:qFormat/>
    <w:uiPriority w:val="0"/>
    <w:rPr>
      <w:rFonts w:ascii="等线 Light" w:hAnsi="等线 Light" w:eastAsia="等线 Light"/>
      <w:kern w:val="2"/>
      <w:sz w:val="21"/>
      <w:szCs w:val="21"/>
      <w:lang w:val="zh-CN" w:eastAsia="zh-CN"/>
    </w:rPr>
  </w:style>
  <w:style w:type="character" w:customStyle="1" w:styleId="34">
    <w:name w:val="正文缩进 字符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5">
    <w:name w:val="批注文字 字符1"/>
    <w:link w:val="12"/>
    <w:qFormat/>
    <w:uiPriority w:val="0"/>
    <w:rPr>
      <w:szCs w:val="24"/>
    </w:rPr>
  </w:style>
  <w:style w:type="character" w:customStyle="1" w:styleId="36">
    <w:name w:val="纯文本 字符"/>
    <w:link w:val="13"/>
    <w:qFormat/>
    <w:uiPriority w:val="0"/>
    <w:rPr>
      <w:rFonts w:ascii="Calibri" w:hAnsi="Courier New"/>
      <w:kern w:val="2"/>
      <w:sz w:val="21"/>
    </w:rPr>
  </w:style>
  <w:style w:type="character" w:customStyle="1" w:styleId="37">
    <w:name w:val="批注框文本 字符"/>
    <w:link w:val="14"/>
    <w:qFormat/>
    <w:uiPriority w:val="0"/>
    <w:rPr>
      <w:kern w:val="2"/>
      <w:sz w:val="18"/>
      <w:szCs w:val="18"/>
    </w:rPr>
  </w:style>
  <w:style w:type="character" w:customStyle="1" w:styleId="38">
    <w:name w:val="页脚 字符1"/>
    <w:link w:val="15"/>
    <w:uiPriority w:val="0"/>
    <w:rPr>
      <w:kern w:val="2"/>
      <w:sz w:val="18"/>
      <w:szCs w:val="18"/>
    </w:rPr>
  </w:style>
  <w:style w:type="character" w:customStyle="1" w:styleId="39">
    <w:name w:val="页眉 字符"/>
    <w:link w:val="16"/>
    <w:qFormat/>
    <w:uiPriority w:val="0"/>
    <w:rPr>
      <w:kern w:val="2"/>
      <w:sz w:val="18"/>
      <w:szCs w:val="18"/>
    </w:rPr>
  </w:style>
  <w:style w:type="character" w:customStyle="1" w:styleId="40">
    <w:name w:val="已访问的超链接1"/>
    <w:uiPriority w:val="0"/>
    <w:rPr>
      <w:color w:val="800080"/>
      <w:u w:val="single"/>
    </w:rPr>
  </w:style>
  <w:style w:type="character" w:customStyle="1" w:styleId="41">
    <w:name w:val="正文（首行缩进2字符） Char"/>
    <w:link w:val="42"/>
    <w:qFormat/>
    <w:uiPriority w:val="0"/>
    <w:rPr>
      <w:kern w:val="2"/>
      <w:sz w:val="24"/>
      <w:szCs w:val="24"/>
    </w:rPr>
  </w:style>
  <w:style w:type="paragraph" w:customStyle="1" w:styleId="42">
    <w:name w:val="正文（首行缩进2字符）"/>
    <w:basedOn w:val="1"/>
    <w:link w:val="41"/>
    <w:qFormat/>
    <w:uiPriority w:val="0"/>
    <w:pPr>
      <w:spacing w:line="360" w:lineRule="auto"/>
      <w:ind w:firstLine="480" w:firstLineChars="200"/>
    </w:pPr>
    <w:rPr>
      <w:sz w:val="24"/>
      <w:lang w:val="zh-CN" w:eastAsia="zh-CN"/>
    </w:rPr>
  </w:style>
  <w:style w:type="character" w:customStyle="1" w:styleId="43">
    <w:name w:val="段落 Char1"/>
    <w:link w:val="44"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4">
    <w:name w:val="段落"/>
    <w:link w:val="43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5">
    <w:name w:val="正文（安华金和） Char"/>
    <w:link w:val="46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6">
    <w:name w:val="正文（安华金和）"/>
    <w:link w:val="45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7">
    <w:name w:val="页脚 字符"/>
    <w:uiPriority w:val="99"/>
  </w:style>
  <w:style w:type="character" w:customStyle="1" w:styleId="48">
    <w:name w:val="列出段落 字符"/>
    <w:link w:val="49"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49">
    <w:name w:val="List Paragraph"/>
    <w:basedOn w:val="1"/>
    <w:link w:val="48"/>
    <w:qFormat/>
    <w:uiPriority w:val="34"/>
    <w:pPr>
      <w:ind w:firstLine="420" w:firstLineChars="200"/>
    </w:pPr>
    <w:rPr>
      <w:rFonts w:ascii="等线" w:hAnsi="等线" w:eastAsia="等线"/>
      <w:szCs w:val="22"/>
      <w:lang w:val="zh-CN" w:eastAsia="zh-CN"/>
    </w:rPr>
  </w:style>
  <w:style w:type="paragraph" w:customStyle="1" w:styleId="50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1">
    <w:name w:val="标题 2（DBSec）"/>
    <w:basedOn w:val="3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3">
    <w:name w:val="_Style 27"/>
    <w:basedOn w:val="1"/>
    <w:next w:val="49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4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5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6">
    <w:name w:val="标题 4（DBSec）"/>
    <w:basedOn w:val="5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7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8">
    <w:name w:val="标题 1（DBSec）"/>
    <w:basedOn w:val="2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  <w:lang w:val="en-US" w:eastAsia="zh-CN"/>
    </w:rPr>
  </w:style>
  <w:style w:type="paragraph" w:customStyle="1" w:styleId="59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0">
    <w:name w:val="表格标注（安华金和）"/>
    <w:basedOn w:val="50"/>
    <w:next w:val="1"/>
    <w:qFormat/>
    <w:uiPriority w:val="0"/>
    <w:pPr>
      <w:numPr>
        <w:ilvl w:val="7"/>
      </w:numPr>
    </w:pPr>
  </w:style>
  <w:style w:type="paragraph" w:customStyle="1" w:styleId="61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2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3">
    <w:name w:val="批注文字 字符"/>
    <w:qFormat/>
    <w:uiPriority w:val="99"/>
    <w:rPr>
      <w:kern w:val="2"/>
      <w:sz w:val="21"/>
      <w:szCs w:val="24"/>
    </w:rPr>
  </w:style>
  <w:style w:type="character" w:customStyle="1" w:styleId="64">
    <w:name w:val="副标题 字符"/>
    <w:link w:val="17"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257</Words>
  <Characters>1469</Characters>
  <Lines>12</Lines>
  <Paragraphs>3</Paragraphs>
  <TotalTime>1561</TotalTime>
  <ScaleCrop>false</ScaleCrop>
  <LinksUpToDate>false</LinksUpToDate>
  <CharactersWithSpaces>1723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2022-01-06T02:43:00Z</dcterms:created>
  <dc:creator>陈永辉</dc:creator>
  <cp:lastModifiedBy>Ben</cp:lastModifiedBy>
  <dcterms:modified xsi:type="dcterms:W3CDTF">2023-10-11T07:00:22Z</dcterms:modified>
  <dc:title>1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E6BF652D54F944798887341195E59480</vt:lpwstr>
  </property>
</Properties>
</file>