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hint="eastAsia" w:ascii="微软雅黑" w:hAnsi="微软雅黑" w:eastAsia="微软雅黑" w:cs="微软雅黑"/>
          <w:b/>
          <w:sz w:val="44"/>
          <w:szCs w:val="30"/>
        </w:rPr>
      </w:pPr>
      <w:r>
        <w:rPr>
          <w:rFonts w:hint="eastAsia" w:ascii="微软雅黑" w:hAnsi="微软雅黑" w:eastAsia="微软雅黑" w:cs="微软雅黑"/>
          <w:b/>
          <w:sz w:val="44"/>
          <w:szCs w:val="30"/>
        </w:rPr>
        <w:t>儿童体格健康运动处方系统项目需求</w:t>
      </w:r>
    </w:p>
    <w:p>
      <w:pPr>
        <w:pStyle w:val="2"/>
        <w:numPr>
          <w:ilvl w:val="0"/>
          <w:numId w:val="3"/>
        </w:numPr>
        <w:spacing w:before="0" w:after="0"/>
        <w:rPr>
          <w:rFonts w:hint="eastAsia" w:ascii="微软雅黑" w:hAnsi="微软雅黑" w:eastAsia="微软雅黑" w:cs="微软雅黑"/>
          <w:sz w:val="32"/>
          <w:szCs w:val="32"/>
        </w:rPr>
      </w:pPr>
      <w:r>
        <w:rPr>
          <w:rFonts w:hint="eastAsia" w:ascii="微软雅黑" w:hAnsi="微软雅黑" w:eastAsia="微软雅黑" w:cs="微软雅黑"/>
          <w:sz w:val="32"/>
          <w:szCs w:val="32"/>
        </w:rPr>
        <w:t>项目名称</w:t>
      </w:r>
    </w:p>
    <w:p>
      <w:pPr>
        <w:spacing w:line="360" w:lineRule="auto"/>
        <w:ind w:left="432"/>
        <w:rPr>
          <w:rFonts w:hint="eastAsia" w:ascii="微软雅黑" w:hAnsi="微软雅黑" w:eastAsia="微软雅黑" w:cs="微软雅黑"/>
          <w:sz w:val="22"/>
        </w:rPr>
      </w:pPr>
      <w:r>
        <w:rPr>
          <w:rFonts w:hint="eastAsia" w:ascii="微软雅黑" w:hAnsi="微软雅黑" w:eastAsia="微软雅黑" w:cs="微软雅黑"/>
          <w:sz w:val="22"/>
        </w:rPr>
        <w:t>项目名称：儿童体格健康运动处方系统</w:t>
      </w:r>
    </w:p>
    <w:p>
      <w:pPr>
        <w:spacing w:line="360" w:lineRule="auto"/>
        <w:ind w:left="432"/>
        <w:rPr>
          <w:rFonts w:hint="eastAsia" w:ascii="微软雅黑" w:hAnsi="微软雅黑" w:eastAsia="微软雅黑" w:cs="微软雅黑"/>
          <w:sz w:val="22"/>
        </w:rPr>
      </w:pPr>
    </w:p>
    <w:p>
      <w:pPr>
        <w:pStyle w:val="2"/>
        <w:numPr>
          <w:ilvl w:val="0"/>
          <w:numId w:val="3"/>
        </w:numPr>
        <w:spacing w:before="0" w:after="0"/>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项目内容</w:t>
      </w:r>
    </w:p>
    <w:p>
      <w:pPr>
        <w:rPr>
          <w:rFonts w:hint="eastAsia" w:ascii="微软雅黑" w:hAnsi="微软雅黑" w:eastAsia="微软雅黑" w:cs="微软雅黑"/>
        </w:rPr>
      </w:pPr>
      <w:r>
        <w:rPr>
          <w:rFonts w:hint="eastAsia" w:ascii="微软雅黑" w:hAnsi="微软雅黑" w:eastAsia="微软雅黑" w:cs="微软雅黑"/>
        </w:rPr>
        <w:t>项目</w:t>
      </w:r>
      <w:r>
        <w:rPr>
          <w:rFonts w:hint="eastAsia" w:ascii="微软雅黑" w:hAnsi="微软雅黑" w:eastAsia="微软雅黑" w:cs="微软雅黑"/>
        </w:rPr>
        <w:t>功能</w:t>
      </w:r>
      <w:r>
        <w:rPr>
          <w:rFonts w:hint="eastAsia" w:ascii="微软雅黑" w:hAnsi="微软雅黑" w:eastAsia="微软雅黑" w:cs="微软雅黑"/>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rFonts w:hint="eastAsia" w:ascii="微软雅黑" w:hAnsi="微软雅黑" w:eastAsia="微软雅黑" w:cs="微软雅黑"/>
              </w:rPr>
            </w:pPr>
            <w:r>
              <w:rPr>
                <w:rFonts w:hint="eastAsia" w:ascii="微软雅黑" w:hAnsi="微软雅黑" w:eastAsia="微软雅黑" w:cs="微软雅黑"/>
              </w:rPr>
              <w:t>序号</w:t>
            </w:r>
          </w:p>
        </w:tc>
        <w:tc>
          <w:tcPr>
            <w:tcW w:w="3828" w:type="dxa"/>
          </w:tcPr>
          <w:p>
            <w:pPr>
              <w:jc w:val="center"/>
              <w:rPr>
                <w:rFonts w:hint="eastAsia" w:ascii="微软雅黑" w:hAnsi="微软雅黑" w:eastAsia="微软雅黑" w:cs="微软雅黑"/>
              </w:rPr>
            </w:pPr>
            <w:r>
              <w:rPr>
                <w:rFonts w:hint="eastAsia" w:ascii="微软雅黑" w:hAnsi="微软雅黑" w:eastAsia="微软雅黑" w:cs="微软雅黑"/>
                <w:lang w:val="en-US" w:eastAsia="zh-CN"/>
              </w:rPr>
              <w:t>模块</w:t>
            </w:r>
            <w:r>
              <w:rPr>
                <w:rFonts w:hint="eastAsia" w:ascii="微软雅黑" w:hAnsi="微软雅黑" w:eastAsia="微软雅黑" w:cs="微软雅黑"/>
              </w:rPr>
              <w:t>名称</w:t>
            </w:r>
          </w:p>
        </w:tc>
        <w:tc>
          <w:tcPr>
            <w:tcW w:w="4536" w:type="dxa"/>
          </w:tcPr>
          <w:p>
            <w:pPr>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模块详细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rFonts w:hint="eastAsia" w:ascii="微软雅黑" w:hAnsi="微软雅黑" w:eastAsia="微软雅黑" w:cs="微软雅黑"/>
              </w:rPr>
            </w:pPr>
            <w:r>
              <w:rPr>
                <w:rFonts w:hint="eastAsia" w:ascii="微软雅黑" w:hAnsi="微软雅黑" w:eastAsia="微软雅黑" w:cs="微软雅黑"/>
              </w:rPr>
              <w:t>1</w:t>
            </w:r>
          </w:p>
        </w:tc>
        <w:tc>
          <w:tcPr>
            <w:tcW w:w="3828" w:type="dxa"/>
          </w:tcPr>
          <w:p>
            <w:pPr>
              <w:rPr>
                <w:rFonts w:hint="eastAsia" w:ascii="微软雅黑" w:hAnsi="微软雅黑" w:eastAsia="微软雅黑" w:cs="微软雅黑"/>
                <w:lang w:val="en-US" w:eastAsia="zh-CN"/>
              </w:rPr>
            </w:pPr>
            <w:r>
              <w:rPr>
                <w:rFonts w:hint="eastAsia" w:ascii="微软雅黑" w:hAnsi="微软雅黑" w:eastAsia="微软雅黑" w:cs="微软雅黑"/>
                <w:sz w:val="20"/>
              </w:rPr>
              <w:t>档案管理功能</w:t>
            </w:r>
            <w:r>
              <w:rPr>
                <w:rFonts w:hint="eastAsia" w:ascii="微软雅黑" w:hAnsi="微软雅黑" w:eastAsia="微软雅黑" w:cs="微软雅黑"/>
                <w:sz w:val="20"/>
                <w:lang w:val="en-US" w:eastAsia="zh-CN"/>
              </w:rPr>
              <w:t>模块</w:t>
            </w:r>
          </w:p>
        </w:tc>
        <w:tc>
          <w:tcPr>
            <w:tcW w:w="4536" w:type="dxa"/>
          </w:tcPr>
          <w:p>
            <w:pPr>
              <w:rPr>
                <w:rFonts w:hint="eastAsia" w:ascii="微软雅黑" w:hAnsi="微软雅黑" w:eastAsia="微软雅黑" w:cs="微软雅黑"/>
              </w:rPr>
            </w:pPr>
            <w:r>
              <w:rPr>
                <w:rFonts w:hint="eastAsia" w:ascii="微软雅黑" w:hAnsi="微软雅黑" w:eastAsia="微软雅黑" w:cs="微软雅黑"/>
              </w:rPr>
              <w:t>详见详细功能描述中</w:t>
            </w:r>
            <w:r>
              <w:rPr>
                <w:rFonts w:hint="eastAsia" w:ascii="微软雅黑" w:hAnsi="微软雅黑" w:eastAsia="微软雅黑" w:cs="微软雅黑"/>
                <w:sz w:val="20"/>
              </w:rPr>
              <w:t>档案管理功能</w:t>
            </w:r>
            <w:r>
              <w:rPr>
                <w:rFonts w:hint="eastAsia" w:ascii="微软雅黑" w:hAnsi="微软雅黑" w:eastAsia="微软雅黑" w:cs="微软雅黑"/>
                <w:sz w:val="20"/>
                <w:lang w:val="en-US" w:eastAsia="zh-CN"/>
              </w:rPr>
              <w:t>细项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w:t>
            </w:r>
          </w:p>
        </w:tc>
        <w:tc>
          <w:tcPr>
            <w:tcW w:w="3828" w:type="dxa"/>
          </w:tcPr>
          <w:p>
            <w:pPr>
              <w:rPr>
                <w:rFonts w:hint="eastAsia" w:ascii="微软雅黑" w:hAnsi="微软雅黑" w:eastAsia="微软雅黑" w:cs="微软雅黑"/>
                <w:lang w:val="en-US" w:eastAsia="zh-CN"/>
              </w:rPr>
            </w:pPr>
            <w:r>
              <w:rPr>
                <w:rFonts w:hint="eastAsia" w:ascii="微软雅黑" w:hAnsi="微软雅黑" w:eastAsia="微软雅黑" w:cs="微软雅黑"/>
                <w:sz w:val="20"/>
              </w:rPr>
              <w:t>运动评估功能</w:t>
            </w:r>
            <w:r>
              <w:rPr>
                <w:rFonts w:hint="eastAsia" w:ascii="微软雅黑" w:hAnsi="微软雅黑" w:eastAsia="微软雅黑" w:cs="微软雅黑"/>
                <w:sz w:val="20"/>
                <w:lang w:val="en-US" w:eastAsia="zh-CN"/>
              </w:rPr>
              <w:t>模块</w:t>
            </w:r>
          </w:p>
        </w:tc>
        <w:tc>
          <w:tcPr>
            <w:tcW w:w="4536" w:type="dxa"/>
          </w:tcPr>
          <w:p>
            <w:pPr>
              <w:rPr>
                <w:rFonts w:hint="eastAsia" w:ascii="微软雅黑" w:hAnsi="微软雅黑" w:eastAsia="微软雅黑" w:cs="微软雅黑"/>
              </w:rPr>
            </w:pPr>
            <w:r>
              <w:rPr>
                <w:rFonts w:hint="eastAsia" w:ascii="微软雅黑" w:hAnsi="微软雅黑" w:eastAsia="微软雅黑" w:cs="微软雅黑"/>
              </w:rPr>
              <w:t>详见详细功能描述中</w:t>
            </w:r>
            <w:r>
              <w:rPr>
                <w:rFonts w:hint="eastAsia" w:ascii="微软雅黑" w:hAnsi="微软雅黑" w:eastAsia="微软雅黑" w:cs="微软雅黑"/>
                <w:sz w:val="20"/>
              </w:rPr>
              <w:t>运动评估功能</w:t>
            </w:r>
            <w:r>
              <w:rPr>
                <w:rFonts w:hint="eastAsia" w:ascii="微软雅黑" w:hAnsi="微软雅黑" w:eastAsia="微软雅黑" w:cs="微软雅黑"/>
                <w:sz w:val="20"/>
                <w:lang w:val="en-US" w:eastAsia="zh-CN"/>
              </w:rPr>
              <w:t>细项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rFonts w:hint="eastAsia" w:ascii="微软雅黑" w:hAnsi="微软雅黑" w:eastAsia="微软雅黑" w:cs="微软雅黑"/>
                <w:b/>
                <w:lang w:val="en-US" w:eastAsia="zh-CN"/>
              </w:rPr>
            </w:pPr>
            <w:r>
              <w:rPr>
                <w:rFonts w:hint="eastAsia" w:ascii="微软雅黑" w:hAnsi="微软雅黑" w:eastAsia="微软雅黑" w:cs="微软雅黑"/>
                <w:b w:val="0"/>
                <w:bCs/>
                <w:lang w:val="en-US" w:eastAsia="zh-CN"/>
              </w:rPr>
              <w:t>3</w:t>
            </w:r>
          </w:p>
        </w:tc>
        <w:tc>
          <w:tcPr>
            <w:tcW w:w="3828" w:type="dxa"/>
          </w:tcPr>
          <w:p>
            <w:pPr>
              <w:rPr>
                <w:rFonts w:hint="eastAsia" w:ascii="微软雅黑" w:hAnsi="微软雅黑" w:eastAsia="微软雅黑" w:cs="微软雅黑"/>
                <w:b/>
                <w:lang w:val="en-US" w:eastAsia="zh-CN"/>
              </w:rPr>
            </w:pPr>
            <w:r>
              <w:rPr>
                <w:rFonts w:hint="eastAsia" w:ascii="微软雅黑" w:hAnsi="微软雅黑" w:eastAsia="微软雅黑" w:cs="微软雅黑"/>
                <w:sz w:val="20"/>
              </w:rPr>
              <w:t>数据图表统计</w:t>
            </w:r>
            <w:r>
              <w:rPr>
                <w:rFonts w:hint="eastAsia" w:ascii="微软雅黑" w:hAnsi="微软雅黑" w:eastAsia="微软雅黑" w:cs="微软雅黑"/>
                <w:sz w:val="20"/>
                <w:lang w:val="en-US" w:eastAsia="zh-CN"/>
              </w:rPr>
              <w:t>模块</w:t>
            </w:r>
          </w:p>
        </w:tc>
        <w:tc>
          <w:tcPr>
            <w:tcW w:w="4536" w:type="dxa"/>
          </w:tcPr>
          <w:p>
            <w:pPr>
              <w:rPr>
                <w:rFonts w:hint="eastAsia" w:ascii="微软雅黑" w:hAnsi="微软雅黑" w:eastAsia="微软雅黑" w:cs="微软雅黑"/>
                <w:b/>
              </w:rPr>
            </w:pPr>
            <w:r>
              <w:rPr>
                <w:rFonts w:hint="eastAsia" w:ascii="微软雅黑" w:hAnsi="微软雅黑" w:eastAsia="微软雅黑" w:cs="微软雅黑"/>
              </w:rPr>
              <w:t>详见详细功能描述中</w:t>
            </w:r>
            <w:r>
              <w:rPr>
                <w:rFonts w:hint="eastAsia" w:ascii="微软雅黑" w:hAnsi="微软雅黑" w:eastAsia="微软雅黑" w:cs="微软雅黑"/>
                <w:sz w:val="20"/>
              </w:rPr>
              <w:t>数据图表统计</w:t>
            </w:r>
            <w:r>
              <w:rPr>
                <w:rFonts w:hint="eastAsia" w:ascii="微软雅黑" w:hAnsi="微软雅黑" w:eastAsia="微软雅黑" w:cs="微软雅黑"/>
                <w:sz w:val="20"/>
                <w:lang w:val="en-US" w:eastAsia="zh-CN"/>
              </w:rPr>
              <w:t>细项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rFonts w:hint="eastAsia" w:ascii="微软雅黑" w:hAnsi="微软雅黑" w:eastAsia="微软雅黑" w:cs="微软雅黑"/>
                <w:b w:val="0"/>
                <w:bCs/>
                <w:lang w:val="en-US" w:eastAsia="zh-CN"/>
              </w:rPr>
            </w:pPr>
            <w:r>
              <w:rPr>
                <w:rFonts w:hint="eastAsia" w:ascii="微软雅黑" w:hAnsi="微软雅黑" w:eastAsia="微软雅黑" w:cs="微软雅黑"/>
                <w:b w:val="0"/>
                <w:bCs/>
                <w:lang w:val="en-US" w:eastAsia="zh-CN"/>
              </w:rPr>
              <w:t>4</w:t>
            </w:r>
          </w:p>
        </w:tc>
        <w:tc>
          <w:tcPr>
            <w:tcW w:w="3828" w:type="dxa"/>
          </w:tcPr>
          <w:p>
            <w:pPr>
              <w:rPr>
                <w:rFonts w:hint="eastAsia" w:ascii="微软雅黑" w:hAnsi="微软雅黑" w:eastAsia="微软雅黑" w:cs="微软雅黑"/>
                <w:sz w:val="20"/>
                <w:lang w:val="en-US" w:eastAsia="zh-CN"/>
              </w:rPr>
            </w:pPr>
            <w:r>
              <w:rPr>
                <w:rFonts w:hint="eastAsia" w:ascii="微软雅黑" w:hAnsi="微软雅黑" w:eastAsia="微软雅黑" w:cs="微软雅黑"/>
                <w:sz w:val="20"/>
              </w:rPr>
              <w:t>处方执行指导</w:t>
            </w:r>
            <w:r>
              <w:rPr>
                <w:rFonts w:hint="eastAsia" w:ascii="微软雅黑" w:hAnsi="微软雅黑" w:eastAsia="微软雅黑" w:cs="微软雅黑"/>
                <w:sz w:val="20"/>
                <w:lang w:val="en-US" w:eastAsia="zh-CN"/>
              </w:rPr>
              <w:t>模块</w:t>
            </w:r>
          </w:p>
        </w:tc>
        <w:tc>
          <w:tcPr>
            <w:tcW w:w="4536" w:type="dxa"/>
          </w:tcPr>
          <w:p>
            <w:pPr>
              <w:rPr>
                <w:rFonts w:hint="eastAsia" w:ascii="微软雅黑" w:hAnsi="微软雅黑" w:eastAsia="微软雅黑" w:cs="微软雅黑"/>
                <w:lang w:val="en-US" w:eastAsia="zh-CN"/>
              </w:rPr>
            </w:pPr>
            <w:r>
              <w:rPr>
                <w:rFonts w:hint="eastAsia" w:ascii="微软雅黑" w:hAnsi="微软雅黑" w:eastAsia="微软雅黑" w:cs="微软雅黑"/>
              </w:rPr>
              <w:t>详见详细功能描述中</w:t>
            </w:r>
            <w:r>
              <w:rPr>
                <w:rFonts w:hint="eastAsia" w:ascii="微软雅黑" w:hAnsi="微软雅黑" w:eastAsia="微软雅黑" w:cs="微软雅黑"/>
                <w:sz w:val="20"/>
              </w:rPr>
              <w:t>处方执行指导</w:t>
            </w:r>
            <w:r>
              <w:rPr>
                <w:rFonts w:hint="eastAsia" w:ascii="微软雅黑" w:hAnsi="微软雅黑" w:eastAsia="微软雅黑" w:cs="微软雅黑"/>
                <w:sz w:val="20"/>
                <w:lang w:val="en-US" w:eastAsia="zh-CN"/>
              </w:rPr>
              <w:t>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rFonts w:hint="eastAsia" w:ascii="微软雅黑" w:hAnsi="微软雅黑" w:eastAsia="微软雅黑" w:cs="微软雅黑"/>
                <w:b w:val="0"/>
                <w:bCs/>
                <w:lang w:val="en-US" w:eastAsia="zh-CN"/>
              </w:rPr>
            </w:pPr>
            <w:r>
              <w:rPr>
                <w:rFonts w:hint="eastAsia" w:ascii="微软雅黑" w:hAnsi="微软雅黑" w:eastAsia="微软雅黑" w:cs="微软雅黑"/>
                <w:b w:val="0"/>
                <w:bCs/>
                <w:lang w:val="en-US" w:eastAsia="zh-CN"/>
              </w:rPr>
              <w:t>5</w:t>
            </w:r>
          </w:p>
        </w:tc>
        <w:tc>
          <w:tcPr>
            <w:tcW w:w="3828" w:type="dxa"/>
          </w:tcPr>
          <w:p>
            <w:pPr>
              <w:rPr>
                <w:rFonts w:hint="eastAsia" w:ascii="微软雅黑" w:hAnsi="微软雅黑" w:eastAsia="微软雅黑" w:cs="微软雅黑"/>
                <w:sz w:val="20"/>
                <w:lang w:val="en-US" w:eastAsia="zh-CN"/>
              </w:rPr>
            </w:pPr>
            <w:r>
              <w:rPr>
                <w:rFonts w:hint="eastAsia" w:ascii="微软雅黑" w:hAnsi="微软雅黑" w:eastAsia="微软雅黑" w:cs="微软雅黑"/>
                <w:sz w:val="20"/>
              </w:rPr>
              <w:t>运动库学习</w:t>
            </w:r>
            <w:r>
              <w:rPr>
                <w:rFonts w:hint="eastAsia" w:ascii="微软雅黑" w:hAnsi="微软雅黑" w:eastAsia="微软雅黑" w:cs="微软雅黑"/>
                <w:sz w:val="20"/>
                <w:lang w:val="en-US" w:eastAsia="zh-CN"/>
              </w:rPr>
              <w:t>模块</w:t>
            </w:r>
          </w:p>
        </w:tc>
        <w:tc>
          <w:tcPr>
            <w:tcW w:w="4536" w:type="dxa"/>
          </w:tcPr>
          <w:p>
            <w:pPr>
              <w:rPr>
                <w:rFonts w:hint="eastAsia" w:ascii="微软雅黑" w:hAnsi="微软雅黑" w:eastAsia="微软雅黑" w:cs="微软雅黑"/>
                <w:lang w:val="en-US" w:eastAsia="zh-CN"/>
              </w:rPr>
            </w:pPr>
            <w:r>
              <w:rPr>
                <w:rFonts w:hint="eastAsia" w:ascii="微软雅黑" w:hAnsi="微软雅黑" w:eastAsia="微软雅黑" w:cs="微软雅黑"/>
              </w:rPr>
              <w:t>详见详细功能描述中</w:t>
            </w:r>
            <w:r>
              <w:rPr>
                <w:rFonts w:hint="eastAsia" w:ascii="微软雅黑" w:hAnsi="微软雅黑" w:eastAsia="微软雅黑" w:cs="微软雅黑"/>
                <w:sz w:val="20"/>
              </w:rPr>
              <w:t>运动库学习</w:t>
            </w:r>
            <w:r>
              <w:rPr>
                <w:rFonts w:hint="eastAsia" w:ascii="微软雅黑" w:hAnsi="微软雅黑" w:eastAsia="微软雅黑" w:cs="微软雅黑"/>
                <w:sz w:val="20"/>
                <w:lang w:val="en-US" w:eastAsia="zh-CN"/>
              </w:rPr>
              <w:t>功能</w:t>
            </w:r>
          </w:p>
        </w:tc>
      </w:tr>
    </w:tbl>
    <w:p>
      <w:pPr>
        <w:pStyle w:val="48"/>
        <w:keepNext/>
        <w:keepLines/>
        <w:numPr>
          <w:ilvl w:val="0"/>
          <w:numId w:val="1"/>
        </w:numPr>
        <w:spacing w:line="578" w:lineRule="auto"/>
        <w:ind w:firstLineChars="0"/>
        <w:outlineLvl w:val="0"/>
        <w:rPr>
          <w:rFonts w:hint="eastAsia" w:ascii="微软雅黑" w:hAnsi="微软雅黑" w:eastAsia="微软雅黑" w:cs="微软雅黑"/>
          <w:b/>
          <w:bCs/>
          <w:vanish/>
          <w:kern w:val="44"/>
          <w:sz w:val="44"/>
          <w:szCs w:val="44"/>
        </w:rPr>
      </w:pPr>
    </w:p>
    <w:p>
      <w:pPr>
        <w:pStyle w:val="48"/>
        <w:keepNext/>
        <w:keepLines/>
        <w:numPr>
          <w:ilvl w:val="0"/>
          <w:numId w:val="1"/>
        </w:numPr>
        <w:spacing w:line="578" w:lineRule="auto"/>
        <w:ind w:firstLineChars="0"/>
        <w:outlineLvl w:val="0"/>
        <w:rPr>
          <w:rFonts w:hint="eastAsia" w:ascii="微软雅黑" w:hAnsi="微软雅黑" w:eastAsia="微软雅黑" w:cs="微软雅黑"/>
          <w:b/>
          <w:bCs/>
          <w:vanish/>
          <w:kern w:val="44"/>
          <w:sz w:val="44"/>
          <w:szCs w:val="44"/>
        </w:rPr>
      </w:pPr>
    </w:p>
    <w:p>
      <w:pPr>
        <w:pStyle w:val="48"/>
        <w:keepNext/>
        <w:keepLines/>
        <w:numPr>
          <w:ilvl w:val="0"/>
          <w:numId w:val="1"/>
        </w:numPr>
        <w:spacing w:line="578" w:lineRule="auto"/>
        <w:ind w:firstLineChars="0"/>
        <w:outlineLvl w:val="0"/>
        <w:rPr>
          <w:rFonts w:hint="eastAsia" w:ascii="微软雅黑" w:hAnsi="微软雅黑" w:eastAsia="微软雅黑" w:cs="微软雅黑"/>
          <w:b/>
          <w:bCs/>
          <w:vanish/>
          <w:kern w:val="44"/>
          <w:sz w:val="44"/>
          <w:szCs w:val="44"/>
        </w:rPr>
      </w:pPr>
    </w:p>
    <w:p>
      <w:pPr>
        <w:pStyle w:val="48"/>
        <w:keepNext/>
        <w:keepLines/>
        <w:numPr>
          <w:ilvl w:val="1"/>
          <w:numId w:val="1"/>
        </w:numPr>
        <w:spacing w:line="578" w:lineRule="auto"/>
        <w:ind w:firstLineChars="0"/>
        <w:outlineLvl w:val="0"/>
        <w:rPr>
          <w:rFonts w:hint="eastAsia" w:ascii="微软雅黑" w:hAnsi="微软雅黑" w:eastAsia="微软雅黑" w:cs="微软雅黑"/>
          <w:b/>
          <w:bCs/>
          <w:vanish/>
          <w:kern w:val="44"/>
          <w:sz w:val="44"/>
          <w:szCs w:val="44"/>
        </w:rPr>
      </w:pPr>
    </w:p>
    <w:p>
      <w:pPr>
        <w:pStyle w:val="2"/>
        <w:numPr>
          <w:ilvl w:val="0"/>
          <w:numId w:val="0"/>
        </w:numPr>
        <w:spacing w:before="0" w:after="0"/>
        <w:ind w:left="432"/>
        <w:rPr>
          <w:rFonts w:hint="eastAsia" w:ascii="微软雅黑" w:hAnsi="微软雅黑" w:eastAsia="微软雅黑" w:cs="微软雅黑"/>
          <w:sz w:val="32"/>
          <w:szCs w:val="32"/>
        </w:rPr>
      </w:pPr>
    </w:p>
    <w:p>
      <w:pPr>
        <w:pStyle w:val="2"/>
        <w:numPr>
          <w:ilvl w:val="0"/>
          <w:numId w:val="3"/>
        </w:numPr>
        <w:spacing w:before="0" w:after="0"/>
        <w:rPr>
          <w:rFonts w:hint="eastAsia" w:ascii="微软雅黑" w:hAnsi="微软雅黑" w:eastAsia="微软雅黑" w:cs="微软雅黑"/>
          <w:sz w:val="32"/>
          <w:szCs w:val="32"/>
        </w:rPr>
      </w:pPr>
      <w:r>
        <w:rPr>
          <w:rFonts w:hint="eastAsia" w:ascii="微软雅黑" w:hAnsi="微软雅黑" w:eastAsia="微软雅黑" w:cs="微软雅黑"/>
          <w:sz w:val="32"/>
          <w:szCs w:val="32"/>
        </w:rPr>
        <w:t>详细</w:t>
      </w:r>
      <w:r>
        <w:rPr>
          <w:rFonts w:hint="eastAsia" w:ascii="微软雅黑" w:hAnsi="微软雅黑" w:eastAsia="微软雅黑" w:cs="微软雅黑"/>
          <w:sz w:val="32"/>
          <w:szCs w:val="32"/>
          <w:lang w:eastAsia="zh-CN"/>
        </w:rPr>
        <w:t>功能描述</w:t>
      </w:r>
    </w:p>
    <w:tbl>
      <w:tblPr>
        <w:tblStyle w:val="19"/>
        <w:tblW w:w="5000" w:type="pct"/>
        <w:tblInd w:w="0" w:type="dxa"/>
        <w:tblLayout w:type="autofit"/>
        <w:tblCellMar>
          <w:top w:w="0" w:type="dxa"/>
          <w:left w:w="108" w:type="dxa"/>
          <w:bottom w:w="0" w:type="dxa"/>
          <w:right w:w="108" w:type="dxa"/>
        </w:tblCellMar>
      </w:tblPr>
      <w:tblGrid>
        <w:gridCol w:w="1306"/>
        <w:gridCol w:w="7980"/>
      </w:tblGrid>
      <w:tr>
        <w:tblPrEx>
          <w:tblCellMar>
            <w:top w:w="0" w:type="dxa"/>
            <w:left w:w="108" w:type="dxa"/>
            <w:bottom w:w="0" w:type="dxa"/>
            <w:right w:w="108" w:type="dxa"/>
          </w:tblCellMar>
        </w:tblPrEx>
        <w:trPr>
          <w:trHeight w:val="3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b/>
                <w:bCs/>
                <w:color w:val="000000"/>
                <w:szCs w:val="21"/>
              </w:rPr>
            </w:pPr>
            <w:bookmarkStart w:id="0" w:name="_6.1.1、大数据服务器"/>
            <w:bookmarkEnd w:id="0"/>
            <w:r>
              <w:rPr>
                <w:rFonts w:hint="eastAsia" w:ascii="微软雅黑" w:hAnsi="微软雅黑" w:eastAsia="微软雅黑" w:cs="微软雅黑"/>
                <w:b/>
                <w:bCs/>
                <w:sz w:val="20"/>
              </w:rPr>
              <w:t>档案管理功能</w:t>
            </w:r>
            <w:r>
              <w:rPr>
                <w:rFonts w:hint="eastAsia" w:ascii="微软雅黑" w:hAnsi="微软雅黑" w:eastAsia="微软雅黑" w:cs="微软雅黑"/>
                <w:b/>
                <w:bCs/>
                <w:sz w:val="20"/>
                <w:lang w:val="en-US" w:eastAsia="zh-CN"/>
              </w:rPr>
              <w:t>细项</w:t>
            </w:r>
          </w:p>
        </w:tc>
      </w:tr>
      <w:tr>
        <w:tblPrEx>
          <w:tblCellMar>
            <w:top w:w="0" w:type="dxa"/>
            <w:left w:w="108" w:type="dxa"/>
            <w:bottom w:w="0" w:type="dxa"/>
            <w:right w:w="108" w:type="dxa"/>
          </w:tblCellMar>
        </w:tblPrEx>
        <w:trPr>
          <w:trHeight w:val="320" w:hRule="atLeast"/>
        </w:trPr>
        <w:tc>
          <w:tcPr>
            <w:tcW w:w="70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1</w:t>
            </w:r>
          </w:p>
        </w:tc>
        <w:tc>
          <w:tcPr>
            <w:tcW w:w="429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支持搜索、新建监测、查看处方报告和体测报告，并具备打印及导出电子报告的功能</w:t>
            </w:r>
          </w:p>
        </w:tc>
      </w:tr>
      <w:tr>
        <w:tblPrEx>
          <w:tblCellMar>
            <w:top w:w="0" w:type="dxa"/>
            <w:left w:w="108" w:type="dxa"/>
            <w:bottom w:w="0" w:type="dxa"/>
            <w:right w:w="108" w:type="dxa"/>
          </w:tblCellMar>
        </w:tblPrEx>
        <w:trPr>
          <w:trHeight w:val="3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0000"/>
                <w:szCs w:val="21"/>
              </w:rPr>
            </w:pPr>
            <w:r>
              <w:rPr>
                <w:rFonts w:hint="eastAsia" w:ascii="微软雅黑" w:hAnsi="微软雅黑" w:eastAsia="微软雅黑" w:cs="微软雅黑"/>
                <w:b/>
                <w:bCs/>
                <w:sz w:val="20"/>
              </w:rPr>
              <w:t>运动评估功能</w:t>
            </w:r>
            <w:r>
              <w:rPr>
                <w:rFonts w:hint="eastAsia" w:ascii="微软雅黑" w:hAnsi="微软雅黑" w:eastAsia="微软雅黑" w:cs="微软雅黑"/>
                <w:b/>
                <w:bCs/>
                <w:sz w:val="20"/>
                <w:lang w:val="en-US" w:eastAsia="zh-CN"/>
              </w:rPr>
              <w:t>细项</w:t>
            </w:r>
          </w:p>
        </w:tc>
      </w:tr>
      <w:tr>
        <w:tblPrEx>
          <w:tblCellMar>
            <w:top w:w="0" w:type="dxa"/>
            <w:left w:w="108" w:type="dxa"/>
            <w:bottom w:w="0" w:type="dxa"/>
            <w:right w:w="108" w:type="dxa"/>
          </w:tblCellMar>
        </w:tblPrEx>
        <w:trPr>
          <w:trHeight w:val="331" w:hRule="atLeast"/>
        </w:trPr>
        <w:tc>
          <w:tcPr>
            <w:tcW w:w="70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1</w:t>
            </w:r>
          </w:p>
        </w:tc>
        <w:tc>
          <w:tcPr>
            <w:tcW w:w="429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val="en-US" w:eastAsia="zh-CN"/>
              </w:rPr>
              <w:t>系统</w:t>
            </w:r>
            <w:r>
              <w:rPr>
                <w:rFonts w:hint="eastAsia" w:ascii="微软雅黑" w:hAnsi="微软雅黑" w:eastAsia="微软雅黑" w:cs="微软雅黑"/>
                <w:color w:val="000000"/>
                <w:szCs w:val="21"/>
              </w:rPr>
              <w:t>具备对3岁及以上青少年儿童的体质测评的功能，依据《学龄前儿童体质测试手册》、《国家学生体质健康标准（2014年修订）》给出运动评估结论</w:t>
            </w:r>
          </w:p>
        </w:tc>
      </w:tr>
      <w:tr>
        <w:tblPrEx>
          <w:tblCellMar>
            <w:top w:w="0" w:type="dxa"/>
            <w:left w:w="108" w:type="dxa"/>
            <w:bottom w:w="0" w:type="dxa"/>
            <w:right w:w="108" w:type="dxa"/>
          </w:tblCellMar>
        </w:tblPrEx>
        <w:trPr>
          <w:trHeight w:val="320" w:hRule="atLeast"/>
        </w:trPr>
        <w:tc>
          <w:tcPr>
            <w:tcW w:w="70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2</w:t>
            </w:r>
          </w:p>
        </w:tc>
        <w:tc>
          <w:tcPr>
            <w:tcW w:w="429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系统会根据患者的年龄和性别，依据《中国7岁以下儿童生长标准》、《中国0-18岁儿童青少年身高体重标准化生长曲线》、《中华-05》骨龄评价标准、以及《WHO关于BMI体型评价标准评价身高百分位数，BMI以及BMI结论》给出生长发育评价结论</w:t>
            </w:r>
          </w:p>
        </w:tc>
      </w:tr>
      <w:tr>
        <w:tblPrEx>
          <w:tblCellMar>
            <w:top w:w="0" w:type="dxa"/>
            <w:left w:w="108" w:type="dxa"/>
            <w:bottom w:w="0" w:type="dxa"/>
            <w:right w:w="108" w:type="dxa"/>
          </w:tblCellMar>
        </w:tblPrEx>
        <w:trPr>
          <w:trHeight w:val="320" w:hRule="atLeast"/>
        </w:trPr>
        <w:tc>
          <w:tcPr>
            <w:tcW w:w="70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3</w:t>
            </w:r>
          </w:p>
        </w:tc>
        <w:tc>
          <w:tcPr>
            <w:tcW w:w="429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系统会根据当前患者的评价结论，智能过滤不适合当前患者的运动项目，医生可结合实际情况，进一步对处方中的运动项目、周频次、运动量、运动强度、运动类型、运动总时长等进行修正</w:t>
            </w:r>
          </w:p>
        </w:tc>
      </w:tr>
      <w:tr>
        <w:tblPrEx>
          <w:tblCellMar>
            <w:top w:w="0" w:type="dxa"/>
            <w:left w:w="108" w:type="dxa"/>
            <w:bottom w:w="0" w:type="dxa"/>
            <w:right w:w="108" w:type="dxa"/>
          </w:tblCellMar>
        </w:tblPrEx>
        <w:trPr>
          <w:trHeight w:val="320" w:hRule="atLeast"/>
        </w:trPr>
        <w:tc>
          <w:tcPr>
            <w:tcW w:w="703"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4</w:t>
            </w:r>
          </w:p>
        </w:tc>
        <w:tc>
          <w:tcPr>
            <w:tcW w:w="429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系统对于体姿态问题已明确的患者，提供体姿态矫正的运动处方模板，医生可选择对应模板快速开具处方</w:t>
            </w:r>
          </w:p>
        </w:tc>
      </w:tr>
      <w:tr>
        <w:tblPrEx>
          <w:tblCellMar>
            <w:top w:w="0" w:type="dxa"/>
            <w:left w:w="108" w:type="dxa"/>
            <w:bottom w:w="0" w:type="dxa"/>
            <w:right w:w="108" w:type="dxa"/>
          </w:tblCellMar>
        </w:tblPrEx>
        <w:trPr>
          <w:trHeight w:val="320" w:hRule="atLeast"/>
        </w:trPr>
        <w:tc>
          <w:tcPr>
            <w:tcW w:w="703"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5</w:t>
            </w:r>
          </w:p>
        </w:tc>
        <w:tc>
          <w:tcPr>
            <w:tcW w:w="429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提供医生使用当前患者的历史处方，医生可选择患者的某一次历史处方，结合实际情况进行必要的调整后，快速开具处方</w:t>
            </w:r>
          </w:p>
        </w:tc>
      </w:tr>
      <w:tr>
        <w:tblPrEx>
          <w:tblCellMar>
            <w:top w:w="0" w:type="dxa"/>
            <w:left w:w="108" w:type="dxa"/>
            <w:bottom w:w="0" w:type="dxa"/>
            <w:right w:w="108" w:type="dxa"/>
          </w:tblCellMar>
        </w:tblPrEx>
        <w:trPr>
          <w:trHeight w:val="320" w:hRule="atLeast"/>
        </w:trPr>
        <w:tc>
          <w:tcPr>
            <w:tcW w:w="703"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6</w:t>
            </w:r>
          </w:p>
        </w:tc>
        <w:tc>
          <w:tcPr>
            <w:tcW w:w="429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系统会根据当前患者的评价结论，推荐给医生处方模板，医生可自行选择系统内置推荐的处方模板，快速开具处方</w:t>
            </w:r>
          </w:p>
        </w:tc>
      </w:tr>
      <w:tr>
        <w:tblPrEx>
          <w:tblCellMar>
            <w:top w:w="0" w:type="dxa"/>
            <w:left w:w="108" w:type="dxa"/>
            <w:bottom w:w="0" w:type="dxa"/>
            <w:right w:w="108" w:type="dxa"/>
          </w:tblCellMar>
        </w:tblPrEx>
        <w:trPr>
          <w:trHeight w:val="3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b/>
                <w:bCs/>
                <w:sz w:val="20"/>
              </w:rPr>
              <w:t>数据图表统计</w:t>
            </w:r>
            <w:r>
              <w:rPr>
                <w:rFonts w:hint="eastAsia" w:ascii="微软雅黑" w:hAnsi="微软雅黑" w:eastAsia="微软雅黑" w:cs="微软雅黑"/>
                <w:b/>
                <w:bCs/>
                <w:sz w:val="20"/>
                <w:lang w:val="en-US" w:eastAsia="zh-CN"/>
              </w:rPr>
              <w:t>功能</w:t>
            </w:r>
          </w:p>
        </w:tc>
      </w:tr>
      <w:tr>
        <w:tblPrEx>
          <w:tblCellMar>
            <w:top w:w="0" w:type="dxa"/>
            <w:left w:w="108" w:type="dxa"/>
            <w:bottom w:w="0" w:type="dxa"/>
            <w:right w:w="108" w:type="dxa"/>
          </w:tblCellMar>
        </w:tblPrEx>
        <w:trPr>
          <w:trHeight w:val="320" w:hRule="atLeast"/>
        </w:trPr>
        <w:tc>
          <w:tcPr>
            <w:tcW w:w="703"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1</w:t>
            </w:r>
          </w:p>
        </w:tc>
        <w:tc>
          <w:tcPr>
            <w:tcW w:w="429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系统在开具运动处方的时候，选择不同的运动项目数据，或者调整运动项目的周频次、运动量、运动强度等数据，都会实时生成“所选运动总时长统计图表”、“运动项目类型时长占比统计图表”、“所选运动时长统计图表”，供医生实时查看处方中的项目类型占比情况及运动时长合理性，为开具合理的运动处方提供决策支持。</w:t>
            </w:r>
          </w:p>
        </w:tc>
      </w:tr>
      <w:tr>
        <w:tblPrEx>
          <w:tblCellMar>
            <w:top w:w="0" w:type="dxa"/>
            <w:left w:w="108" w:type="dxa"/>
            <w:bottom w:w="0" w:type="dxa"/>
            <w:right w:w="108" w:type="dxa"/>
          </w:tblCellMar>
        </w:tblPrEx>
        <w:trPr>
          <w:trHeight w:val="3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b/>
                <w:bCs/>
                <w:color w:val="000000"/>
                <w:szCs w:val="21"/>
                <w:lang w:val="en-US" w:eastAsia="zh-CN"/>
              </w:rPr>
              <w:t>处方执行指导功能</w:t>
            </w:r>
          </w:p>
        </w:tc>
      </w:tr>
      <w:tr>
        <w:tblPrEx>
          <w:tblCellMar>
            <w:top w:w="0" w:type="dxa"/>
            <w:left w:w="108" w:type="dxa"/>
            <w:bottom w:w="0" w:type="dxa"/>
            <w:right w:w="108" w:type="dxa"/>
          </w:tblCellMar>
        </w:tblPrEx>
        <w:trPr>
          <w:trHeight w:val="320" w:hRule="atLeast"/>
        </w:trPr>
        <w:tc>
          <w:tcPr>
            <w:tcW w:w="703"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1</w:t>
            </w:r>
          </w:p>
        </w:tc>
        <w:tc>
          <w:tcPr>
            <w:tcW w:w="429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患者扫描报告上的二维码，可在移动设备上跟练运动。</w:t>
            </w:r>
          </w:p>
        </w:tc>
      </w:tr>
      <w:tr>
        <w:tblPrEx>
          <w:tblCellMar>
            <w:top w:w="0" w:type="dxa"/>
            <w:left w:w="108" w:type="dxa"/>
            <w:bottom w:w="0" w:type="dxa"/>
            <w:right w:w="108" w:type="dxa"/>
          </w:tblCellMar>
        </w:tblPrEx>
        <w:trPr>
          <w:trHeight w:val="320" w:hRule="atLeast"/>
        </w:trPr>
        <w:tc>
          <w:tcPr>
            <w:tcW w:w="5000" w:type="pct"/>
            <w:gridSpan w:val="2"/>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b/>
                <w:bCs/>
                <w:color w:val="000000"/>
                <w:szCs w:val="21"/>
                <w:lang w:val="en-US" w:eastAsia="zh-CN"/>
              </w:rPr>
              <w:t>运动库学习功能</w:t>
            </w:r>
          </w:p>
        </w:tc>
      </w:tr>
      <w:tr>
        <w:tblPrEx>
          <w:tblCellMar>
            <w:top w:w="0" w:type="dxa"/>
            <w:left w:w="108" w:type="dxa"/>
            <w:bottom w:w="0" w:type="dxa"/>
            <w:right w:w="108" w:type="dxa"/>
          </w:tblCellMar>
        </w:tblPrEx>
        <w:trPr>
          <w:trHeight w:val="320" w:hRule="atLeast"/>
        </w:trPr>
        <w:tc>
          <w:tcPr>
            <w:tcW w:w="703"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1</w:t>
            </w:r>
          </w:p>
        </w:tc>
        <w:tc>
          <w:tcPr>
            <w:tcW w:w="4296" w:type="pct"/>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0000"/>
                <w:szCs w:val="21"/>
                <w:lang w:val="en-US" w:eastAsia="zh-CN"/>
              </w:rPr>
            </w:pPr>
            <w:r>
              <w:rPr>
                <w:rFonts w:hint="eastAsia" w:ascii="微软雅黑" w:hAnsi="微软雅黑" w:eastAsia="微软雅黑" w:cs="微软雅黑"/>
                <w:color w:val="000000"/>
                <w:szCs w:val="21"/>
                <w:lang w:val="en-US" w:eastAsia="zh-CN"/>
              </w:rPr>
              <w:t>内置多种运动项目，其中包括不低于13种体态问题的矫正运动，医生可通过运动学习板块功能，通过图文、视频两种方式快速学习并掌握各个运动的用途/目标/功效、运动说明、动作要领、不适宜人群。</w:t>
            </w:r>
          </w:p>
        </w:tc>
      </w:tr>
    </w:tbl>
    <w:p>
      <w:pPr>
        <w:rPr>
          <w:rFonts w:hint="eastAsia" w:ascii="微软雅黑" w:hAnsi="微软雅黑" w:eastAsia="微软雅黑" w:cs="微软雅黑"/>
          <w:sz w:val="32"/>
          <w:szCs w:val="32"/>
        </w:rPr>
      </w:pPr>
      <w:bookmarkStart w:id="1" w:name="_6.1.2、容器服务器"/>
      <w:bookmarkEnd w:id="1"/>
    </w:p>
    <w:p>
      <w:pPr>
        <w:pStyle w:val="2"/>
        <w:numPr>
          <w:ilvl w:val="0"/>
          <w:numId w:val="3"/>
        </w:numPr>
        <w:spacing w:before="0" w:after="0"/>
        <w:rPr>
          <w:rFonts w:hint="eastAsia" w:ascii="微软雅黑" w:hAnsi="微软雅黑" w:eastAsia="微软雅黑" w:cs="微软雅黑"/>
          <w:sz w:val="21"/>
          <w:szCs w:val="21"/>
        </w:rPr>
      </w:pPr>
      <w:r>
        <w:rPr>
          <w:rFonts w:hint="eastAsia" w:ascii="微软雅黑" w:hAnsi="微软雅黑" w:eastAsia="微软雅黑" w:cs="微软雅黑"/>
          <w:sz w:val="32"/>
          <w:szCs w:val="32"/>
        </w:rPr>
        <w:t>项目工期</w:t>
      </w:r>
    </w:p>
    <w:p>
      <w:pPr>
        <w:numPr>
          <w:ilvl w:val="0"/>
          <w:numId w:val="4"/>
        </w:numPr>
        <w:tabs>
          <w:tab w:val="left" w:pos="420"/>
          <w:tab w:val="left" w:pos="780"/>
        </w:tabs>
        <w:spacing w:before="156" w:beforeLines="50" w:line="360" w:lineRule="auto"/>
        <w:outlineLvl w:val="0"/>
        <w:rPr>
          <w:rFonts w:hint="eastAsia" w:ascii="微软雅黑" w:hAnsi="微软雅黑" w:eastAsia="微软雅黑" w:cs="微软雅黑"/>
          <w:szCs w:val="21"/>
        </w:rPr>
      </w:pPr>
      <w:r>
        <w:rPr>
          <w:rFonts w:hint="eastAsia" w:ascii="微软雅黑" w:hAnsi="微软雅黑" w:eastAsia="微软雅黑" w:cs="微软雅黑"/>
          <w:szCs w:val="21"/>
        </w:rPr>
        <w:t>自合同签订日起，须在</w:t>
      </w:r>
      <w:r>
        <w:rPr>
          <w:rFonts w:hint="eastAsia" w:ascii="微软雅黑" w:hAnsi="微软雅黑" w:eastAsia="微软雅黑" w:cs="微软雅黑"/>
          <w:szCs w:val="21"/>
          <w:u w:val="single"/>
          <w:lang w:val="en-US" w:eastAsia="zh-CN"/>
        </w:rPr>
        <w:t>10</w:t>
      </w:r>
      <w:r>
        <w:rPr>
          <w:rFonts w:hint="eastAsia" w:ascii="微软雅黑" w:hAnsi="微软雅黑" w:eastAsia="微软雅黑" w:cs="微软雅黑"/>
          <w:szCs w:val="21"/>
        </w:rPr>
        <w:t>个工作日内对《用户需求说明书》进行补充、确认或提出意见。</w:t>
      </w:r>
    </w:p>
    <w:p>
      <w:pPr>
        <w:numPr>
          <w:ilvl w:val="0"/>
          <w:numId w:val="4"/>
        </w:numPr>
        <w:tabs>
          <w:tab w:val="left" w:pos="780"/>
        </w:tabs>
        <w:spacing w:before="156" w:beforeLines="50" w:line="360" w:lineRule="auto"/>
        <w:outlineLvl w:val="0"/>
        <w:rPr>
          <w:rFonts w:hint="eastAsia" w:ascii="微软雅黑" w:hAnsi="微软雅黑" w:eastAsia="微软雅黑" w:cs="微软雅黑"/>
          <w:szCs w:val="21"/>
        </w:rPr>
      </w:pPr>
      <w:r>
        <w:rPr>
          <w:rFonts w:hint="eastAsia" w:ascii="微软雅黑" w:hAnsi="微软雅黑" w:eastAsia="微软雅黑" w:cs="微软雅黑"/>
          <w:szCs w:val="21"/>
        </w:rPr>
        <w:t>对《用户需求说明书》提出意见后，院方组织进行用户需求调研，根据调研情况提供业务调研记录、现况分析、功能设计及说明，双方共同整理并在</w:t>
      </w:r>
      <w:r>
        <w:rPr>
          <w:rFonts w:hint="eastAsia" w:ascii="微软雅黑" w:hAnsi="微软雅黑" w:eastAsia="微软雅黑" w:cs="微软雅黑"/>
          <w:szCs w:val="21"/>
          <w:u w:val="single"/>
          <w:lang w:val="en-US" w:eastAsia="zh-CN"/>
        </w:rPr>
        <w:t>20</w:t>
      </w:r>
      <w:r>
        <w:rPr>
          <w:rFonts w:hint="eastAsia" w:ascii="微软雅黑" w:hAnsi="微软雅黑" w:eastAsia="微软雅黑" w:cs="微软雅黑"/>
          <w:szCs w:val="21"/>
        </w:rPr>
        <w:t>个工作日内确认《需求规格说明书》。</w:t>
      </w:r>
    </w:p>
    <w:p>
      <w:pPr>
        <w:numPr>
          <w:ilvl w:val="0"/>
          <w:numId w:val="4"/>
        </w:numPr>
        <w:tabs>
          <w:tab w:val="left" w:pos="780"/>
        </w:tabs>
        <w:spacing w:before="156" w:beforeLines="50" w:line="360" w:lineRule="auto"/>
        <w:outlineLvl w:val="0"/>
        <w:rPr>
          <w:rFonts w:hint="eastAsia" w:ascii="微软雅黑" w:hAnsi="微软雅黑" w:eastAsia="微软雅黑" w:cs="微软雅黑"/>
          <w:szCs w:val="21"/>
        </w:rPr>
      </w:pPr>
      <w:r>
        <w:rPr>
          <w:rFonts w:hint="eastAsia" w:ascii="微软雅黑" w:hAnsi="微软雅黑" w:eastAsia="微软雅黑" w:cs="微软雅黑"/>
          <w:szCs w:val="21"/>
        </w:rPr>
        <w:t>须在《需求规格说明书》确认后的</w:t>
      </w:r>
      <w:r>
        <w:rPr>
          <w:rFonts w:hint="eastAsia" w:ascii="微软雅黑" w:hAnsi="微软雅黑" w:eastAsia="微软雅黑" w:cs="微软雅黑"/>
          <w:szCs w:val="21"/>
          <w:lang w:val="en-US" w:eastAsia="zh-CN"/>
        </w:rPr>
        <w:t>90</w:t>
      </w:r>
      <w:r>
        <w:rPr>
          <w:rFonts w:hint="eastAsia" w:ascii="微软雅黑" w:hAnsi="微软雅黑" w:eastAsia="微软雅黑" w:cs="微软雅黑"/>
          <w:szCs w:val="21"/>
        </w:rPr>
        <w:t>个工作日内完成实施导入和保证系统正常工作。</w:t>
      </w:r>
    </w:p>
    <w:p>
      <w:pPr>
        <w:numPr>
          <w:ilvl w:val="0"/>
          <w:numId w:val="4"/>
        </w:numPr>
        <w:tabs>
          <w:tab w:val="left" w:pos="780"/>
        </w:tabs>
        <w:spacing w:before="156" w:beforeLines="50" w:line="360" w:lineRule="auto"/>
        <w:outlineLvl w:val="0"/>
        <w:rPr>
          <w:rFonts w:hint="eastAsia" w:ascii="微软雅黑" w:hAnsi="微软雅黑" w:eastAsia="微软雅黑" w:cs="微软雅黑"/>
          <w:szCs w:val="21"/>
        </w:rPr>
      </w:pPr>
      <w:r>
        <w:rPr>
          <w:rFonts w:hint="eastAsia" w:ascii="微软雅黑" w:hAnsi="微软雅黑" w:eastAsia="微软雅黑" w:cs="微软雅黑"/>
          <w:szCs w:val="21"/>
        </w:rPr>
        <w:t>完成软件实施，并根据院方提出的新需求完成修改后，系统运行</w:t>
      </w:r>
      <w:r>
        <w:rPr>
          <w:rFonts w:hint="eastAsia" w:ascii="微软雅黑" w:hAnsi="微软雅黑" w:eastAsia="微软雅黑" w:cs="微软雅黑"/>
          <w:szCs w:val="21"/>
          <w:lang w:val="en-US" w:eastAsia="zh-CN"/>
        </w:rPr>
        <w:t>6</w:t>
      </w:r>
      <w:r>
        <w:rPr>
          <w:rFonts w:hint="eastAsia" w:ascii="微软雅黑" w:hAnsi="微软雅黑" w:eastAsia="微软雅黑" w:cs="微软雅黑"/>
          <w:szCs w:val="21"/>
        </w:rPr>
        <w:t>个月以上无软件故障出现，则向院方申请验收。</w:t>
      </w:r>
    </w:p>
    <w:p>
      <w:pPr>
        <w:rPr>
          <w:rFonts w:hint="eastAsia" w:ascii="微软雅黑" w:hAnsi="微软雅黑" w:eastAsia="微软雅黑" w:cs="微软雅黑"/>
          <w:lang w:val="zh-CN" w:eastAsia="zh-CN"/>
        </w:rPr>
      </w:pPr>
    </w:p>
    <w:p>
      <w:pPr>
        <w:pStyle w:val="2"/>
        <w:numPr>
          <w:ilvl w:val="0"/>
          <w:numId w:val="3"/>
        </w:numPr>
        <w:spacing w:before="0" w:after="0"/>
        <w:rPr>
          <w:rFonts w:hint="eastAsia" w:ascii="微软雅黑" w:hAnsi="微软雅黑" w:eastAsia="微软雅黑" w:cs="微软雅黑"/>
          <w:color w:val="FF0000"/>
          <w:sz w:val="32"/>
          <w:szCs w:val="32"/>
        </w:rPr>
      </w:pPr>
      <w:r>
        <w:rPr>
          <w:rFonts w:hint="eastAsia" w:ascii="微软雅黑" w:hAnsi="微软雅黑" w:eastAsia="微软雅黑" w:cs="微软雅黑"/>
          <w:sz w:val="32"/>
          <w:szCs w:val="32"/>
        </w:rPr>
        <w:t>集成技术及实施</w:t>
      </w:r>
      <w:r>
        <w:rPr>
          <w:rFonts w:hint="eastAsia" w:ascii="微软雅黑" w:hAnsi="微软雅黑" w:eastAsia="微软雅黑" w:cs="微软雅黑"/>
          <w:sz w:val="32"/>
          <w:szCs w:val="32"/>
        </w:rPr>
        <w:t>服务要求</w:t>
      </w:r>
    </w:p>
    <w:p>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项目实施</w:t>
      </w:r>
      <w:r>
        <w:rPr>
          <w:rFonts w:hint="eastAsia" w:ascii="微软雅黑" w:hAnsi="微软雅黑" w:eastAsia="微软雅黑" w:cs="微软雅黑"/>
          <w:szCs w:val="21"/>
        </w:rPr>
        <w:t>期</w:t>
      </w:r>
      <w:r>
        <w:rPr>
          <w:rFonts w:hint="eastAsia" w:ascii="微软雅黑" w:hAnsi="微软雅黑" w:eastAsia="微软雅黑" w:cs="微软雅黑"/>
          <w:szCs w:val="21"/>
        </w:rPr>
        <w:t>内承建商提供专职工程师</w:t>
      </w:r>
      <w:r>
        <w:rPr>
          <w:rFonts w:hint="eastAsia" w:ascii="微软雅黑" w:hAnsi="微软雅黑" w:eastAsia="微软雅黑" w:cs="微软雅黑"/>
          <w:szCs w:val="21"/>
          <w:u w:val="single"/>
          <w:lang w:val="en-US" w:eastAsia="zh-CN"/>
        </w:rPr>
        <w:t>2</w:t>
      </w:r>
      <w:r>
        <w:rPr>
          <w:rFonts w:hint="eastAsia" w:ascii="微软雅黑" w:hAnsi="微软雅黑" w:eastAsia="微软雅黑" w:cs="微软雅黑"/>
          <w:szCs w:val="21"/>
        </w:rPr>
        <w:t>名</w:t>
      </w:r>
      <w:r>
        <w:rPr>
          <w:rFonts w:hint="eastAsia" w:ascii="微软雅黑" w:hAnsi="微软雅黑" w:eastAsia="微软雅黑" w:cs="微软雅黑"/>
          <w:szCs w:val="21"/>
          <w:lang w:val="en-US" w:eastAsia="zh-CN"/>
        </w:rPr>
        <w:t>以上</w:t>
      </w:r>
      <w:r>
        <w:rPr>
          <w:rFonts w:hint="eastAsia" w:ascii="微软雅黑" w:hAnsi="微软雅黑" w:eastAsia="微软雅黑" w:cs="微软雅黑"/>
          <w:szCs w:val="21"/>
        </w:rPr>
        <w:t>驻扎本院，工作时间与院方工作时间一致，并且提供7*24小时响应服务。</w:t>
      </w:r>
    </w:p>
    <w:p>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项目承建商需根据院方的详细需求，提交项目系统的安装、调试及培训实施方案，方案得到院方确认后实施，保证系统按时、正常地投入运行。</w:t>
      </w:r>
    </w:p>
    <w:p>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验收由承建商给出具体的验收计划、测试的内容和方法，经院方审核通过后，方可进行验收测试。</w:t>
      </w:r>
    </w:p>
    <w:p>
      <w:pPr>
        <w:rPr>
          <w:rFonts w:hint="eastAsia" w:ascii="微软雅黑" w:hAnsi="微软雅黑" w:eastAsia="微软雅黑" w:cs="微软雅黑"/>
          <w:lang w:eastAsia="zh-CN"/>
        </w:rPr>
      </w:pPr>
    </w:p>
    <w:p>
      <w:pPr>
        <w:pStyle w:val="2"/>
        <w:numPr>
          <w:ilvl w:val="0"/>
          <w:numId w:val="3"/>
        </w:numPr>
        <w:spacing w:before="0" w:after="0"/>
        <w:rPr>
          <w:rFonts w:hint="eastAsia" w:ascii="微软雅黑" w:hAnsi="微软雅黑" w:eastAsia="微软雅黑" w:cs="微软雅黑"/>
          <w:color w:val="FF0000"/>
          <w:sz w:val="32"/>
          <w:szCs w:val="32"/>
        </w:rPr>
      </w:pPr>
      <w:r>
        <w:rPr>
          <w:rFonts w:hint="eastAsia" w:ascii="微软雅黑" w:hAnsi="微软雅黑" w:eastAsia="微软雅黑" w:cs="微软雅黑"/>
          <w:sz w:val="32"/>
          <w:szCs w:val="32"/>
        </w:rPr>
        <w:t>后续维护服务</w:t>
      </w:r>
    </w:p>
    <w:p>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软件免费维护期从合同标的验收合格之日算起，期限为</w:t>
      </w:r>
      <w:r>
        <w:rPr>
          <w:rFonts w:hint="eastAsia" w:ascii="微软雅黑" w:hAnsi="微软雅黑" w:eastAsia="微软雅黑" w:cs="微软雅黑"/>
          <w:szCs w:val="21"/>
          <w:u w:val="single"/>
          <w:lang w:val="en-US" w:eastAsia="zh-CN"/>
        </w:rPr>
        <w:t>24</w:t>
      </w:r>
      <w:r>
        <w:rPr>
          <w:rFonts w:hint="eastAsia" w:ascii="微软雅黑" w:hAnsi="微软雅黑" w:eastAsia="微软雅黑" w:cs="微软雅黑"/>
          <w:szCs w:val="21"/>
        </w:rPr>
        <w:t>个月。在免费维护期内，承建商提供技术支持和指导，以及软件的局部改进完善以及故障情况下的现场问题解决。</w:t>
      </w:r>
    </w:p>
    <w:p>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免费维保期内承建商为院方提供维护及服务的部门及固定的专职技术人员。承建商提供专职工程师</w:t>
      </w:r>
      <w:r>
        <w:rPr>
          <w:rFonts w:hint="eastAsia" w:ascii="微软雅黑" w:hAnsi="微软雅黑" w:eastAsia="微软雅黑" w:cs="微软雅黑"/>
          <w:szCs w:val="21"/>
          <w:u w:val="single"/>
          <w:lang w:val="en-US" w:eastAsia="zh-CN"/>
        </w:rPr>
        <w:t>1</w:t>
      </w:r>
      <w:r>
        <w:rPr>
          <w:rFonts w:hint="eastAsia" w:ascii="微软雅黑" w:hAnsi="微软雅黑" w:eastAsia="微软雅黑" w:cs="微软雅黑"/>
          <w:szCs w:val="21"/>
        </w:rPr>
        <w:t>名驻扎本院，工作时间与院方工作时间一致，并且提供7*24小时响应服务。</w:t>
      </w:r>
    </w:p>
    <w:p>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超过免费维护期的，双方另行协商签订维护合同，服务方报价不超过合同软件部分金额的8%。</w:t>
      </w:r>
    </w:p>
    <w:p>
      <w:pPr>
        <w:pStyle w:val="2"/>
        <w:numPr>
          <w:ilvl w:val="0"/>
          <w:numId w:val="3"/>
        </w:numPr>
        <w:spacing w:before="0" w:after="0"/>
        <w:rPr>
          <w:rFonts w:hint="eastAsia" w:ascii="微软雅黑" w:hAnsi="微软雅黑" w:eastAsia="微软雅黑" w:cs="微软雅黑"/>
          <w:color w:val="FF0000"/>
          <w:sz w:val="32"/>
          <w:szCs w:val="32"/>
        </w:rPr>
      </w:pPr>
      <w:r>
        <w:rPr>
          <w:rFonts w:hint="eastAsia" w:ascii="微软雅黑" w:hAnsi="微软雅黑" w:eastAsia="微软雅黑" w:cs="微软雅黑"/>
          <w:sz w:val="32"/>
          <w:szCs w:val="32"/>
        </w:rPr>
        <w:t>合同款支付方式</w:t>
      </w:r>
    </w:p>
    <w:p>
      <w:pPr>
        <w:spacing w:line="360" w:lineRule="auto"/>
        <w:ind w:firstLine="630" w:firstLineChars="300"/>
        <w:rPr>
          <w:rFonts w:hint="eastAsia" w:ascii="微软雅黑" w:hAnsi="微软雅黑" w:eastAsia="微软雅黑" w:cs="微软雅黑"/>
          <w:szCs w:val="21"/>
        </w:rPr>
      </w:pPr>
      <w:r>
        <w:rPr>
          <w:rFonts w:hint="eastAsia" w:ascii="微软雅黑" w:hAnsi="微软雅黑" w:eastAsia="微软雅黑" w:cs="微软雅黑"/>
          <w:szCs w:val="21"/>
        </w:rPr>
        <w:t>(一)合同签订后，在收到承建商开具相应金额正式发票后，支付合同总金额的30%。</w:t>
      </w:r>
    </w:p>
    <w:p>
      <w:pPr>
        <w:tabs>
          <w:tab w:val="left" w:pos="780"/>
        </w:tabs>
        <w:spacing w:before="156" w:beforeLines="50" w:line="360" w:lineRule="auto"/>
        <w:ind w:firstLine="630" w:firstLineChars="300"/>
        <w:outlineLvl w:val="0"/>
        <w:rPr>
          <w:rFonts w:hint="eastAsia" w:ascii="微软雅黑" w:hAnsi="微软雅黑" w:eastAsia="微软雅黑" w:cs="微软雅黑"/>
          <w:b/>
          <w:color w:val="FF0000"/>
          <w:sz w:val="30"/>
          <w:szCs w:val="30"/>
        </w:rPr>
      </w:pPr>
      <w:r>
        <w:rPr>
          <w:rFonts w:hint="eastAsia" w:ascii="微软雅黑" w:hAnsi="微软雅黑" w:eastAsia="微软雅黑" w:cs="微软雅黑"/>
          <w:szCs w:val="21"/>
        </w:rPr>
        <w:t>(二)软件验收通过后，在收到承建商开具相应金额正式发票后，支付合同总金额的</w:t>
      </w:r>
      <w:r>
        <w:rPr>
          <w:rFonts w:hint="eastAsia" w:ascii="微软雅黑" w:hAnsi="微软雅黑" w:eastAsia="微软雅黑" w:cs="微软雅黑"/>
          <w:szCs w:val="21"/>
          <w:lang w:val="en-US" w:eastAsia="zh-CN"/>
        </w:rPr>
        <w:t>70</w:t>
      </w:r>
      <w:r>
        <w:rPr>
          <w:rFonts w:hint="eastAsia" w:ascii="微软雅黑" w:hAnsi="微软雅黑" w:eastAsia="微软雅黑" w:cs="微软雅黑"/>
          <w:szCs w:val="21"/>
        </w:rPr>
        <w:t>%。</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1</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wODc3MDgyNTVmZGRkM2U0N2QwNTY3YzA3NDJmZDAifQ=="/>
  </w:docVars>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310F60FE"/>
    <w:rsid w:val="3611373D"/>
    <w:rsid w:val="42200080"/>
    <w:rsid w:val="488C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5"/>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6"/>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11">
    <w:name w:val="Normal Indent"/>
    <w:basedOn w:val="1"/>
    <w:link w:val="33"/>
    <w:qFormat/>
    <w:uiPriority w:val="99"/>
    <w:pPr>
      <w:spacing w:before="120" w:beforeLines="50" w:line="360" w:lineRule="auto"/>
      <w:ind w:firstLine="512" w:firstLineChars="200"/>
    </w:pPr>
    <w:rPr>
      <w:spacing w:val="8"/>
      <w:sz w:val="24"/>
      <w:szCs w:val="20"/>
      <w:lang w:val="en-US" w:eastAsia="zh-CN"/>
    </w:rPr>
  </w:style>
  <w:style w:type="paragraph" w:styleId="12">
    <w:name w:val="annotation text"/>
    <w:basedOn w:val="1"/>
    <w:link w:val="34"/>
    <w:unhideWhenUsed/>
    <w:qFormat/>
    <w:uiPriority w:val="0"/>
    <w:pPr>
      <w:jc w:val="left"/>
    </w:pPr>
    <w:rPr>
      <w:kern w:val="0"/>
      <w:sz w:val="20"/>
      <w:lang w:val="zh-CN" w:eastAsia="zh-CN"/>
    </w:rPr>
  </w:style>
  <w:style w:type="paragraph" w:styleId="13">
    <w:name w:val="Plain Text"/>
    <w:basedOn w:val="1"/>
    <w:link w:val="35"/>
    <w:qFormat/>
    <w:uiPriority w:val="0"/>
    <w:rPr>
      <w:rFonts w:ascii="Calibri" w:hAnsi="Courier New"/>
      <w:szCs w:val="20"/>
      <w:lang w:val="zh-CN" w:eastAsia="zh-CN"/>
    </w:rPr>
  </w:style>
  <w:style w:type="paragraph" w:styleId="14">
    <w:name w:val="Balloon Text"/>
    <w:basedOn w:val="1"/>
    <w:link w:val="36"/>
    <w:qFormat/>
    <w:uiPriority w:val="0"/>
    <w:rPr>
      <w:sz w:val="18"/>
      <w:szCs w:val="18"/>
      <w:lang w:val="zh-CN" w:eastAsia="zh-CN"/>
    </w:rPr>
  </w:style>
  <w:style w:type="paragraph" w:styleId="15">
    <w:name w:val="footer"/>
    <w:basedOn w:val="1"/>
    <w:link w:val="37"/>
    <w:qFormat/>
    <w:uiPriority w:val="0"/>
    <w:pPr>
      <w:tabs>
        <w:tab w:val="center" w:pos="4153"/>
        <w:tab w:val="right" w:pos="8306"/>
      </w:tabs>
      <w:snapToGrid w:val="0"/>
      <w:jc w:val="left"/>
    </w:pPr>
    <w:rPr>
      <w:sz w:val="18"/>
      <w:szCs w:val="18"/>
      <w:lang w:val="zh-CN" w:eastAsia="zh-CN"/>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3"/>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qFormat/>
    <w:uiPriority w:val="0"/>
    <w:rPr>
      <w:color w:val="0563C1"/>
      <w:u w:val="single"/>
    </w:rPr>
  </w:style>
  <w:style w:type="character" w:styleId="23">
    <w:name w:val="annotation reference"/>
    <w:unhideWhenUsed/>
    <w:qFormat/>
    <w:uiPriority w:val="99"/>
    <w:rPr>
      <w:sz w:val="21"/>
      <w:szCs w:val="21"/>
    </w:rPr>
  </w:style>
  <w:style w:type="character" w:customStyle="1" w:styleId="24">
    <w:name w:val="标题 1 Char"/>
    <w:link w:val="2"/>
    <w:qFormat/>
    <w:uiPriority w:val="0"/>
    <w:rPr>
      <w:b/>
      <w:bCs/>
      <w:kern w:val="44"/>
      <w:sz w:val="44"/>
      <w:szCs w:val="44"/>
      <w:lang w:val="zh-CN" w:eastAsia="zh-CN"/>
    </w:rPr>
  </w:style>
  <w:style w:type="character" w:customStyle="1" w:styleId="25">
    <w:name w:val="标题 2 Char"/>
    <w:link w:val="3"/>
    <w:uiPriority w:val="0"/>
    <w:rPr>
      <w:rFonts w:ascii="等线 Light" w:hAnsi="等线 Light" w:eastAsia="等线 Light" w:cs="Times New Roman"/>
      <w:b/>
      <w:bCs/>
      <w:kern w:val="2"/>
      <w:sz w:val="32"/>
      <w:szCs w:val="32"/>
    </w:rPr>
  </w:style>
  <w:style w:type="character" w:customStyle="1" w:styleId="26">
    <w:name w:val="标题 3 Char"/>
    <w:link w:val="4"/>
    <w:uiPriority w:val="0"/>
    <w:rPr>
      <w:b/>
      <w:bCs/>
      <w:kern w:val="2"/>
      <w:sz w:val="30"/>
      <w:szCs w:val="30"/>
    </w:rPr>
  </w:style>
  <w:style w:type="character" w:customStyle="1" w:styleId="27">
    <w:name w:val="标题 4 Char"/>
    <w:link w:val="5"/>
    <w:qFormat/>
    <w:uiPriority w:val="0"/>
    <w:rPr>
      <w:rFonts w:ascii="宋体" w:hAnsi="宋体"/>
      <w:b/>
      <w:bCs/>
      <w:kern w:val="2"/>
      <w:sz w:val="28"/>
      <w:szCs w:val="28"/>
    </w:rPr>
  </w:style>
  <w:style w:type="character" w:customStyle="1" w:styleId="28">
    <w:name w:val="标题 5 Char"/>
    <w:link w:val="6"/>
    <w:qFormat/>
    <w:uiPriority w:val="0"/>
    <w:rPr>
      <w:b/>
      <w:bCs/>
      <w:kern w:val="2"/>
      <w:sz w:val="28"/>
      <w:szCs w:val="28"/>
    </w:rPr>
  </w:style>
  <w:style w:type="character" w:customStyle="1" w:styleId="29">
    <w:name w:val="标题 6 Char"/>
    <w:link w:val="7"/>
    <w:semiHidden/>
    <w:qFormat/>
    <w:uiPriority w:val="0"/>
    <w:rPr>
      <w:rFonts w:ascii="等线 Light" w:hAnsi="等线 Light" w:eastAsia="等线 Light"/>
      <w:b/>
      <w:bCs/>
      <w:kern w:val="2"/>
      <w:sz w:val="24"/>
      <w:szCs w:val="24"/>
    </w:rPr>
  </w:style>
  <w:style w:type="character" w:customStyle="1" w:styleId="30">
    <w:name w:val="标题 7 Char"/>
    <w:link w:val="8"/>
    <w:semiHidden/>
    <w:qFormat/>
    <w:uiPriority w:val="0"/>
    <w:rPr>
      <w:b/>
      <w:bCs/>
      <w:kern w:val="2"/>
      <w:sz w:val="24"/>
      <w:szCs w:val="24"/>
    </w:rPr>
  </w:style>
  <w:style w:type="character" w:customStyle="1" w:styleId="31">
    <w:name w:val="标题 8 Char"/>
    <w:link w:val="9"/>
    <w:semiHidden/>
    <w:qFormat/>
    <w:uiPriority w:val="0"/>
    <w:rPr>
      <w:rFonts w:ascii="等线 Light" w:hAnsi="等线 Light" w:eastAsia="等线 Light"/>
      <w:kern w:val="2"/>
      <w:sz w:val="24"/>
      <w:szCs w:val="24"/>
    </w:rPr>
  </w:style>
  <w:style w:type="character" w:customStyle="1" w:styleId="32">
    <w:name w:val="标题 9 Char"/>
    <w:link w:val="10"/>
    <w:semiHidden/>
    <w:uiPriority w:val="0"/>
    <w:rPr>
      <w:rFonts w:ascii="等线 Light" w:hAnsi="等线 Light" w:eastAsia="等线 Light"/>
      <w:kern w:val="2"/>
      <w:sz w:val="21"/>
      <w:szCs w:val="21"/>
    </w:rPr>
  </w:style>
  <w:style w:type="character" w:customStyle="1" w:styleId="33">
    <w:name w:val="正文缩进 Char"/>
    <w:link w:val="11"/>
    <w:qFormat/>
    <w:uiPriority w:val="99"/>
    <w:rPr>
      <w:spacing w:val="8"/>
      <w:kern w:val="2"/>
      <w:sz w:val="24"/>
      <w:lang w:val="en-US" w:eastAsia="zh-CN"/>
    </w:rPr>
  </w:style>
  <w:style w:type="character" w:customStyle="1" w:styleId="34">
    <w:name w:val="批注文字 Char"/>
    <w:link w:val="12"/>
    <w:qFormat/>
    <w:uiPriority w:val="0"/>
    <w:rPr>
      <w:szCs w:val="24"/>
    </w:rPr>
  </w:style>
  <w:style w:type="character" w:customStyle="1" w:styleId="35">
    <w:name w:val="纯文本 Char"/>
    <w:link w:val="13"/>
    <w:uiPriority w:val="0"/>
    <w:rPr>
      <w:rFonts w:ascii="Calibri" w:hAnsi="Courier New"/>
      <w:kern w:val="2"/>
      <w:sz w:val="21"/>
    </w:rPr>
  </w:style>
  <w:style w:type="character" w:customStyle="1" w:styleId="36">
    <w:name w:val="批注框文本 Char"/>
    <w:link w:val="14"/>
    <w:uiPriority w:val="0"/>
    <w:rPr>
      <w:kern w:val="2"/>
      <w:sz w:val="18"/>
      <w:szCs w:val="18"/>
    </w:rPr>
  </w:style>
  <w:style w:type="character" w:customStyle="1" w:styleId="37">
    <w:name w:val="页脚 Char"/>
    <w:link w:val="15"/>
    <w:qFormat/>
    <w:uiPriority w:val="0"/>
    <w:rPr>
      <w:kern w:val="2"/>
      <w:sz w:val="18"/>
      <w:szCs w:val="18"/>
    </w:rPr>
  </w:style>
  <w:style w:type="character" w:customStyle="1" w:styleId="38">
    <w:name w:val="页眉 Char"/>
    <w:link w:val="16"/>
    <w:qFormat/>
    <w:uiPriority w:val="0"/>
    <w:rPr>
      <w:kern w:val="2"/>
      <w:sz w:val="18"/>
      <w:szCs w:val="18"/>
    </w:rPr>
  </w:style>
  <w:style w:type="character" w:customStyle="1" w:styleId="39">
    <w:name w:val="已访问的超链接1"/>
    <w:qFormat/>
    <w:uiPriority w:val="0"/>
    <w:rPr>
      <w:color w:val="800080"/>
      <w:u w:val="single"/>
    </w:rPr>
  </w:style>
  <w:style w:type="character" w:customStyle="1" w:styleId="40">
    <w:name w:val="正文（首行缩进2字符） Char"/>
    <w:link w:val="41"/>
    <w:qFormat/>
    <w:uiPriority w:val="0"/>
    <w:rPr>
      <w:kern w:val="2"/>
      <w:sz w:val="24"/>
      <w:szCs w:val="24"/>
    </w:rPr>
  </w:style>
  <w:style w:type="paragraph" w:customStyle="1" w:styleId="41">
    <w:name w:val="正文（首行缩进2字符）"/>
    <w:basedOn w:val="1"/>
    <w:link w:val="40"/>
    <w:qFormat/>
    <w:uiPriority w:val="0"/>
    <w:pPr>
      <w:spacing w:line="360" w:lineRule="auto"/>
      <w:ind w:firstLine="480" w:firstLineChars="200"/>
    </w:pPr>
    <w:rPr>
      <w:sz w:val="24"/>
      <w:lang w:val="zh-CN" w:eastAsia="zh-CN"/>
    </w:rPr>
  </w:style>
  <w:style w:type="character" w:customStyle="1" w:styleId="42">
    <w:name w:val="段落 Char1"/>
    <w:link w:val="43"/>
    <w:qFormat/>
    <w:uiPriority w:val="0"/>
    <w:rPr>
      <w:rFonts w:eastAsia="仿宋_GB2312"/>
      <w:sz w:val="24"/>
      <w:szCs w:val="24"/>
      <w:lang w:val="en-US" w:eastAsia="zh-CN" w:bidi="ar-SA"/>
    </w:rPr>
  </w:style>
  <w:style w:type="paragraph" w:customStyle="1" w:styleId="43">
    <w:name w:val="段落"/>
    <w:link w:val="4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qFormat/>
    <w:uiPriority w:val="0"/>
    <w:rPr>
      <w:rFonts w:ascii="Arial" w:hAnsi="Arial"/>
      <w:sz w:val="21"/>
      <w:szCs w:val="21"/>
      <w:lang w:val="en-US" w:eastAsia="zh-CN" w:bidi="ar-SA"/>
    </w:rPr>
  </w:style>
  <w:style w:type="paragraph" w:customStyle="1" w:styleId="45">
    <w:name w:val="正文（安华金和）"/>
    <w:link w:val="4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qFormat/>
    <w:uiPriority w:val="99"/>
  </w:style>
  <w:style w:type="character" w:customStyle="1" w:styleId="47">
    <w:name w:val="列出段落 Char"/>
    <w:link w:val="48"/>
    <w:qFormat/>
    <w:uiPriority w:val="34"/>
    <w:rPr>
      <w:rFonts w:ascii="等线" w:hAnsi="等线" w:eastAsia="等线"/>
      <w:kern w:val="2"/>
      <w:sz w:val="21"/>
      <w:szCs w:val="22"/>
    </w:rPr>
  </w:style>
  <w:style w:type="paragraph" w:styleId="48">
    <w:name w:val="List Paragraph"/>
    <w:basedOn w:val="1"/>
    <w:link w:val="47"/>
    <w:qFormat/>
    <w:uiPriority w:val="34"/>
    <w:pPr>
      <w:ind w:firstLine="420" w:firstLineChars="200"/>
    </w:pPr>
    <w:rPr>
      <w:rFonts w:ascii="等线" w:hAnsi="等线" w:eastAsia="等线"/>
      <w:szCs w:val="22"/>
      <w:lang w:val="zh-CN" w:eastAsia="zh-CN"/>
    </w:rPr>
  </w:style>
  <w:style w:type="paragraph" w:customStyle="1" w:styleId="49">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qFormat/>
    <w:uiPriority w:val="0"/>
    <w:pPr>
      <w:widowControl/>
      <w:numPr>
        <w:numId w:val="2"/>
      </w:numPr>
      <w:spacing w:after="156"/>
      <w:ind w:leftChars="200"/>
      <w:jc w:val="left"/>
    </w:pPr>
    <w:rPr>
      <w:rFonts w:ascii="Arial" w:hAnsi="Arial" w:eastAsia="黑体"/>
      <w:bCs w:val="0"/>
      <w:kern w:val="0"/>
    </w:rPr>
  </w:style>
  <w:style w:type="paragraph" w:customStyle="1" w:styleId="56">
    <w:name w:val="标题 3（DBSec）"/>
    <w:basedOn w:val="4"/>
    <w:next w:val="1"/>
    <w:qFormat/>
    <w:uiPriority w:val="0"/>
    <w:pPr>
      <w:numPr>
        <w:ilvl w:val="2"/>
        <w:numId w:val="2"/>
      </w:numPr>
      <w:tabs>
        <w:tab w:val="left" w:pos="960"/>
      </w:tabs>
      <w:spacing w:line="415" w:lineRule="auto"/>
      <w:ind w:leftChars="200"/>
      <w:jc w:val="left"/>
    </w:pPr>
    <w:rPr>
      <w:rFonts w:ascii="Arial" w:hAnsi="Arial" w:eastAsia="黑体"/>
      <w:bCs w:val="0"/>
      <w:kern w:val="0"/>
    </w:rPr>
  </w:style>
  <w:style w:type="paragraph" w:customStyle="1" w:styleId="57">
    <w:name w:val="标题 1（DBSec）"/>
    <w:basedOn w:val="2"/>
    <w:next w:val="1"/>
    <w:qFormat/>
    <w:uiPriority w:val="0"/>
    <w:pPr>
      <w:pageBreakBefore/>
      <w:numPr>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pPr>
      <w:numPr>
        <w:ilvl w:val="7"/>
      </w:numPr>
    </w:pPr>
  </w:style>
  <w:style w:type="paragraph" w:customStyle="1" w:styleId="6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字符"/>
    <w:link w:val="17"/>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218</Words>
  <Characters>1244</Characters>
  <Lines>10</Lines>
  <Paragraphs>2</Paragraphs>
  <TotalTime>0</TotalTime>
  <ScaleCrop>false</ScaleCrop>
  <LinksUpToDate>false</LinksUpToDate>
  <CharactersWithSpaces>1460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微信用户</cp:lastModifiedBy>
  <dcterms:modified xsi:type="dcterms:W3CDTF">2023-09-28T06:44:29Z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E6BF652D54F944798887341195E59480</vt:lpwstr>
  </property>
</Properties>
</file>