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疾病预防控制全流程监督系统（一期）项目需求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项目名称：疾病预防控制全流程监督系统（一期）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功能描述</w:t>
      </w:r>
    </w:p>
    <w:p>
      <w:pPr>
        <w:spacing w:line="360" w:lineRule="auto"/>
        <w:ind w:left="432"/>
        <w:rPr>
          <w:rFonts w:hint="eastAsia" w:ascii="宋体" w:hAnsi="宋体"/>
          <w:sz w:val="24"/>
          <w:szCs w:val="28"/>
          <w:lang w:eastAsia="zh-CN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1、</w:t>
      </w:r>
      <w:r>
        <w:rPr>
          <w:rFonts w:hint="eastAsia" w:ascii="宋体" w:hAnsi="宋体"/>
          <w:sz w:val="24"/>
          <w:szCs w:val="28"/>
          <w:lang w:eastAsia="zh-CN"/>
        </w:rPr>
        <w:t>总体要求</w:t>
      </w:r>
    </w:p>
    <w:p>
      <w:pPr>
        <w:spacing w:line="360" w:lineRule="auto"/>
        <w:ind w:left="432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根据《广东省医疗机构疾病预防控制监督员制度试点工作实施方案》</w:t>
      </w:r>
      <w:r>
        <w:rPr>
          <w:rFonts w:hint="eastAsia" w:ascii="宋体" w:hAnsi="宋体"/>
          <w:sz w:val="24"/>
          <w:szCs w:val="28"/>
          <w:lang w:eastAsia="zh-CN"/>
        </w:rPr>
        <w:t>，</w:t>
      </w:r>
      <w:r>
        <w:rPr>
          <w:rFonts w:hint="eastAsia" w:ascii="宋体" w:hAnsi="宋体"/>
          <w:sz w:val="24"/>
          <w:szCs w:val="28"/>
        </w:rPr>
        <w:t>我院作为试点医院探索“大型医疗机构及医联体的兼职监督员配备标准、工作规范和管理机制”。</w:t>
      </w:r>
    </w:p>
    <w:p>
      <w:pPr>
        <w:spacing w:line="360" w:lineRule="auto"/>
        <w:ind w:left="432"/>
        <w:rPr>
          <w:rFonts w:hint="eastAsia" w:ascii="宋体" w:hAnsi="宋体"/>
          <w:sz w:val="24"/>
          <w:szCs w:val="28"/>
          <w:lang w:eastAsia="zh-CN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2、</w:t>
      </w:r>
      <w:r>
        <w:rPr>
          <w:rFonts w:hint="eastAsia" w:ascii="宋体" w:hAnsi="宋体"/>
          <w:sz w:val="24"/>
          <w:szCs w:val="28"/>
          <w:lang w:eastAsia="zh-CN"/>
        </w:rPr>
        <w:t>具体功能要求：</w:t>
      </w:r>
    </w:p>
    <w:tbl>
      <w:tblPr>
        <w:tblStyle w:val="19"/>
        <w:tblW w:w="48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86"/>
        <w:gridCol w:w="2064"/>
        <w:gridCol w:w="4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6.1.1、大数据服务器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二级模块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单点登录SSO管理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传染病上报管理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单点登录直接对接我院</w:t>
            </w:r>
            <w:r>
              <w:rPr>
                <w:rFonts w:hint="eastAsia"/>
                <w:lang w:val="en-US" w:eastAsia="zh-CN"/>
              </w:rPr>
              <w:t>传染病管理系统</w:t>
            </w:r>
            <w:r>
              <w:rPr>
                <w:rFonts w:hint="eastAsia"/>
              </w:rPr>
              <w:t>，实现统一身份认证、角色权限授权、单点登出、快捷到达指定页面。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院感管理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单点登录直接对接我院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院感管理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系统，实现统一身份认证、角色权限授权、单点登出、快捷到达指定页面。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消毒供应管理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单点登录直接对接我院消毒供应中心追溯系统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实现统一身份认证、角色权限授权、单点登出、快捷到达指定页面。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环境卫生学管理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单点登录对接环境卫生学系统，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实现统一身份认证、角色权限授权、单点登出、快捷到达指定页面。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上级督导检查闭环管理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督导任务表单定制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根据督办任务的类型，设计对应的督办表单，支持对多个督办科室、督办负责人发起，支持上传督办附件依据，意见填写。支持新增、删除操作，按照任务编码，发起人，任务状态等条件查询。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督导检查闭环流程设置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根据院内工作督办督查制度要求，设置督导检查闭环的流程节点。支持个性化、灵活的流程流转，跟踪、归档；多个科室下达可并行流程，双向反馈留痕；支持代办提醒。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流程节点权限配置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根据督导流程节点配置不同角色的权限，支持填报上传、审核流转、回撤归档。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督办回头看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设置“督办回头看”状态，支持临期提醒关注，提取相关台账。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督导检查闭环台账整合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针对同个检查任务，整合所有科室的督办过程、反馈过程、整改跟踪过程、检查核实过程，任务完结情况的内容，形成督查闭环台账，支持导出。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用户管理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兼容第三方系统的用户清单，支持新增修改用户账号密码，基本信息，科室，权限等。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角色管理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根据疾控监督角色需求，设置监督员、管理员、科主任等角色，与用户、权限进行配置，一个用户支持配置多个角色。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权限管理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用户通过角色与权限进行关联，可进行系统菜单权限、功能权限、数据权限的分配。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菜单管理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配置系统菜单层级信息，预留其他单点登录SSO配置方式，支持菜单跳转外链。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2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日志管理</w:t>
            </w:r>
          </w:p>
        </w:tc>
        <w:tc>
          <w:tcPr>
            <w:tcW w:w="2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记录各用户在各子系统的操作日志，支持用户、操作时间等维护进行查询。</w:t>
            </w:r>
          </w:p>
        </w:tc>
      </w:tr>
    </w:tbl>
    <w:p>
      <w:pPr>
        <w:rPr>
          <w:sz w:val="32"/>
          <w:szCs w:val="32"/>
        </w:rPr>
      </w:pPr>
      <w:bookmarkStart w:id="1" w:name="_6.1.2、容器服务器"/>
      <w:bookmarkEnd w:id="1"/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自合同签订日起，须在_</w:t>
      </w:r>
      <w:r>
        <w:rPr>
          <w:rFonts w:ascii="宋体" w:hAnsi="宋体" w:cs="宋体"/>
          <w:sz w:val="24"/>
          <w:u w:val="single"/>
        </w:rPr>
        <w:t>10</w:t>
      </w:r>
      <w:r>
        <w:rPr>
          <w:rFonts w:hint="eastAsia" w:ascii="宋体" w:hAnsi="宋体" w:cs="宋体"/>
          <w:szCs w:val="21"/>
        </w:rPr>
        <w:t>_个工作日内对《用户需求说明书》进行补充、确认或提出意见。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>5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须在《需求规格说明书》确认后的_</w:t>
      </w:r>
      <w:r>
        <w:rPr>
          <w:rFonts w:ascii="宋体" w:hAnsi="宋体" w:cs="宋体"/>
          <w:sz w:val="24"/>
          <w:u w:val="single"/>
        </w:rPr>
        <w:t>30</w:t>
      </w:r>
      <w:r>
        <w:rPr>
          <w:rFonts w:hint="eastAsia" w:ascii="宋体" w:hAnsi="宋体" w:cs="宋体"/>
          <w:szCs w:val="21"/>
        </w:rPr>
        <w:t>_个工作日内完成实施导入和保证系统正常工作。</w:t>
      </w:r>
    </w:p>
    <w:p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完成软件实施，并根据院方提出的新需求完成修改后，系统运行_</w:t>
      </w:r>
      <w:r>
        <w:rPr>
          <w:rFonts w:ascii="宋体" w:hAnsi="宋体" w:cs="宋体"/>
          <w:sz w:val="24"/>
          <w:u w:val="single"/>
        </w:rPr>
        <w:t>3</w:t>
      </w:r>
      <w:r>
        <w:rPr>
          <w:rFonts w:hint="eastAsia" w:ascii="宋体" w:hAnsi="宋体" w:cs="宋体"/>
          <w:szCs w:val="21"/>
        </w:rPr>
        <w:t>_个月以上无软件故障出现，则向院方申请验收。</w:t>
      </w:r>
    </w:p>
    <w:p>
      <w:pPr>
        <w:rPr>
          <w:lang w:val="zh-CN"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名驻扎本院，工作时间与院方工作时间一致，并且提供7*24小时响应服务。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>
      <w:pPr>
        <w:rPr>
          <w:lang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80" w:firstLineChars="200"/>
        <w:outlineLvl w:val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维护期从合同标的验收合格之日算起，期限为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cs="宋体"/>
          <w:sz w:val="24"/>
          <w:szCs w:val="24"/>
        </w:rPr>
        <w:t>个月。在维护期内，承建商提供技术支持和指导，以及软件的局部改进完善以及故障情况下的现场问题解决。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(一)合同签订后，在收到承建商开具相应金额正式发票后，支付合同总金额的30%。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(二)软件验收通过后，在收到承建商开具相应金额正式发票后，支付合同总金额的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70</w:t>
      </w:r>
      <w:r>
        <w:rPr>
          <w:rFonts w:hint="eastAsia" w:ascii="宋体" w:hAnsi="宋体" w:cs="宋体"/>
          <w:sz w:val="24"/>
          <w:szCs w:val="24"/>
        </w:rPr>
        <w:t>%。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5060" w:firstLineChars="1400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NWFkNzJiYTU4OGM5OTE2MjhjYzE1Y2Q3OTJkOT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2EB9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5FE3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213E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0250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7446C"/>
    <w:rsid w:val="002834D3"/>
    <w:rsid w:val="002853BF"/>
    <w:rsid w:val="00292528"/>
    <w:rsid w:val="002A01D6"/>
    <w:rsid w:val="002A4778"/>
    <w:rsid w:val="002C53D1"/>
    <w:rsid w:val="002D6BE1"/>
    <w:rsid w:val="002F31F1"/>
    <w:rsid w:val="002F541C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05B6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764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38A8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617B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41D0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0AC6"/>
    <w:rsid w:val="00AA1F69"/>
    <w:rsid w:val="00AB348F"/>
    <w:rsid w:val="00AB7D36"/>
    <w:rsid w:val="00AC1390"/>
    <w:rsid w:val="00AC4663"/>
    <w:rsid w:val="00AD1151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0B3A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5025DBE"/>
    <w:rsid w:val="077E27D8"/>
    <w:rsid w:val="0BD936D7"/>
    <w:rsid w:val="123646B2"/>
    <w:rsid w:val="13337B71"/>
    <w:rsid w:val="171B251D"/>
    <w:rsid w:val="18D863FB"/>
    <w:rsid w:val="243E1136"/>
    <w:rsid w:val="26A006A9"/>
    <w:rsid w:val="298C7198"/>
    <w:rsid w:val="2C46226B"/>
    <w:rsid w:val="42200080"/>
    <w:rsid w:val="488C513A"/>
    <w:rsid w:val="6C7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字符1"/>
    <w:link w:val="12"/>
    <w:qFormat/>
    <w:uiPriority w:val="0"/>
    <w:rPr>
      <w:szCs w:val="24"/>
    </w:rPr>
  </w:style>
  <w:style w:type="character" w:customStyle="1" w:styleId="35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8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611</Words>
  <Characters>3489</Characters>
  <Lines>29</Lines>
  <Paragraphs>8</Paragraphs>
  <TotalTime>324</TotalTime>
  <ScaleCrop>false</ScaleCrop>
  <LinksUpToDate>false</LinksUpToDate>
  <CharactersWithSpaces>4092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省医dmy</cp:lastModifiedBy>
  <cp:lastPrinted>2023-11-08T03:31:00Z</cp:lastPrinted>
  <dcterms:modified xsi:type="dcterms:W3CDTF">2023-11-08T08:39:02Z</dcterms:modified>
  <dc:title>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56123C8BA3344E4A97D05650D776AD84_13</vt:lpwstr>
  </property>
</Properties>
</file>