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4" w:beforeLines="200" w:after="312" w:afterLines="100" w:line="360" w:lineRule="auto"/>
        <w:jc w:val="center"/>
        <w:rPr>
          <w:rFonts w:ascii="宋体" w:hAnsi="宋体"/>
          <w:b/>
          <w:sz w:val="44"/>
          <w:szCs w:val="30"/>
        </w:rPr>
      </w:pPr>
      <w:r>
        <w:rPr>
          <w:rFonts w:hint="eastAsia" w:ascii="宋体" w:hAnsi="宋体"/>
          <w:b/>
          <w:sz w:val="44"/>
          <w:szCs w:val="30"/>
        </w:rPr>
        <w:t>广东省人民医院无线网络利旧拆装</w:t>
      </w:r>
      <w:r>
        <w:rPr>
          <w:rFonts w:hint="eastAsia" w:ascii="宋体" w:hAnsi="宋体"/>
          <w:b/>
          <w:sz w:val="44"/>
          <w:szCs w:val="30"/>
          <w:lang w:eastAsia="zh-CN"/>
        </w:rPr>
        <w:t>服务</w:t>
      </w:r>
      <w:bookmarkStart w:id="0" w:name="_GoBack"/>
      <w:bookmarkEnd w:id="0"/>
      <w:r>
        <w:rPr>
          <w:rFonts w:hint="eastAsia" w:ascii="宋体" w:hAnsi="宋体"/>
          <w:b/>
          <w:sz w:val="44"/>
          <w:szCs w:val="30"/>
        </w:rPr>
        <w:t>需求</w:t>
      </w:r>
    </w:p>
    <w:p>
      <w:pPr>
        <w:pStyle w:val="2"/>
        <w:numPr>
          <w:ilvl w:val="0"/>
          <w:numId w:val="3"/>
        </w:numPr>
        <w:spacing w:before="0" w:after="0"/>
        <w:rPr>
          <w:rFonts w:ascii="宋体" w:hAnsi="宋体"/>
          <w:sz w:val="32"/>
          <w:szCs w:val="32"/>
        </w:rPr>
      </w:pPr>
      <w:r>
        <w:rPr>
          <w:rFonts w:hint="eastAsia" w:ascii="宋体" w:hAnsi="宋体"/>
          <w:sz w:val="32"/>
          <w:szCs w:val="32"/>
        </w:rPr>
        <w:t>项目名称</w:t>
      </w:r>
    </w:p>
    <w:p>
      <w:pPr>
        <w:spacing w:line="360" w:lineRule="auto"/>
        <w:ind w:left="432"/>
        <w:rPr>
          <w:rFonts w:ascii="宋体" w:hAnsi="宋体"/>
          <w:sz w:val="22"/>
        </w:rPr>
      </w:pPr>
      <w:r>
        <w:rPr>
          <w:rFonts w:hint="eastAsia" w:ascii="宋体" w:hAnsi="宋体"/>
          <w:sz w:val="22"/>
        </w:rPr>
        <w:t>项目名称：广东省人民医院东无线网络利旧拆装项目</w:t>
      </w:r>
    </w:p>
    <w:p>
      <w:pPr>
        <w:pStyle w:val="2"/>
        <w:numPr>
          <w:ilvl w:val="0"/>
          <w:numId w:val="3"/>
        </w:numPr>
        <w:spacing w:before="0" w:after="0"/>
        <w:rPr>
          <w:rFonts w:ascii="宋体" w:hAnsi="宋体"/>
          <w:sz w:val="32"/>
          <w:szCs w:val="32"/>
        </w:rPr>
      </w:pPr>
      <w:r>
        <w:rPr>
          <w:rFonts w:hint="eastAsia" w:ascii="宋体" w:hAnsi="宋体"/>
          <w:sz w:val="32"/>
          <w:szCs w:val="32"/>
        </w:rPr>
        <w:t>采购清单</w:t>
      </w:r>
    </w:p>
    <w:p>
      <w:r>
        <w:rPr>
          <w:rFonts w:hint="eastAsia"/>
        </w:rPr>
        <w:t>采购</w:t>
      </w:r>
      <w:r>
        <w:rPr>
          <w:rFonts w:hint="eastAsia"/>
          <w:lang w:eastAsia="zh-CN"/>
        </w:rPr>
        <w:t>服务</w:t>
      </w:r>
      <w:r>
        <w:rPr>
          <w:rFonts w:hint="eastAsia"/>
        </w:rPr>
        <w:t>如下：</w:t>
      </w:r>
    </w:p>
    <w:tbl>
      <w:tblPr>
        <w:tblStyle w:val="20"/>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3261"/>
        <w:gridCol w:w="51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jc w:val="center"/>
              <w:rPr>
                <w:b/>
              </w:rPr>
            </w:pPr>
            <w:r>
              <w:rPr>
                <w:rFonts w:hint="eastAsia"/>
                <w:b/>
              </w:rPr>
              <w:t>序号</w:t>
            </w:r>
          </w:p>
        </w:tc>
        <w:tc>
          <w:tcPr>
            <w:tcW w:w="3261" w:type="dxa"/>
          </w:tcPr>
          <w:p>
            <w:pPr>
              <w:jc w:val="center"/>
              <w:rPr>
                <w:b/>
              </w:rPr>
            </w:pPr>
            <w:r>
              <w:rPr>
                <w:rFonts w:hint="eastAsia"/>
                <w:b/>
              </w:rPr>
              <w:t>名称</w:t>
            </w:r>
          </w:p>
        </w:tc>
        <w:tc>
          <w:tcPr>
            <w:tcW w:w="5131" w:type="dxa"/>
          </w:tcPr>
          <w:p>
            <w:pPr>
              <w:jc w:val="center"/>
              <w:rPr>
                <w:b/>
              </w:rPr>
            </w:pPr>
            <w:r>
              <w:rPr>
                <w:rFonts w:hint="eastAsia"/>
                <w:b/>
              </w:rPr>
              <w:t>配置描述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jc w:val="center"/>
            </w:pPr>
            <w:r>
              <w:rPr>
                <w:rFonts w:hint="eastAsia"/>
              </w:rPr>
              <w:t>1</w:t>
            </w:r>
          </w:p>
        </w:tc>
        <w:tc>
          <w:tcPr>
            <w:tcW w:w="3261" w:type="dxa"/>
          </w:tcPr>
          <w:p>
            <w:pPr>
              <w:jc w:val="center"/>
            </w:pPr>
            <w:r>
              <w:rPr>
                <w:rFonts w:hint="eastAsia"/>
              </w:rPr>
              <w:t>门诊住院大楼东川门诊2-5层装修改造工程AP拆除</w:t>
            </w:r>
          </w:p>
        </w:tc>
        <w:tc>
          <w:tcPr>
            <w:tcW w:w="5131" w:type="dxa"/>
          </w:tcPr>
          <w:p>
            <w:pPr>
              <w:jc w:val="center"/>
              <w:rPr>
                <w:rFonts w:ascii="宋体" w:hAnsi="宋体" w:cs="宋体"/>
                <w:color w:val="000000"/>
                <w:szCs w:val="21"/>
              </w:rPr>
            </w:pPr>
            <w:r>
              <w:rPr>
                <w:rFonts w:hint="eastAsia" w:ascii="宋体" w:hAnsi="宋体" w:cs="宋体"/>
                <w:color w:val="000000"/>
                <w:szCs w:val="21"/>
              </w:rPr>
              <w:t>【仅拆除】对无线AP进行拆卸（门诊楼3-5楼、按照图纸可以拆卸分布式AP共计74个，放装AP共计20个；）拆卸后的AP使用到其他楼宇。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jc w:val="center"/>
            </w:pPr>
            <w:r>
              <w:rPr>
                <w:rFonts w:hint="eastAsia"/>
              </w:rPr>
              <w:t>2</w:t>
            </w:r>
          </w:p>
        </w:tc>
        <w:tc>
          <w:tcPr>
            <w:tcW w:w="3261" w:type="dxa"/>
          </w:tcPr>
          <w:p>
            <w:pPr>
              <w:jc w:val="center"/>
            </w:pPr>
            <w:r>
              <w:rPr>
                <w:rFonts w:hint="eastAsia"/>
              </w:rPr>
              <w:t>伟伦楼整体改造工程AP拆除</w:t>
            </w:r>
          </w:p>
        </w:tc>
        <w:tc>
          <w:tcPr>
            <w:tcW w:w="5131" w:type="dxa"/>
          </w:tcPr>
          <w:p>
            <w:pPr>
              <w:jc w:val="center"/>
              <w:rPr>
                <w:rFonts w:ascii="宋体" w:hAnsi="宋体" w:cs="宋体"/>
                <w:color w:val="000000"/>
                <w:szCs w:val="21"/>
              </w:rPr>
            </w:pPr>
            <w:r>
              <w:rPr>
                <w:rFonts w:hint="eastAsia" w:ascii="宋体" w:hAnsi="宋体" w:cs="宋体"/>
                <w:color w:val="000000"/>
                <w:szCs w:val="21"/>
              </w:rPr>
              <w:t>【仅拆除】对无线AP进行拆卸（伟伦楼-1，-2楼、2-6楼按照图纸可以拆卸分布式AP共计50个，放装AP共计12个；）拆卸后的AP使用到其他楼宇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jc w:val="center"/>
            </w:pPr>
            <w:r>
              <w:rPr>
                <w:rFonts w:hint="eastAsia"/>
              </w:rPr>
              <w:t>3</w:t>
            </w:r>
          </w:p>
        </w:tc>
        <w:tc>
          <w:tcPr>
            <w:tcW w:w="3261" w:type="dxa"/>
          </w:tcPr>
          <w:p>
            <w:pPr>
              <w:jc w:val="center"/>
            </w:pPr>
            <w:r>
              <w:rPr>
                <w:rFonts w:hint="eastAsia"/>
              </w:rPr>
              <w:t>科教楼首层血透室装修无线网络AP利旧拆装</w:t>
            </w:r>
          </w:p>
        </w:tc>
        <w:tc>
          <w:tcPr>
            <w:tcW w:w="5131" w:type="dxa"/>
          </w:tcPr>
          <w:p>
            <w:pPr>
              <w:jc w:val="center"/>
              <w:rPr>
                <w:rFonts w:ascii="宋体" w:hAnsi="宋体" w:cs="宋体"/>
                <w:color w:val="000000"/>
                <w:szCs w:val="21"/>
              </w:rPr>
            </w:pPr>
            <w:r>
              <w:rPr>
                <w:rFonts w:hint="eastAsia" w:ascii="宋体" w:hAnsi="宋体" w:cs="宋体"/>
                <w:color w:val="000000"/>
                <w:szCs w:val="21"/>
              </w:rPr>
              <w:t>【利旧拆装】对无线AP进行拆装，4个分布式AP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jc w:val="center"/>
            </w:pPr>
            <w:r>
              <w:rPr>
                <w:rFonts w:hint="eastAsia"/>
              </w:rPr>
              <w:t>4</w:t>
            </w:r>
          </w:p>
        </w:tc>
        <w:tc>
          <w:tcPr>
            <w:tcW w:w="3261" w:type="dxa"/>
          </w:tcPr>
          <w:p>
            <w:pPr>
              <w:jc w:val="center"/>
            </w:pPr>
            <w:r>
              <w:rPr>
                <w:rFonts w:hint="eastAsia"/>
              </w:rPr>
              <w:t>门诊住院大楼20层病房装修工程AP利旧拆装</w:t>
            </w:r>
          </w:p>
        </w:tc>
        <w:tc>
          <w:tcPr>
            <w:tcW w:w="5131" w:type="dxa"/>
          </w:tcPr>
          <w:p>
            <w:pPr>
              <w:jc w:val="center"/>
              <w:rPr>
                <w:rFonts w:ascii="宋体" w:hAnsi="宋体" w:cs="宋体"/>
                <w:color w:val="000000"/>
                <w:szCs w:val="21"/>
              </w:rPr>
            </w:pPr>
            <w:r>
              <w:rPr>
                <w:rFonts w:hint="eastAsia" w:ascii="宋体" w:hAnsi="宋体" w:cs="宋体"/>
                <w:color w:val="000000"/>
                <w:szCs w:val="21"/>
              </w:rPr>
              <w:t>【利旧拆装】对无线AP进行拆装（8个分布式式AP，15个放装AP）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jc w:val="center"/>
            </w:pPr>
            <w:r>
              <w:rPr>
                <w:rFonts w:hint="eastAsia"/>
              </w:rPr>
              <w:t>5</w:t>
            </w:r>
          </w:p>
        </w:tc>
        <w:tc>
          <w:tcPr>
            <w:tcW w:w="3261" w:type="dxa"/>
          </w:tcPr>
          <w:p>
            <w:pPr>
              <w:jc w:val="center"/>
            </w:pPr>
            <w:r>
              <w:rPr>
                <w:rFonts w:hint="eastAsia"/>
              </w:rPr>
              <w:t>英东楼负一楼膳食厨房改造工程AP利旧拆装</w:t>
            </w:r>
          </w:p>
        </w:tc>
        <w:tc>
          <w:tcPr>
            <w:tcW w:w="5131" w:type="dxa"/>
          </w:tcPr>
          <w:p>
            <w:pPr>
              <w:jc w:val="center"/>
              <w:rPr>
                <w:rFonts w:ascii="宋体" w:hAnsi="宋体" w:cs="宋体"/>
                <w:color w:val="000000"/>
                <w:szCs w:val="21"/>
              </w:rPr>
            </w:pPr>
            <w:r>
              <w:rPr>
                <w:rFonts w:hint="eastAsia" w:ascii="宋体" w:hAnsi="宋体" w:cs="宋体"/>
                <w:color w:val="000000"/>
                <w:szCs w:val="21"/>
              </w:rPr>
              <w:t>【利旧拆装】对无线AP进行拆装（1个放装式AP、3个分布式AP）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jc w:val="center"/>
            </w:pPr>
            <w:r>
              <w:rPr>
                <w:rFonts w:hint="eastAsia"/>
              </w:rPr>
              <w:t>6</w:t>
            </w:r>
          </w:p>
        </w:tc>
        <w:tc>
          <w:tcPr>
            <w:tcW w:w="3261" w:type="dxa"/>
          </w:tcPr>
          <w:p>
            <w:pPr>
              <w:jc w:val="center"/>
            </w:pPr>
            <w:r>
              <w:rPr>
                <w:rFonts w:hint="eastAsia"/>
              </w:rPr>
              <w:t>广东省医学科学院建设项目AP利旧拆装</w:t>
            </w:r>
          </w:p>
        </w:tc>
        <w:tc>
          <w:tcPr>
            <w:tcW w:w="5131" w:type="dxa"/>
          </w:tcPr>
          <w:p>
            <w:pPr>
              <w:jc w:val="center"/>
              <w:rPr>
                <w:rFonts w:ascii="宋体" w:hAnsi="宋体" w:cs="宋体"/>
                <w:color w:val="000000"/>
                <w:szCs w:val="21"/>
              </w:rPr>
            </w:pPr>
            <w:r>
              <w:rPr>
                <w:rFonts w:hint="eastAsia" w:ascii="宋体" w:hAnsi="宋体" w:cs="宋体"/>
                <w:color w:val="000000"/>
                <w:szCs w:val="21"/>
              </w:rPr>
              <w:t>【利旧拆装】采用门诊楼3-5楼，20楼，伟伦楼3-6楼的无线AP进行覆盖（120个分布式AP，25个放装AP）</w:t>
            </w:r>
          </w:p>
        </w:tc>
      </w:tr>
    </w:tbl>
    <w:p>
      <w:pPr>
        <w:pStyle w:val="50"/>
        <w:keepNext/>
        <w:keepLines/>
        <w:numPr>
          <w:ilvl w:val="0"/>
          <w:numId w:val="1"/>
        </w:numPr>
        <w:spacing w:line="578" w:lineRule="auto"/>
        <w:ind w:firstLineChars="0"/>
        <w:outlineLvl w:val="0"/>
        <w:rPr>
          <w:rFonts w:ascii="宋体" w:hAnsi="宋体" w:eastAsia="宋体"/>
          <w:b/>
          <w:bCs/>
          <w:vanish/>
          <w:kern w:val="44"/>
          <w:sz w:val="44"/>
          <w:szCs w:val="44"/>
        </w:rPr>
      </w:pPr>
    </w:p>
    <w:p>
      <w:pPr>
        <w:pStyle w:val="50"/>
        <w:keepNext/>
        <w:keepLines/>
        <w:numPr>
          <w:ilvl w:val="0"/>
          <w:numId w:val="1"/>
        </w:numPr>
        <w:spacing w:line="578" w:lineRule="auto"/>
        <w:ind w:firstLineChars="0"/>
        <w:outlineLvl w:val="0"/>
        <w:rPr>
          <w:rFonts w:ascii="宋体" w:hAnsi="宋体" w:eastAsia="宋体"/>
          <w:b/>
          <w:bCs/>
          <w:vanish/>
          <w:kern w:val="44"/>
          <w:sz w:val="44"/>
          <w:szCs w:val="44"/>
        </w:rPr>
      </w:pPr>
    </w:p>
    <w:p>
      <w:pPr>
        <w:pStyle w:val="50"/>
        <w:keepNext/>
        <w:keepLines/>
        <w:numPr>
          <w:ilvl w:val="0"/>
          <w:numId w:val="1"/>
        </w:numPr>
        <w:spacing w:line="578" w:lineRule="auto"/>
        <w:ind w:firstLineChars="0"/>
        <w:outlineLvl w:val="0"/>
        <w:rPr>
          <w:rFonts w:ascii="宋体" w:hAnsi="宋体" w:eastAsia="宋体"/>
          <w:b/>
          <w:bCs/>
          <w:vanish/>
          <w:kern w:val="44"/>
          <w:sz w:val="44"/>
          <w:szCs w:val="44"/>
        </w:rPr>
      </w:pPr>
    </w:p>
    <w:p>
      <w:pPr>
        <w:pStyle w:val="50"/>
        <w:keepNext/>
        <w:keepLines/>
        <w:numPr>
          <w:ilvl w:val="1"/>
          <w:numId w:val="1"/>
        </w:numPr>
        <w:spacing w:line="578" w:lineRule="auto"/>
        <w:ind w:firstLineChars="0"/>
        <w:outlineLvl w:val="0"/>
        <w:rPr>
          <w:rFonts w:ascii="宋体" w:hAnsi="宋体" w:eastAsia="宋体"/>
          <w:b/>
          <w:bCs/>
          <w:vanish/>
          <w:kern w:val="44"/>
          <w:sz w:val="44"/>
          <w:szCs w:val="44"/>
        </w:rPr>
      </w:pPr>
    </w:p>
    <w:p>
      <w:pPr>
        <w:pStyle w:val="2"/>
        <w:numPr>
          <w:ilvl w:val="0"/>
          <w:numId w:val="0"/>
        </w:numPr>
        <w:spacing w:before="0" w:after="0"/>
        <w:ind w:left="432"/>
        <w:rPr>
          <w:rFonts w:ascii="宋体" w:hAnsi="宋体"/>
          <w:sz w:val="32"/>
          <w:szCs w:val="32"/>
        </w:rPr>
      </w:pPr>
    </w:p>
    <w:p>
      <w:pPr>
        <w:pStyle w:val="2"/>
        <w:numPr>
          <w:ilvl w:val="0"/>
          <w:numId w:val="3"/>
        </w:numPr>
        <w:spacing w:before="0" w:after="0"/>
        <w:rPr>
          <w:rFonts w:ascii="宋体" w:hAnsi="宋体"/>
          <w:color w:val="FF0000"/>
          <w:sz w:val="32"/>
          <w:szCs w:val="32"/>
        </w:rPr>
      </w:pPr>
      <w:r>
        <w:rPr>
          <w:rFonts w:hint="eastAsia" w:ascii="宋体" w:hAnsi="宋体"/>
          <w:sz w:val="32"/>
          <w:szCs w:val="32"/>
        </w:rPr>
        <w:t>项目需求</w:t>
      </w:r>
    </w:p>
    <w:p>
      <w:pPr>
        <w:rPr>
          <w:lang w:val="zh-CN"/>
        </w:rPr>
      </w:pPr>
    </w:p>
    <w:p>
      <w:pPr>
        <w:spacing w:line="360" w:lineRule="auto"/>
        <w:rPr>
          <w:rFonts w:ascii="宋体" w:hAnsi="宋体"/>
          <w:b/>
          <w:bCs/>
          <w:sz w:val="24"/>
        </w:rPr>
      </w:pPr>
      <w:r>
        <w:rPr>
          <w:rFonts w:ascii="宋体" w:hAnsi="宋体"/>
          <w:b/>
          <w:bCs/>
          <w:sz w:val="24"/>
        </w:rPr>
        <w:t>3.1.1</w:t>
      </w:r>
      <w:r>
        <w:rPr>
          <w:rFonts w:hint="eastAsia" w:ascii="宋体" w:hAnsi="宋体"/>
          <w:b/>
          <w:bCs/>
          <w:sz w:val="24"/>
        </w:rPr>
        <w:t>、广东省人民医院东川院区、平洲院区广东省医学科学院无线网络利旧拆装项目</w:t>
      </w:r>
    </w:p>
    <w:p>
      <w:pPr>
        <w:widowControl/>
        <w:spacing w:line="360" w:lineRule="auto"/>
        <w:ind w:firstLine="567" w:firstLineChars="270"/>
        <w:jc w:val="left"/>
        <w:rPr>
          <w:rFonts w:ascii="仿宋_GB2312" w:hAnsi="宋体" w:eastAsia="仿宋_GB2312" w:cs="Arial"/>
          <w:b/>
          <w:sz w:val="28"/>
          <w:szCs w:val="28"/>
        </w:rPr>
      </w:pPr>
      <w:r>
        <w:rPr>
          <w:rFonts w:hint="eastAsia" w:ascii="宋体" w:hAnsi="宋体" w:cs="黑体"/>
          <w:szCs w:val="21"/>
        </w:rPr>
        <w:t>广东省人民医院为适应业务发展，对科教楼首层、门诊楼20层、英东楼负一楼、重新装修，该区域已全面覆盖无线网络，装修期间将拆除原无线网络。现需根据装修进度，对原无线WiF</w:t>
      </w:r>
      <w:r>
        <w:rPr>
          <w:rFonts w:ascii="宋体" w:hAnsi="宋体" w:cs="黑体"/>
          <w:szCs w:val="21"/>
        </w:rPr>
        <w:t>i</w:t>
      </w:r>
      <w:r>
        <w:rPr>
          <w:rFonts w:hint="eastAsia" w:ascii="宋体" w:hAnsi="宋体" w:cs="黑体"/>
          <w:szCs w:val="21"/>
        </w:rPr>
        <w:t>网络进行</w:t>
      </w:r>
      <w:r>
        <w:rPr>
          <w:rFonts w:ascii="宋体" w:hAnsi="宋体" w:cs="黑体"/>
          <w:szCs w:val="21"/>
        </w:rPr>
        <w:t>重新</w:t>
      </w:r>
      <w:r>
        <w:rPr>
          <w:rFonts w:hint="eastAsia" w:ascii="宋体" w:hAnsi="宋体" w:cs="黑体"/>
          <w:szCs w:val="21"/>
        </w:rPr>
        <w:t>覆盖，要求复装后无线信号质量达到无线网络拆除前的信号质量。对广东省医学科学院进行利旧无线设备安装覆盖，利旧设备采用</w:t>
      </w:r>
      <w:r>
        <w:rPr>
          <w:rFonts w:hint="eastAsia" w:ascii="宋体" w:hAnsi="宋体" w:cs="宋体"/>
          <w:color w:val="000000"/>
          <w:szCs w:val="21"/>
        </w:rPr>
        <w:t>门诊楼3-5楼，20楼，伟伦楼3-6楼的无线AP。</w:t>
      </w:r>
    </w:p>
    <w:p>
      <w:pPr>
        <w:widowControl/>
        <w:spacing w:line="360" w:lineRule="auto"/>
        <w:ind w:firstLine="567" w:firstLineChars="270"/>
        <w:jc w:val="left"/>
        <w:rPr>
          <w:rFonts w:ascii="宋体" w:hAnsi="宋体" w:cs="黑体"/>
          <w:szCs w:val="21"/>
        </w:rPr>
      </w:pPr>
      <w:r>
        <w:rPr>
          <w:rFonts w:hint="eastAsia" w:ascii="宋体" w:hAnsi="宋体" w:cs="黑体"/>
          <w:szCs w:val="21"/>
        </w:rPr>
        <w:t>1、覆盖范围：广东省人民医院上表清单，需对这些楼层的无线WiFi网络进行重新覆盖并在施工完成后，提供本项目区域的网络施工质量保障服务；</w:t>
      </w:r>
    </w:p>
    <w:p>
      <w:pPr>
        <w:widowControl/>
        <w:spacing w:line="360" w:lineRule="auto"/>
        <w:ind w:firstLine="567" w:firstLineChars="270"/>
        <w:jc w:val="left"/>
        <w:rPr>
          <w:rFonts w:ascii="宋体" w:hAnsi="宋体" w:cs="黑体"/>
          <w:szCs w:val="21"/>
        </w:rPr>
      </w:pPr>
      <w:r>
        <w:rPr>
          <w:rFonts w:hint="eastAsia" w:ascii="宋体" w:hAnsi="宋体" w:cs="黑体"/>
          <w:szCs w:val="21"/>
        </w:rPr>
        <w:t>2、无线网络接入：供应商对本项目建设的无线网络需接入原WiFi网络无线控制器（H</w:t>
      </w:r>
      <w:r>
        <w:rPr>
          <w:rFonts w:ascii="宋体" w:hAnsi="宋体" w:cs="黑体"/>
          <w:szCs w:val="21"/>
        </w:rPr>
        <w:t>3C EWP-WX6108E8</w:t>
      </w:r>
      <w:r>
        <w:rPr>
          <w:rFonts w:hint="eastAsia" w:ascii="宋体" w:hAnsi="宋体" w:cs="黑体"/>
          <w:szCs w:val="21"/>
        </w:rPr>
        <w:t>）、原WiFi网络认证设备、原WiFi网络网管设备，进行统一管理；</w:t>
      </w:r>
    </w:p>
    <w:p>
      <w:pPr>
        <w:widowControl/>
        <w:spacing w:line="360" w:lineRule="auto"/>
        <w:ind w:firstLine="567" w:firstLineChars="270"/>
        <w:jc w:val="left"/>
        <w:rPr>
          <w:rFonts w:ascii="宋体" w:hAnsi="宋体" w:cs="黑体"/>
          <w:szCs w:val="21"/>
        </w:rPr>
      </w:pPr>
      <w:r>
        <w:rPr>
          <w:rFonts w:hint="eastAsia" w:ascii="宋体" w:hAnsi="宋体" w:cs="黑体"/>
          <w:szCs w:val="21"/>
        </w:rPr>
        <w:t>3、分布式AP需外置≥8个RP-SMA接口，每个接口均可同时支持2.4G和5GHz（固化，非功分器转换），需与无线控制器同一品牌。</w:t>
      </w:r>
    </w:p>
    <w:p>
      <w:pPr>
        <w:spacing w:line="360" w:lineRule="auto"/>
        <w:ind w:firstLine="420" w:firstLineChars="200"/>
        <w:rPr>
          <w:rFonts w:ascii="宋体" w:hAnsi="宋体" w:cs="宋体"/>
          <w:szCs w:val="21"/>
        </w:rPr>
      </w:pPr>
      <w:r>
        <w:rPr>
          <w:rFonts w:hint="eastAsia" w:ascii="宋体" w:hAnsi="宋体" w:cs="宋体"/>
          <w:szCs w:val="21"/>
        </w:rPr>
        <w:t>4、内外网</w:t>
      </w:r>
      <w:r>
        <w:rPr>
          <w:rFonts w:ascii="宋体" w:hAnsi="宋体" w:cs="宋体"/>
          <w:szCs w:val="21"/>
        </w:rPr>
        <w:t>WLAN</w:t>
      </w:r>
      <w:r>
        <w:rPr>
          <w:rFonts w:hint="eastAsia" w:ascii="宋体" w:hAnsi="宋体" w:cs="宋体"/>
          <w:szCs w:val="21"/>
        </w:rPr>
        <w:t>连接</w:t>
      </w:r>
      <w:r>
        <w:rPr>
          <w:rFonts w:ascii="宋体" w:hAnsi="宋体" w:cs="宋体"/>
          <w:szCs w:val="21"/>
        </w:rPr>
        <w:t>AP</w:t>
      </w:r>
      <w:r>
        <w:rPr>
          <w:rFonts w:hint="eastAsia" w:ascii="宋体" w:hAnsi="宋体" w:cs="宋体"/>
          <w:szCs w:val="21"/>
        </w:rPr>
        <w:t>最低应采用六类双绞线。</w:t>
      </w:r>
    </w:p>
    <w:p>
      <w:pPr>
        <w:spacing w:line="360" w:lineRule="auto"/>
        <w:ind w:firstLine="420" w:firstLineChars="200"/>
        <w:rPr>
          <w:rFonts w:ascii="宋体" w:hAnsi="宋体" w:cs="宋体"/>
          <w:kern w:val="0"/>
          <w:szCs w:val="21"/>
        </w:rPr>
      </w:pPr>
      <w:r>
        <w:rPr>
          <w:rFonts w:hint="eastAsia" w:ascii="宋体" w:hAnsi="宋体" w:cs="宋体"/>
          <w:szCs w:val="21"/>
        </w:rPr>
        <w:t>5、</w:t>
      </w:r>
      <w:r>
        <w:rPr>
          <w:rFonts w:hint="eastAsia" w:ascii="宋体" w:hAnsi="宋体" w:cs="宋体"/>
          <w:kern w:val="0"/>
          <w:szCs w:val="21"/>
        </w:rPr>
        <w:t>外网</w:t>
      </w:r>
      <w:r>
        <w:rPr>
          <w:rFonts w:ascii="宋体" w:hAnsi="宋体" w:cs="宋体"/>
          <w:kern w:val="0"/>
          <w:szCs w:val="21"/>
        </w:rPr>
        <w:t>WLAN</w:t>
      </w:r>
      <w:r>
        <w:rPr>
          <w:rFonts w:hint="eastAsia" w:ascii="宋体" w:hAnsi="宋体" w:cs="宋体"/>
          <w:kern w:val="0"/>
          <w:szCs w:val="21"/>
        </w:rPr>
        <w:t>与内网</w:t>
      </w:r>
      <w:r>
        <w:rPr>
          <w:rFonts w:ascii="宋体" w:hAnsi="宋体" w:cs="宋体"/>
          <w:kern w:val="0"/>
          <w:szCs w:val="21"/>
        </w:rPr>
        <w:t>WLAN</w:t>
      </w:r>
      <w:r>
        <w:rPr>
          <w:rFonts w:hint="eastAsia" w:ascii="宋体" w:hAnsi="宋体" w:cs="宋体"/>
          <w:kern w:val="0"/>
          <w:szCs w:val="21"/>
        </w:rPr>
        <w:t>物理隔离，外网</w:t>
      </w:r>
      <w:r>
        <w:rPr>
          <w:rFonts w:ascii="宋体" w:hAnsi="宋体" w:cs="宋体"/>
          <w:kern w:val="0"/>
          <w:szCs w:val="21"/>
        </w:rPr>
        <w:t>WLAN</w:t>
      </w:r>
      <w:r>
        <w:rPr>
          <w:rFonts w:hint="eastAsia" w:ascii="宋体" w:hAnsi="宋体" w:cs="宋体"/>
          <w:kern w:val="0"/>
          <w:szCs w:val="21"/>
        </w:rPr>
        <w:t>与内网</w:t>
      </w:r>
      <w:r>
        <w:rPr>
          <w:rFonts w:ascii="宋体" w:hAnsi="宋体" w:cs="宋体"/>
          <w:kern w:val="0"/>
          <w:szCs w:val="21"/>
        </w:rPr>
        <w:t>WLAN</w:t>
      </w:r>
      <w:r>
        <w:rPr>
          <w:rFonts w:hint="eastAsia" w:ascii="宋体" w:hAnsi="宋体" w:cs="宋体"/>
          <w:kern w:val="0"/>
          <w:szCs w:val="21"/>
        </w:rPr>
        <w:t>间不共用任何设备及线路。</w:t>
      </w:r>
    </w:p>
    <w:p>
      <w:pPr>
        <w:spacing w:line="360" w:lineRule="auto"/>
        <w:ind w:firstLine="420" w:firstLineChars="200"/>
        <w:rPr>
          <w:rFonts w:ascii="宋体" w:hAnsi="宋体" w:cs="黑体"/>
          <w:szCs w:val="21"/>
        </w:rPr>
      </w:pPr>
      <w:r>
        <w:rPr>
          <w:rFonts w:hint="eastAsia" w:ascii="宋体" w:hAnsi="宋体" w:cs="黑体"/>
          <w:szCs w:val="21"/>
        </w:rPr>
        <w:t>6、需</w:t>
      </w:r>
      <w:r>
        <w:rPr>
          <w:rFonts w:ascii="宋体" w:hAnsi="宋体" w:cs="黑体"/>
          <w:szCs w:val="21"/>
        </w:rPr>
        <w:t>提供</w:t>
      </w:r>
      <w:r>
        <w:rPr>
          <w:rFonts w:hint="eastAsia" w:ascii="宋体" w:hAnsi="宋体" w:cs="黑体"/>
          <w:szCs w:val="21"/>
        </w:rPr>
        <w:t>所用AP设备的厂家</w:t>
      </w:r>
      <w:r>
        <w:rPr>
          <w:rFonts w:ascii="宋体" w:hAnsi="宋体" w:cs="黑体"/>
          <w:szCs w:val="21"/>
        </w:rPr>
        <w:t>售后承诺函</w:t>
      </w:r>
      <w:r>
        <w:rPr>
          <w:rFonts w:hint="eastAsia" w:ascii="宋体" w:hAnsi="宋体" w:cs="黑体"/>
          <w:szCs w:val="21"/>
        </w:rPr>
        <w:t>。</w:t>
      </w:r>
    </w:p>
    <w:p>
      <w:pPr>
        <w:spacing w:line="360" w:lineRule="auto"/>
        <w:ind w:firstLine="420" w:firstLineChars="200"/>
        <w:rPr>
          <w:rFonts w:ascii="宋体" w:hAnsi="宋体" w:cs="黑体"/>
          <w:szCs w:val="21"/>
        </w:rPr>
      </w:pPr>
      <w:r>
        <w:rPr>
          <w:rFonts w:ascii="宋体" w:hAnsi="宋体" w:cs="宋体"/>
          <w:kern w:val="0"/>
          <w:szCs w:val="21"/>
        </w:rPr>
        <w:t>7</w:t>
      </w:r>
      <w:r>
        <w:rPr>
          <w:rFonts w:hint="eastAsia" w:ascii="宋体" w:hAnsi="宋体" w:cs="宋体"/>
          <w:kern w:val="0"/>
          <w:szCs w:val="21"/>
        </w:rPr>
        <w:t>、施工</w:t>
      </w:r>
      <w:r>
        <w:rPr>
          <w:rFonts w:ascii="宋体" w:hAnsi="宋体" w:cs="宋体"/>
          <w:kern w:val="0"/>
          <w:szCs w:val="21"/>
        </w:rPr>
        <w:t>要求：</w:t>
      </w:r>
      <w:r>
        <w:rPr>
          <w:rFonts w:hint="eastAsia" w:ascii="宋体" w:hAnsi="宋体" w:cs="宋体"/>
          <w:kern w:val="0"/>
          <w:szCs w:val="21"/>
        </w:rPr>
        <w:t>重装已装修区域的AP并进行网线布放，提供全新馈线放置到需覆盖信号位置。确保施工完毕后AP无线网络正常使用。如装修后因布局变更导致原有AP不满足覆盖要求，需新增AP设备保证无线网络全面覆盖办公场所。</w:t>
      </w:r>
      <w:r>
        <w:rPr>
          <w:rFonts w:hint="eastAsia" w:ascii="宋体" w:hAnsi="宋体" w:cs="黑体"/>
          <w:szCs w:val="21"/>
        </w:rPr>
        <w:t xml:space="preserve"> </w:t>
      </w:r>
    </w:p>
    <w:p>
      <w:pPr>
        <w:spacing w:line="360" w:lineRule="auto"/>
        <w:rPr>
          <w:rFonts w:ascii="宋体" w:hAnsi="宋体"/>
          <w:b/>
          <w:bCs/>
          <w:sz w:val="24"/>
        </w:rPr>
      </w:pPr>
    </w:p>
    <w:p>
      <w:pPr>
        <w:widowControl/>
        <w:spacing w:line="360" w:lineRule="auto"/>
        <w:rPr>
          <w:rFonts w:ascii="宋体" w:hAnsi="宋体" w:cs="宋体"/>
          <w:b/>
          <w:bCs/>
          <w:color w:val="000000"/>
          <w:szCs w:val="21"/>
        </w:rPr>
      </w:pPr>
      <w:r>
        <w:rPr>
          <w:rFonts w:hint="eastAsia" w:ascii="宋体" w:hAnsi="宋体" w:cs="宋体"/>
          <w:b/>
          <w:bCs/>
          <w:color w:val="000000"/>
          <w:szCs w:val="21"/>
        </w:rPr>
        <w:t>（一）项目实施要求</w:t>
      </w:r>
    </w:p>
    <w:p>
      <w:pPr>
        <w:widowControl/>
        <w:spacing w:line="360" w:lineRule="auto"/>
        <w:ind w:firstLine="567" w:firstLineChars="270"/>
        <w:jc w:val="left"/>
        <w:rPr>
          <w:rFonts w:ascii="宋体" w:hAnsi="宋体" w:cs="Arial"/>
          <w:bCs/>
          <w:szCs w:val="21"/>
        </w:rPr>
      </w:pPr>
      <w:r>
        <w:rPr>
          <w:rFonts w:hint="eastAsia" w:ascii="宋体" w:hAnsi="宋体" w:cs="Arial"/>
          <w:bCs/>
          <w:szCs w:val="21"/>
        </w:rPr>
        <w:t>1、前期环境调研并和客户双方讨论初步实施方案；</w:t>
      </w:r>
    </w:p>
    <w:p>
      <w:pPr>
        <w:widowControl/>
        <w:spacing w:line="360" w:lineRule="auto"/>
        <w:ind w:firstLine="567" w:firstLineChars="270"/>
        <w:jc w:val="left"/>
        <w:rPr>
          <w:rFonts w:ascii="宋体" w:hAnsi="宋体" w:cs="Arial"/>
          <w:bCs/>
          <w:szCs w:val="21"/>
        </w:rPr>
      </w:pPr>
      <w:r>
        <w:rPr>
          <w:rFonts w:hint="eastAsia" w:ascii="宋体" w:hAnsi="宋体" w:cs="Arial"/>
          <w:bCs/>
          <w:szCs w:val="21"/>
        </w:rPr>
        <w:t>2、项目组成员、客户代表双方讨论并细化项目实施方案；</w:t>
      </w:r>
    </w:p>
    <w:p>
      <w:pPr>
        <w:widowControl/>
        <w:spacing w:line="360" w:lineRule="auto"/>
        <w:ind w:firstLine="567" w:firstLineChars="270"/>
        <w:jc w:val="left"/>
        <w:rPr>
          <w:rFonts w:ascii="宋体" w:hAnsi="宋体" w:cs="Arial"/>
          <w:bCs/>
          <w:szCs w:val="21"/>
        </w:rPr>
      </w:pPr>
      <w:r>
        <w:rPr>
          <w:rFonts w:hint="eastAsia" w:ascii="宋体" w:hAnsi="宋体" w:cs="Arial"/>
          <w:bCs/>
          <w:szCs w:val="21"/>
        </w:rPr>
        <w:t>3、实施方案、时间确定后，开始进行网络布线以及设备的安装、调试；</w:t>
      </w:r>
    </w:p>
    <w:p>
      <w:pPr>
        <w:widowControl/>
        <w:spacing w:line="360" w:lineRule="auto"/>
        <w:ind w:firstLine="567" w:firstLineChars="270"/>
        <w:jc w:val="left"/>
        <w:rPr>
          <w:rFonts w:ascii="宋体" w:hAnsi="宋体" w:cs="Arial"/>
          <w:bCs/>
          <w:szCs w:val="21"/>
        </w:rPr>
      </w:pPr>
      <w:r>
        <w:rPr>
          <w:rFonts w:hint="eastAsia" w:ascii="宋体" w:hAnsi="宋体" w:cs="Arial"/>
          <w:bCs/>
          <w:szCs w:val="21"/>
        </w:rPr>
        <w:t>4、在安装过程中保持和用户沟通，每天反馈项目进度和遇到的问题（重大问题及时反馈），并通过实施文档对相应的设备进行配置；</w:t>
      </w:r>
    </w:p>
    <w:p>
      <w:pPr>
        <w:widowControl/>
        <w:spacing w:line="360" w:lineRule="auto"/>
        <w:ind w:firstLine="567" w:firstLineChars="270"/>
        <w:jc w:val="left"/>
        <w:rPr>
          <w:rFonts w:ascii="宋体" w:hAnsi="宋体" w:cs="Arial"/>
          <w:bCs/>
          <w:szCs w:val="21"/>
        </w:rPr>
      </w:pPr>
      <w:r>
        <w:rPr>
          <w:rFonts w:hint="eastAsia" w:ascii="宋体" w:hAnsi="宋体" w:cs="Arial"/>
          <w:bCs/>
          <w:szCs w:val="21"/>
        </w:rPr>
        <w:t>5、安装配置完成后，根据测试文档进行设备调试，并填写测试结果反馈给用户；</w:t>
      </w:r>
    </w:p>
    <w:p>
      <w:pPr>
        <w:widowControl/>
        <w:spacing w:line="360" w:lineRule="auto"/>
        <w:ind w:firstLine="567" w:firstLineChars="270"/>
        <w:jc w:val="left"/>
        <w:rPr>
          <w:rFonts w:ascii="宋体" w:hAnsi="宋体" w:cs="Arial"/>
          <w:bCs/>
          <w:szCs w:val="21"/>
        </w:rPr>
      </w:pPr>
      <w:r>
        <w:rPr>
          <w:rFonts w:hint="eastAsia" w:ascii="宋体" w:hAnsi="宋体" w:cs="Arial"/>
          <w:bCs/>
          <w:szCs w:val="21"/>
        </w:rPr>
        <w:t>6、设备测试成功后，设备开始进入运行，在此过程中并完善项目实施报告；</w:t>
      </w:r>
    </w:p>
    <w:p>
      <w:pPr>
        <w:widowControl/>
        <w:spacing w:line="360" w:lineRule="auto"/>
        <w:ind w:firstLine="567" w:firstLineChars="270"/>
        <w:jc w:val="left"/>
        <w:rPr>
          <w:rFonts w:ascii="仿宋_GB2312" w:hAnsi="宋体" w:eastAsia="仿宋_GB2312" w:cs="Arial"/>
          <w:b/>
          <w:sz w:val="28"/>
          <w:szCs w:val="28"/>
        </w:rPr>
      </w:pPr>
      <w:r>
        <w:rPr>
          <w:rFonts w:hint="eastAsia" w:ascii="宋体" w:hAnsi="宋体" w:cs="Arial"/>
          <w:bCs/>
          <w:szCs w:val="21"/>
        </w:rPr>
        <w:t>7、进行相关培训计划。</w:t>
      </w:r>
    </w:p>
    <w:p>
      <w:pPr>
        <w:spacing w:line="360" w:lineRule="auto"/>
        <w:rPr>
          <w:rFonts w:ascii="宋体" w:hAnsi="宋体" w:cs="宋体"/>
          <w:color w:val="000000"/>
          <w:szCs w:val="21"/>
        </w:rPr>
      </w:pPr>
    </w:p>
    <w:p>
      <w:pPr>
        <w:spacing w:line="360" w:lineRule="auto"/>
        <w:rPr>
          <w:rFonts w:ascii="宋体" w:hAnsi="宋体" w:cs="宋体"/>
          <w:color w:val="000000"/>
          <w:szCs w:val="21"/>
        </w:rPr>
      </w:pPr>
    </w:p>
    <w:p>
      <w:pPr>
        <w:spacing w:line="360" w:lineRule="auto"/>
        <w:rPr>
          <w:rFonts w:ascii="宋体" w:hAnsi="宋体" w:cs="宋体"/>
          <w:color w:val="000000"/>
          <w:szCs w:val="21"/>
        </w:rPr>
      </w:pPr>
    </w:p>
    <w:p>
      <w:pPr>
        <w:spacing w:line="360" w:lineRule="auto"/>
        <w:rPr>
          <w:rFonts w:ascii="宋体" w:hAnsi="宋体" w:cs="宋体"/>
          <w:color w:val="000000"/>
          <w:szCs w:val="21"/>
        </w:rPr>
      </w:pPr>
    </w:p>
    <w:p>
      <w:pPr>
        <w:spacing w:line="360" w:lineRule="auto"/>
        <w:rPr>
          <w:rFonts w:ascii="宋体" w:hAnsi="宋体" w:cs="宋体"/>
          <w:color w:val="000000"/>
          <w:szCs w:val="21"/>
        </w:rPr>
      </w:pPr>
    </w:p>
    <w:p>
      <w:pPr>
        <w:spacing w:line="360" w:lineRule="auto"/>
        <w:rPr>
          <w:rFonts w:ascii="宋体" w:hAnsi="宋体" w:cs="宋体"/>
          <w:color w:val="000000"/>
          <w:szCs w:val="21"/>
        </w:rPr>
      </w:pPr>
    </w:p>
    <w:p>
      <w:pPr>
        <w:spacing w:line="360" w:lineRule="auto"/>
        <w:rPr>
          <w:rFonts w:ascii="宋体" w:hAnsi="宋体" w:cs="宋体"/>
          <w:color w:val="000000"/>
          <w:szCs w:val="21"/>
        </w:rPr>
      </w:pPr>
    </w:p>
    <w:p>
      <w:pPr>
        <w:spacing w:line="360" w:lineRule="auto"/>
        <w:rPr>
          <w:rFonts w:ascii="宋体" w:hAnsi="宋体" w:cs="宋体"/>
          <w:color w:val="000000"/>
          <w:szCs w:val="21"/>
        </w:rPr>
      </w:pPr>
    </w:p>
    <w:p>
      <w:pPr>
        <w:spacing w:line="360" w:lineRule="auto"/>
        <w:rPr>
          <w:rFonts w:ascii="宋体" w:hAnsi="宋体" w:cs="宋体"/>
          <w:color w:val="000000"/>
          <w:szCs w:val="21"/>
        </w:rPr>
      </w:pPr>
    </w:p>
    <w:p>
      <w:pPr>
        <w:spacing w:line="360" w:lineRule="auto"/>
        <w:rPr>
          <w:rFonts w:ascii="宋体" w:hAnsi="宋体" w:cs="宋体"/>
          <w:color w:val="000000"/>
          <w:szCs w:val="21"/>
        </w:rPr>
      </w:pPr>
    </w:p>
    <w:p>
      <w:pPr>
        <w:spacing w:line="360" w:lineRule="auto"/>
        <w:rPr>
          <w:rFonts w:ascii="宋体" w:hAnsi="宋体" w:cs="宋体"/>
          <w:color w:val="000000"/>
          <w:szCs w:val="21"/>
        </w:rPr>
      </w:pPr>
    </w:p>
    <w:p>
      <w:pPr>
        <w:spacing w:line="360" w:lineRule="auto"/>
        <w:rPr>
          <w:rFonts w:ascii="宋体" w:hAnsi="宋体" w:cs="宋体"/>
          <w:b/>
          <w:bCs/>
          <w:color w:val="000000"/>
          <w:szCs w:val="21"/>
        </w:rPr>
      </w:pPr>
      <w:r>
        <w:rPr>
          <w:rFonts w:hint="eastAsia" w:ascii="宋体" w:hAnsi="宋体" w:cs="宋体"/>
          <w:b/>
          <w:bCs/>
          <w:color w:val="000000"/>
          <w:szCs w:val="21"/>
        </w:rPr>
        <w:t>（二）设备参数</w:t>
      </w:r>
    </w:p>
    <w:tbl>
      <w:tblPr>
        <w:tblStyle w:val="20"/>
        <w:tblW w:w="0" w:type="auto"/>
        <w:jc w:val="center"/>
        <w:tblLayout w:type="fixed"/>
        <w:tblCellMar>
          <w:top w:w="0" w:type="dxa"/>
          <w:left w:w="108" w:type="dxa"/>
          <w:bottom w:w="0" w:type="dxa"/>
          <w:right w:w="108" w:type="dxa"/>
        </w:tblCellMar>
      </w:tblPr>
      <w:tblGrid>
        <w:gridCol w:w="1276"/>
        <w:gridCol w:w="6917"/>
      </w:tblGrid>
      <w:tr>
        <w:tblPrEx>
          <w:tblCellMar>
            <w:top w:w="0" w:type="dxa"/>
            <w:left w:w="108" w:type="dxa"/>
            <w:bottom w:w="0" w:type="dxa"/>
            <w:right w:w="108" w:type="dxa"/>
          </w:tblCellMar>
        </w:tblPrEx>
        <w:trPr>
          <w:trHeight w:val="350" w:hRule="atLeast"/>
          <w:jc w:val="center"/>
        </w:trPr>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Cs w:val="21"/>
              </w:rPr>
            </w:pPr>
            <w:r>
              <w:rPr>
                <w:rFonts w:hint="eastAsia" w:ascii="宋体" w:hAnsi="宋体" w:cs="宋体"/>
                <w:kern w:val="0"/>
                <w:szCs w:val="21"/>
              </w:rPr>
              <w:t>名称</w:t>
            </w:r>
          </w:p>
        </w:tc>
        <w:tc>
          <w:tcPr>
            <w:tcW w:w="6917"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cs="宋体"/>
                <w:kern w:val="0"/>
                <w:szCs w:val="21"/>
              </w:rPr>
            </w:pPr>
            <w:r>
              <w:rPr>
                <w:rFonts w:hint="eastAsia" w:ascii="宋体" w:hAnsi="宋体" w:cs="宋体"/>
                <w:kern w:val="0"/>
                <w:szCs w:val="21"/>
              </w:rPr>
              <w:t>技术要求</w:t>
            </w:r>
          </w:p>
        </w:tc>
      </w:tr>
      <w:tr>
        <w:tblPrEx>
          <w:tblCellMar>
            <w:top w:w="0" w:type="dxa"/>
            <w:left w:w="108" w:type="dxa"/>
            <w:bottom w:w="0" w:type="dxa"/>
            <w:right w:w="108" w:type="dxa"/>
          </w:tblCellMar>
        </w:tblPrEx>
        <w:trPr>
          <w:trHeight w:val="1040" w:hRule="atLeast"/>
          <w:jc w:val="center"/>
        </w:trPr>
        <w:tc>
          <w:tcPr>
            <w:tcW w:w="1276"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Cs w:val="21"/>
              </w:rPr>
            </w:pPr>
            <w:r>
              <w:rPr>
                <w:rFonts w:hint="eastAsia" w:ascii="宋体" w:hAnsi="宋体" w:cs="宋体"/>
                <w:kern w:val="0"/>
                <w:szCs w:val="21"/>
              </w:rPr>
              <w:t>分布式AP</w:t>
            </w:r>
          </w:p>
        </w:tc>
        <w:tc>
          <w:tcPr>
            <w:tcW w:w="6917" w:type="dxa"/>
            <w:tcBorders>
              <w:top w:val="nil"/>
              <w:left w:val="nil"/>
              <w:bottom w:val="single" w:color="auto" w:sz="4" w:space="0"/>
              <w:right w:val="single" w:color="auto" w:sz="4" w:space="0"/>
            </w:tcBorders>
            <w:vAlign w:val="center"/>
          </w:tcPr>
          <w:p>
            <w:pPr>
              <w:widowControl/>
              <w:spacing w:line="360" w:lineRule="auto"/>
              <w:jc w:val="left"/>
              <w:rPr>
                <w:rFonts w:ascii="宋体" w:hAnsi="宋体" w:cs="Arial"/>
                <w:bCs/>
                <w:szCs w:val="21"/>
              </w:rPr>
            </w:pPr>
            <w:r>
              <w:rPr>
                <w:rFonts w:hint="eastAsia" w:ascii="宋体" w:hAnsi="宋体" w:cs="Arial"/>
                <w:bCs/>
                <w:szCs w:val="21"/>
              </w:rPr>
              <w:t>(1)可支持胖/瘦AP两种工作模式，支持802.11ac协议；</w:t>
            </w:r>
          </w:p>
          <w:p>
            <w:pPr>
              <w:widowControl/>
              <w:spacing w:line="360" w:lineRule="auto"/>
              <w:jc w:val="left"/>
              <w:rPr>
                <w:rFonts w:ascii="宋体" w:hAnsi="宋体" w:cs="Arial"/>
                <w:bCs/>
                <w:szCs w:val="21"/>
              </w:rPr>
            </w:pPr>
            <w:r>
              <w:rPr>
                <w:rFonts w:hint="eastAsia" w:ascii="宋体" w:hAnsi="宋体" w:cs="Arial"/>
                <w:bCs/>
                <w:szCs w:val="21"/>
              </w:rPr>
              <w:t xml:space="preserve">(2)采用馈线+天线入室的方式部署，且保证双频入室； </w:t>
            </w:r>
          </w:p>
          <w:p>
            <w:pPr>
              <w:widowControl/>
              <w:spacing w:line="360" w:lineRule="auto"/>
              <w:jc w:val="left"/>
              <w:rPr>
                <w:rFonts w:ascii="宋体" w:hAnsi="宋体" w:cs="Arial"/>
                <w:bCs/>
                <w:szCs w:val="21"/>
              </w:rPr>
            </w:pPr>
            <w:r>
              <w:rPr>
                <w:rFonts w:hint="eastAsia" w:ascii="宋体" w:hAnsi="宋体" w:cs="Arial"/>
                <w:bCs/>
                <w:szCs w:val="21"/>
              </w:rPr>
              <w:t>(3)支持802.11ac/n/a：5.725GHz-5.850GHz，802.11b/g/n：2.4GHz-2.483GHz (中国)，2.4GHz+5GHz双频段同时工作；</w:t>
            </w:r>
          </w:p>
          <w:p>
            <w:pPr>
              <w:widowControl/>
              <w:spacing w:line="360" w:lineRule="auto"/>
              <w:jc w:val="left"/>
              <w:rPr>
                <w:rFonts w:ascii="宋体" w:hAnsi="宋体" w:cs="Arial"/>
                <w:bCs/>
                <w:szCs w:val="21"/>
              </w:rPr>
            </w:pPr>
            <w:r>
              <w:rPr>
                <w:rFonts w:hint="eastAsia" w:ascii="宋体" w:hAnsi="宋体" w:cs="Arial"/>
                <w:bCs/>
                <w:szCs w:val="21"/>
              </w:rPr>
              <w:t>(4)机身固化2个10/100/1000MRJ45口，支持端口聚合功能；</w:t>
            </w:r>
          </w:p>
          <w:p>
            <w:pPr>
              <w:widowControl/>
              <w:spacing w:line="360" w:lineRule="auto"/>
              <w:jc w:val="left"/>
              <w:rPr>
                <w:rFonts w:ascii="宋体" w:hAnsi="宋体" w:cs="Arial"/>
                <w:bCs/>
                <w:szCs w:val="21"/>
              </w:rPr>
            </w:pPr>
            <w:r>
              <w:rPr>
                <w:rFonts w:hint="eastAsia" w:ascii="宋体" w:hAnsi="宋体" w:cs="Arial"/>
                <w:bCs/>
                <w:szCs w:val="21"/>
              </w:rPr>
              <w:t>(5)外置≥8个RP-SMA接口，每个接口均可同时支持2.4G和5GHz（固化，非功分器转换）；</w:t>
            </w:r>
          </w:p>
          <w:p>
            <w:pPr>
              <w:widowControl/>
              <w:spacing w:line="360" w:lineRule="auto"/>
              <w:jc w:val="left"/>
              <w:rPr>
                <w:rFonts w:ascii="宋体" w:hAnsi="宋体" w:cs="Arial"/>
                <w:bCs/>
                <w:szCs w:val="21"/>
              </w:rPr>
            </w:pPr>
            <w:r>
              <w:rPr>
                <w:rFonts w:hint="eastAsia" w:ascii="宋体" w:hAnsi="宋体" w:cs="Arial"/>
                <w:bCs/>
                <w:szCs w:val="21"/>
              </w:rPr>
              <w:t>(6)整机最大功耗小于13W；</w:t>
            </w:r>
          </w:p>
          <w:p>
            <w:pPr>
              <w:widowControl/>
              <w:spacing w:line="360" w:lineRule="auto"/>
              <w:jc w:val="left"/>
              <w:rPr>
                <w:rFonts w:ascii="宋体" w:hAnsi="宋体" w:cs="Arial"/>
                <w:bCs/>
                <w:szCs w:val="21"/>
              </w:rPr>
            </w:pPr>
            <w:r>
              <w:rPr>
                <w:rFonts w:hint="eastAsia" w:ascii="宋体" w:hAnsi="宋体" w:cs="Arial"/>
                <w:bCs/>
                <w:szCs w:val="21"/>
              </w:rPr>
              <w:t>(7)支持AP上二层转发抑制；</w:t>
            </w:r>
          </w:p>
          <w:p>
            <w:pPr>
              <w:widowControl/>
              <w:spacing w:line="360" w:lineRule="auto"/>
              <w:jc w:val="left"/>
              <w:rPr>
                <w:rFonts w:ascii="宋体" w:hAnsi="宋体" w:cs="Arial"/>
                <w:bCs/>
                <w:szCs w:val="21"/>
              </w:rPr>
            </w:pPr>
            <w:r>
              <w:rPr>
                <w:rFonts w:hint="eastAsia" w:ascii="宋体" w:hAnsi="宋体" w:cs="Arial"/>
                <w:bCs/>
                <w:szCs w:val="21"/>
              </w:rPr>
              <w:t>(8)支持虚拟AP(多SSID)之间的隔离；</w:t>
            </w:r>
          </w:p>
          <w:p>
            <w:pPr>
              <w:widowControl/>
              <w:spacing w:line="360" w:lineRule="auto"/>
              <w:jc w:val="left"/>
              <w:rPr>
                <w:rFonts w:ascii="宋体" w:hAnsi="宋体" w:cs="Arial"/>
                <w:bCs/>
                <w:szCs w:val="21"/>
              </w:rPr>
            </w:pPr>
            <w:r>
              <w:rPr>
                <w:rFonts w:hint="eastAsia" w:ascii="宋体" w:hAnsi="宋体" w:cs="Arial"/>
                <w:bCs/>
                <w:szCs w:val="21"/>
              </w:rPr>
              <w:t>(9)支持逐包功率控制(PPC) 和动态MIMO省电(DMPS)；</w:t>
            </w:r>
          </w:p>
          <w:p>
            <w:pPr>
              <w:widowControl/>
              <w:spacing w:line="360" w:lineRule="auto"/>
              <w:jc w:val="left"/>
              <w:rPr>
                <w:rFonts w:ascii="宋体" w:hAnsi="宋体" w:cs="Arial"/>
                <w:bCs/>
                <w:szCs w:val="21"/>
              </w:rPr>
            </w:pPr>
            <w:r>
              <w:rPr>
                <w:rFonts w:hint="eastAsia" w:ascii="宋体" w:hAnsi="宋体" w:cs="Arial"/>
                <w:bCs/>
                <w:szCs w:val="21"/>
              </w:rPr>
              <w:t>(10)支持MAC 地址认证、802.1x认证、Portal认证；</w:t>
            </w:r>
          </w:p>
          <w:p>
            <w:pPr>
              <w:widowControl/>
              <w:spacing w:line="360" w:lineRule="auto"/>
              <w:jc w:val="left"/>
              <w:rPr>
                <w:rFonts w:ascii="宋体" w:hAnsi="宋体" w:cs="Arial"/>
                <w:bCs/>
                <w:szCs w:val="21"/>
              </w:rPr>
            </w:pPr>
            <w:r>
              <w:rPr>
                <w:rFonts w:hint="eastAsia" w:ascii="宋体" w:hAnsi="宋体" w:cs="Arial"/>
                <w:bCs/>
                <w:szCs w:val="21"/>
              </w:rPr>
              <w:t>(11)支持基于流量和用户数的负载均衡；</w:t>
            </w:r>
          </w:p>
          <w:p>
            <w:pPr>
              <w:widowControl/>
              <w:spacing w:line="360" w:lineRule="auto"/>
              <w:jc w:val="left"/>
              <w:rPr>
                <w:rFonts w:ascii="宋体" w:hAnsi="宋体" w:cs="Arial"/>
                <w:bCs/>
                <w:szCs w:val="21"/>
              </w:rPr>
            </w:pPr>
            <w:r>
              <w:rPr>
                <w:rFonts w:hint="eastAsia" w:ascii="宋体" w:hAnsi="宋体" w:cs="Arial"/>
                <w:bCs/>
                <w:szCs w:val="21"/>
              </w:rPr>
              <w:t>(12)支持智能带宽限速，带宽均分或基于每用户指定带宽或基于每SSID指定带宽；</w:t>
            </w:r>
          </w:p>
          <w:p>
            <w:pPr>
              <w:widowControl/>
              <w:spacing w:line="360" w:lineRule="auto"/>
              <w:jc w:val="left"/>
              <w:rPr>
                <w:rFonts w:ascii="宋体" w:hAnsi="宋体" w:cs="Arial"/>
                <w:bCs/>
                <w:szCs w:val="21"/>
              </w:rPr>
            </w:pPr>
            <w:r>
              <w:rPr>
                <w:rFonts w:hint="eastAsia" w:ascii="宋体" w:hAnsi="宋体" w:cs="Arial"/>
                <w:bCs/>
                <w:szCs w:val="21"/>
              </w:rPr>
              <w:t>(13)与无线控制器统一品牌；</w:t>
            </w:r>
          </w:p>
        </w:tc>
      </w:tr>
      <w:tr>
        <w:tblPrEx>
          <w:tblCellMar>
            <w:top w:w="0" w:type="dxa"/>
            <w:left w:w="108" w:type="dxa"/>
            <w:bottom w:w="0" w:type="dxa"/>
            <w:right w:w="108" w:type="dxa"/>
          </w:tblCellMar>
        </w:tblPrEx>
        <w:trPr>
          <w:trHeight w:val="980" w:hRule="atLeast"/>
          <w:jc w:val="center"/>
        </w:trPr>
        <w:tc>
          <w:tcPr>
            <w:tcW w:w="1276"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Cs w:val="21"/>
              </w:rPr>
            </w:pPr>
            <w:r>
              <w:rPr>
                <w:rFonts w:hint="eastAsia" w:ascii="宋体" w:hAnsi="宋体" w:cs="宋体"/>
                <w:kern w:val="0"/>
                <w:szCs w:val="21"/>
              </w:rPr>
              <w:t>放装型AP</w:t>
            </w:r>
          </w:p>
        </w:tc>
        <w:tc>
          <w:tcPr>
            <w:tcW w:w="6917" w:type="dxa"/>
            <w:tcBorders>
              <w:top w:val="nil"/>
              <w:left w:val="nil"/>
              <w:bottom w:val="single" w:color="auto" w:sz="4" w:space="0"/>
              <w:right w:val="single" w:color="auto" w:sz="4" w:space="0"/>
            </w:tcBorders>
            <w:vAlign w:val="center"/>
          </w:tcPr>
          <w:p>
            <w:pPr>
              <w:widowControl/>
              <w:spacing w:line="360" w:lineRule="auto"/>
              <w:jc w:val="left"/>
              <w:rPr>
                <w:rFonts w:ascii="宋体" w:hAnsi="宋体" w:cs="Arial"/>
                <w:bCs/>
                <w:szCs w:val="21"/>
              </w:rPr>
            </w:pPr>
            <w:r>
              <w:rPr>
                <w:rFonts w:hint="eastAsia" w:ascii="宋体" w:hAnsi="宋体" w:cs="Arial"/>
                <w:bCs/>
                <w:szCs w:val="21"/>
              </w:rPr>
              <w:t>(1)支持胖/瘦AP两种工作模式</w:t>
            </w:r>
          </w:p>
          <w:p>
            <w:pPr>
              <w:widowControl/>
              <w:spacing w:line="360" w:lineRule="auto"/>
              <w:jc w:val="left"/>
              <w:rPr>
                <w:rFonts w:ascii="宋体" w:hAnsi="宋体" w:cs="Arial"/>
                <w:bCs/>
                <w:szCs w:val="21"/>
              </w:rPr>
            </w:pPr>
            <w:r>
              <w:rPr>
                <w:rFonts w:hint="eastAsia" w:ascii="宋体" w:hAnsi="宋体" w:cs="Arial"/>
                <w:bCs/>
                <w:szCs w:val="21"/>
              </w:rPr>
              <w:t>(2)同时支持802.11a/n/ac和802.11b/g/n工作。</w:t>
            </w:r>
          </w:p>
          <w:p>
            <w:pPr>
              <w:widowControl/>
              <w:spacing w:line="360" w:lineRule="auto"/>
              <w:jc w:val="left"/>
              <w:rPr>
                <w:rFonts w:ascii="宋体" w:hAnsi="宋体" w:cs="Arial"/>
                <w:bCs/>
                <w:szCs w:val="21"/>
              </w:rPr>
            </w:pPr>
            <w:r>
              <w:rPr>
                <w:rFonts w:hint="eastAsia" w:ascii="宋体" w:hAnsi="宋体" w:cs="Arial"/>
                <w:bCs/>
                <w:szCs w:val="21"/>
              </w:rPr>
              <w:t>(3)≥1个10/100/1000Mbps(RJ45)</w:t>
            </w:r>
          </w:p>
          <w:p>
            <w:pPr>
              <w:widowControl/>
              <w:spacing w:line="360" w:lineRule="auto"/>
              <w:jc w:val="left"/>
              <w:rPr>
                <w:rFonts w:ascii="宋体" w:hAnsi="宋体" w:cs="Arial"/>
                <w:bCs/>
                <w:szCs w:val="21"/>
              </w:rPr>
            </w:pPr>
            <w:r>
              <w:rPr>
                <w:rFonts w:hint="eastAsia" w:ascii="宋体" w:hAnsi="宋体" w:cs="Arial"/>
                <w:bCs/>
                <w:szCs w:val="21"/>
              </w:rPr>
              <w:t>(4)整机最大功耗小于13W(所有空间流满速率工作)</w:t>
            </w:r>
          </w:p>
          <w:p>
            <w:pPr>
              <w:widowControl/>
              <w:spacing w:line="360" w:lineRule="auto"/>
              <w:jc w:val="left"/>
              <w:rPr>
                <w:rFonts w:ascii="宋体" w:hAnsi="宋体" w:cs="Arial"/>
                <w:bCs/>
                <w:szCs w:val="21"/>
              </w:rPr>
            </w:pPr>
            <w:r>
              <w:rPr>
                <w:rFonts w:hint="eastAsia" w:ascii="宋体" w:hAnsi="宋体" w:cs="Arial"/>
                <w:bCs/>
                <w:szCs w:val="21"/>
              </w:rPr>
              <w:t>(5)最大支持32虚拟AP</w:t>
            </w:r>
          </w:p>
          <w:p>
            <w:pPr>
              <w:widowControl/>
              <w:spacing w:line="360" w:lineRule="auto"/>
              <w:jc w:val="left"/>
              <w:rPr>
                <w:rFonts w:ascii="宋体" w:hAnsi="宋体" w:cs="Arial"/>
                <w:bCs/>
                <w:szCs w:val="21"/>
              </w:rPr>
            </w:pPr>
            <w:r>
              <w:rPr>
                <w:rFonts w:hint="eastAsia" w:ascii="宋体" w:hAnsi="宋体" w:cs="Arial"/>
                <w:bCs/>
                <w:szCs w:val="21"/>
              </w:rPr>
              <w:t>(6)支持64、128位WEP加密，WPA，802.11i和WAPI、WPA和802.11i的多种密钥更新触发条件</w:t>
            </w:r>
          </w:p>
          <w:p>
            <w:pPr>
              <w:widowControl/>
              <w:spacing w:line="360" w:lineRule="auto"/>
              <w:jc w:val="left"/>
              <w:rPr>
                <w:rFonts w:ascii="宋体" w:hAnsi="宋体" w:cs="Arial"/>
                <w:bCs/>
                <w:szCs w:val="21"/>
              </w:rPr>
            </w:pPr>
            <w:r>
              <w:rPr>
                <w:rFonts w:hint="eastAsia" w:ascii="宋体" w:hAnsi="宋体" w:cs="Arial"/>
                <w:bCs/>
                <w:szCs w:val="21"/>
              </w:rPr>
              <w:t>(7)支持AP上二层转发抑制、虚拟AP(SSID)之间的隔离</w:t>
            </w:r>
          </w:p>
          <w:p>
            <w:pPr>
              <w:widowControl/>
              <w:spacing w:line="360" w:lineRule="auto"/>
              <w:jc w:val="left"/>
              <w:rPr>
                <w:rFonts w:ascii="宋体" w:hAnsi="宋体" w:cs="Arial"/>
                <w:bCs/>
                <w:szCs w:val="21"/>
              </w:rPr>
            </w:pPr>
            <w:r>
              <w:rPr>
                <w:rFonts w:hint="eastAsia" w:ascii="宋体" w:hAnsi="宋体" w:cs="Arial"/>
                <w:bCs/>
                <w:szCs w:val="21"/>
              </w:rPr>
              <w:t>(8)支持报文过滤、广播抑制、SSID隐藏、MAC地址过滤</w:t>
            </w:r>
          </w:p>
          <w:p>
            <w:pPr>
              <w:widowControl/>
              <w:spacing w:line="360" w:lineRule="auto"/>
              <w:jc w:val="left"/>
              <w:rPr>
                <w:rFonts w:ascii="宋体" w:hAnsi="宋体" w:cs="Arial"/>
                <w:bCs/>
                <w:szCs w:val="21"/>
              </w:rPr>
            </w:pPr>
            <w:r>
              <w:rPr>
                <w:rFonts w:hint="eastAsia" w:ascii="宋体" w:hAnsi="宋体" w:cs="Arial"/>
                <w:bCs/>
                <w:szCs w:val="21"/>
              </w:rPr>
              <w:t>(9)支持802.1X认证、MAC地址认证、PPPoE认证</w:t>
            </w:r>
          </w:p>
          <w:p>
            <w:pPr>
              <w:widowControl/>
              <w:spacing w:line="360" w:lineRule="auto"/>
              <w:jc w:val="left"/>
              <w:rPr>
                <w:rFonts w:ascii="宋体" w:hAnsi="宋体" w:cs="Arial"/>
                <w:bCs/>
                <w:szCs w:val="21"/>
              </w:rPr>
            </w:pPr>
            <w:r>
              <w:rPr>
                <w:rFonts w:hint="eastAsia" w:ascii="宋体" w:hAnsi="宋体" w:cs="Arial"/>
                <w:bCs/>
                <w:szCs w:val="21"/>
              </w:rPr>
              <w:t>(10)支持基于接口的VLAN、基于802.1q的VLAN、基于用户类的VLAN、基于SSID的VLAN标记</w:t>
            </w:r>
          </w:p>
          <w:p>
            <w:pPr>
              <w:widowControl/>
              <w:spacing w:line="360" w:lineRule="auto"/>
              <w:jc w:val="left"/>
              <w:rPr>
                <w:rFonts w:ascii="宋体" w:hAnsi="宋体" w:cs="Arial"/>
                <w:bCs/>
                <w:szCs w:val="21"/>
              </w:rPr>
            </w:pPr>
            <w:r>
              <w:rPr>
                <w:rFonts w:hint="eastAsia" w:ascii="宋体" w:hAnsi="宋体" w:cs="黑体"/>
                <w:szCs w:val="21"/>
              </w:rPr>
              <w:t xml:space="preserve"> </w:t>
            </w:r>
            <w:r>
              <w:rPr>
                <w:rFonts w:hint="eastAsia" w:ascii="宋体" w:hAnsi="宋体" w:cs="Arial"/>
                <w:bCs/>
                <w:szCs w:val="21"/>
              </w:rPr>
              <w:t>(11)支持IPv4/IPv6双协议栈、Native原生、IPv6 Portal、IPv6 SAVI</w:t>
            </w:r>
          </w:p>
          <w:p>
            <w:pPr>
              <w:widowControl/>
              <w:spacing w:line="360" w:lineRule="auto"/>
              <w:jc w:val="left"/>
              <w:rPr>
                <w:rFonts w:ascii="宋体" w:hAnsi="宋体" w:cs="Arial"/>
                <w:bCs/>
                <w:szCs w:val="21"/>
              </w:rPr>
            </w:pPr>
            <w:r>
              <w:rPr>
                <w:rFonts w:hint="eastAsia" w:ascii="宋体" w:hAnsi="宋体" w:cs="Arial"/>
                <w:bCs/>
                <w:szCs w:val="21"/>
              </w:rPr>
              <w:t>(12)支持集中式转发模式和AP本地转发模式</w:t>
            </w:r>
          </w:p>
          <w:p>
            <w:pPr>
              <w:widowControl/>
              <w:spacing w:line="360" w:lineRule="auto"/>
              <w:jc w:val="left"/>
              <w:rPr>
                <w:rFonts w:ascii="宋体" w:hAnsi="宋体" w:cs="Arial"/>
                <w:bCs/>
                <w:szCs w:val="21"/>
              </w:rPr>
            </w:pPr>
            <w:r>
              <w:rPr>
                <w:rFonts w:hint="eastAsia" w:ascii="宋体" w:hAnsi="宋体" w:cs="Arial"/>
                <w:bCs/>
                <w:szCs w:val="21"/>
              </w:rPr>
              <w:t>(13) 支持only 11n接入功能，可以防止11a/g用户接入；</w:t>
            </w:r>
          </w:p>
          <w:p>
            <w:pPr>
              <w:widowControl/>
              <w:spacing w:line="360" w:lineRule="auto"/>
              <w:jc w:val="left"/>
              <w:rPr>
                <w:rFonts w:ascii="宋体" w:hAnsi="宋体" w:cs="Arial"/>
                <w:bCs/>
                <w:szCs w:val="21"/>
              </w:rPr>
            </w:pPr>
            <w:r>
              <w:rPr>
                <w:rFonts w:hint="eastAsia" w:ascii="宋体" w:hAnsi="宋体" w:cs="Arial"/>
                <w:bCs/>
                <w:szCs w:val="21"/>
              </w:rPr>
              <w:t>(14）与无线控制器统一品牌；</w:t>
            </w:r>
          </w:p>
        </w:tc>
      </w:tr>
      <w:tr>
        <w:tblPrEx>
          <w:tblCellMar>
            <w:top w:w="0" w:type="dxa"/>
            <w:left w:w="108" w:type="dxa"/>
            <w:bottom w:w="0" w:type="dxa"/>
            <w:right w:w="108" w:type="dxa"/>
          </w:tblCellMar>
        </w:tblPrEx>
        <w:trPr>
          <w:trHeight w:val="1030" w:hRule="atLeast"/>
          <w:jc w:val="center"/>
        </w:trPr>
        <w:tc>
          <w:tcPr>
            <w:tcW w:w="1276" w:type="dxa"/>
            <w:tcBorders>
              <w:top w:val="nil"/>
              <w:left w:val="single" w:color="auto" w:sz="4" w:space="0"/>
              <w:bottom w:val="single" w:color="auto" w:sz="4" w:space="0"/>
              <w:right w:val="single" w:color="auto" w:sz="4" w:space="0"/>
            </w:tcBorders>
            <w:vAlign w:val="center"/>
          </w:tcPr>
          <w:p>
            <w:pPr>
              <w:pStyle w:val="13"/>
              <w:spacing w:before="156" w:line="360" w:lineRule="exact"/>
              <w:ind w:firstLine="452"/>
              <w:rPr>
                <w:rFonts w:ascii="宋体" w:hAnsi="宋体" w:cs="宋体"/>
                <w:kern w:val="0"/>
                <w:sz w:val="21"/>
                <w:szCs w:val="21"/>
              </w:rPr>
            </w:pPr>
            <w:r>
              <w:rPr>
                <w:rFonts w:hint="eastAsia" w:ascii="宋体" w:hAnsi="宋体" w:cs="宋体"/>
                <w:kern w:val="0"/>
                <w:sz w:val="21"/>
                <w:szCs w:val="21"/>
              </w:rPr>
              <w:t>全向吸顶天线</w:t>
            </w:r>
          </w:p>
        </w:tc>
        <w:tc>
          <w:tcPr>
            <w:tcW w:w="6917" w:type="dxa"/>
            <w:tcBorders>
              <w:top w:val="nil"/>
              <w:left w:val="nil"/>
              <w:bottom w:val="single" w:color="auto" w:sz="4" w:space="0"/>
              <w:right w:val="single" w:color="auto" w:sz="4" w:space="0"/>
            </w:tcBorders>
            <w:vAlign w:val="center"/>
          </w:tcPr>
          <w:p>
            <w:pPr>
              <w:pStyle w:val="68"/>
              <w:spacing w:line="360" w:lineRule="exact"/>
              <w:ind w:firstLine="0" w:firstLineChars="0"/>
              <w:rPr>
                <w:rFonts w:ascii="宋体" w:hAnsi="宋体" w:cs="宋体"/>
                <w:szCs w:val="21"/>
              </w:rPr>
            </w:pPr>
            <w:r>
              <w:rPr>
                <w:rFonts w:hint="eastAsia" w:ascii="宋体" w:hAnsi="宋体" w:cs="宋体"/>
                <w:szCs w:val="21"/>
              </w:rPr>
              <w:t>2.4GHz(3dBi)&amp;5.150~5.850GHz(5dBi),RP-SMA-J×1,室内,天花板</w:t>
            </w:r>
          </w:p>
        </w:tc>
      </w:tr>
      <w:tr>
        <w:tblPrEx>
          <w:tblCellMar>
            <w:top w:w="0" w:type="dxa"/>
            <w:left w:w="108" w:type="dxa"/>
            <w:bottom w:w="0" w:type="dxa"/>
            <w:right w:w="108" w:type="dxa"/>
          </w:tblCellMar>
        </w:tblPrEx>
        <w:trPr>
          <w:trHeight w:val="1030" w:hRule="atLeast"/>
          <w:jc w:val="center"/>
        </w:trPr>
        <w:tc>
          <w:tcPr>
            <w:tcW w:w="1276" w:type="dxa"/>
            <w:tcBorders>
              <w:top w:val="nil"/>
              <w:left w:val="single" w:color="auto" w:sz="4" w:space="0"/>
              <w:bottom w:val="single" w:color="auto" w:sz="4" w:space="0"/>
              <w:right w:val="single" w:color="auto" w:sz="4" w:space="0"/>
            </w:tcBorders>
            <w:vAlign w:val="center"/>
          </w:tcPr>
          <w:p>
            <w:pPr>
              <w:widowControl/>
              <w:spacing w:line="360" w:lineRule="exact"/>
              <w:rPr>
                <w:rFonts w:ascii="宋体" w:hAnsi="宋体" w:cs="宋体"/>
                <w:kern w:val="0"/>
                <w:szCs w:val="21"/>
              </w:rPr>
            </w:pPr>
            <w:r>
              <w:rPr>
                <w:rFonts w:hint="eastAsia" w:ascii="宋体" w:hAnsi="宋体" w:cs="宋体"/>
                <w:kern w:val="0"/>
                <w:szCs w:val="21"/>
              </w:rPr>
              <w:t>10米馈线</w:t>
            </w:r>
          </w:p>
        </w:tc>
        <w:tc>
          <w:tcPr>
            <w:tcW w:w="6917"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kern w:val="0"/>
                <w:szCs w:val="21"/>
              </w:rPr>
            </w:pPr>
            <w:r>
              <w:rPr>
                <w:rFonts w:hint="eastAsia" w:ascii="宋体" w:hAnsi="宋体" w:cs="宋体"/>
                <w:kern w:val="0"/>
                <w:szCs w:val="21"/>
              </w:rPr>
              <w:t>同轴电缆-10m-(反极性SMA50直公)-(COAX-RG8白色)-(反极性SMA50直母)</w:t>
            </w:r>
          </w:p>
        </w:tc>
      </w:tr>
      <w:tr>
        <w:tblPrEx>
          <w:tblCellMar>
            <w:top w:w="0" w:type="dxa"/>
            <w:left w:w="108" w:type="dxa"/>
            <w:bottom w:w="0" w:type="dxa"/>
            <w:right w:w="108" w:type="dxa"/>
          </w:tblCellMar>
        </w:tblPrEx>
        <w:trPr>
          <w:trHeight w:val="1030" w:hRule="atLeast"/>
          <w:jc w:val="center"/>
        </w:trPr>
        <w:tc>
          <w:tcPr>
            <w:tcW w:w="1276" w:type="dxa"/>
            <w:tcBorders>
              <w:top w:val="nil"/>
              <w:left w:val="single" w:color="auto" w:sz="4" w:space="0"/>
              <w:bottom w:val="single" w:color="auto" w:sz="4" w:space="0"/>
              <w:right w:val="single" w:color="auto" w:sz="4" w:space="0"/>
            </w:tcBorders>
            <w:vAlign w:val="center"/>
          </w:tcPr>
          <w:p>
            <w:pPr>
              <w:widowControl/>
              <w:spacing w:line="360" w:lineRule="exact"/>
              <w:rPr>
                <w:rFonts w:ascii="宋体" w:hAnsi="宋体" w:cs="宋体"/>
                <w:kern w:val="0"/>
                <w:szCs w:val="21"/>
              </w:rPr>
            </w:pPr>
            <w:r>
              <w:rPr>
                <w:rFonts w:ascii="宋体" w:hAnsi="宋体" w:cs="宋体"/>
                <w:kern w:val="0"/>
                <w:szCs w:val="21"/>
              </w:rPr>
              <w:t>5</w:t>
            </w:r>
            <w:r>
              <w:rPr>
                <w:rFonts w:hint="eastAsia" w:ascii="宋体" w:hAnsi="宋体" w:cs="宋体"/>
                <w:kern w:val="0"/>
                <w:szCs w:val="21"/>
              </w:rPr>
              <w:t>米馈线</w:t>
            </w:r>
          </w:p>
        </w:tc>
        <w:tc>
          <w:tcPr>
            <w:tcW w:w="6917" w:type="dxa"/>
            <w:tcBorders>
              <w:top w:val="nil"/>
              <w:left w:val="nil"/>
              <w:bottom w:val="single" w:color="auto" w:sz="4" w:space="0"/>
              <w:right w:val="single" w:color="auto" w:sz="4" w:space="0"/>
            </w:tcBorders>
            <w:vAlign w:val="center"/>
          </w:tcPr>
          <w:p>
            <w:pPr>
              <w:widowControl/>
              <w:spacing w:line="360" w:lineRule="exact"/>
              <w:jc w:val="left"/>
              <w:rPr>
                <w:rFonts w:ascii="宋体" w:hAnsi="宋体" w:cs="宋体"/>
                <w:kern w:val="0"/>
                <w:szCs w:val="21"/>
              </w:rPr>
            </w:pPr>
            <w:r>
              <w:rPr>
                <w:rFonts w:hint="eastAsia" w:ascii="宋体" w:hAnsi="宋体" w:cs="宋体"/>
                <w:kern w:val="0"/>
                <w:szCs w:val="21"/>
              </w:rPr>
              <w:t>同轴电缆-5m-(反极性SMA50直公)-(COAX-RG8白色)-(反极性SMA50直母)</w:t>
            </w:r>
          </w:p>
        </w:tc>
      </w:tr>
      <w:tr>
        <w:tblPrEx>
          <w:tblCellMar>
            <w:top w:w="0" w:type="dxa"/>
            <w:left w:w="108" w:type="dxa"/>
            <w:bottom w:w="0" w:type="dxa"/>
            <w:right w:w="108" w:type="dxa"/>
          </w:tblCellMar>
        </w:tblPrEx>
        <w:trPr>
          <w:trHeight w:val="560" w:hRule="atLeast"/>
          <w:jc w:val="center"/>
        </w:trPr>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kern w:val="0"/>
                <w:szCs w:val="21"/>
              </w:rPr>
            </w:pPr>
            <w:r>
              <w:rPr>
                <w:rFonts w:hint="eastAsia" w:ascii="宋体" w:hAnsi="宋体" w:cs="宋体"/>
                <w:kern w:val="0"/>
                <w:szCs w:val="21"/>
              </w:rPr>
              <w:t>24口P</w:t>
            </w:r>
            <w:r>
              <w:rPr>
                <w:rFonts w:ascii="宋体" w:hAnsi="宋体" w:cs="宋体"/>
                <w:kern w:val="0"/>
                <w:szCs w:val="21"/>
              </w:rPr>
              <w:t>o</w:t>
            </w:r>
            <w:r>
              <w:rPr>
                <w:rFonts w:hint="eastAsia" w:ascii="宋体" w:hAnsi="宋体" w:cs="宋体"/>
                <w:kern w:val="0"/>
                <w:szCs w:val="21"/>
              </w:rPr>
              <w:t>E交换机</w:t>
            </w:r>
          </w:p>
        </w:tc>
        <w:tc>
          <w:tcPr>
            <w:tcW w:w="6917" w:type="dxa"/>
            <w:tcBorders>
              <w:top w:val="single" w:color="auto" w:sz="4" w:space="0"/>
              <w:left w:val="nil"/>
              <w:bottom w:val="single" w:color="auto" w:sz="4" w:space="0"/>
              <w:right w:val="single" w:color="auto" w:sz="4" w:space="0"/>
            </w:tcBorders>
            <w:vAlign w:val="center"/>
          </w:tcPr>
          <w:p>
            <w:pPr>
              <w:widowControl/>
              <w:tabs>
                <w:tab w:val="left" w:pos="312"/>
              </w:tabs>
              <w:spacing w:line="360" w:lineRule="exact"/>
              <w:jc w:val="left"/>
              <w:rPr>
                <w:rFonts w:ascii="宋体" w:hAnsi="宋体" w:cs="宋体"/>
                <w:kern w:val="0"/>
                <w:szCs w:val="21"/>
              </w:rPr>
            </w:pPr>
            <w:r>
              <w:rPr>
                <w:rFonts w:hint="eastAsia" w:ascii="宋体" w:hAnsi="宋体" w:cs="宋体"/>
                <w:kern w:val="0"/>
                <w:szCs w:val="21"/>
              </w:rPr>
              <w:t>24个10/100/1000Base-TX以太网端口，4个非复用100/1000Base-X SFP端口，不少于370W PoE+输出；交换容量≥256Gbps，包转发率≥42Mpps；</w:t>
            </w:r>
          </w:p>
        </w:tc>
      </w:tr>
    </w:tbl>
    <w:p>
      <w:pPr>
        <w:spacing w:line="360" w:lineRule="auto"/>
        <w:rPr>
          <w:rFonts w:ascii="宋体" w:hAnsi="宋体" w:cs="宋体"/>
          <w:color w:val="000000"/>
          <w:szCs w:val="21"/>
        </w:rPr>
      </w:pPr>
    </w:p>
    <w:p>
      <w:pPr>
        <w:spacing w:line="360" w:lineRule="auto"/>
        <w:rPr>
          <w:rFonts w:ascii="宋体" w:hAnsi="宋体" w:cs="宋体"/>
          <w:color w:val="000000"/>
          <w:szCs w:val="21"/>
        </w:rPr>
      </w:pPr>
    </w:p>
    <w:p>
      <w:pPr>
        <w:spacing w:line="360" w:lineRule="auto"/>
        <w:rPr>
          <w:rFonts w:ascii="宋体" w:hAnsi="宋体" w:cs="宋体"/>
          <w:color w:val="000000"/>
          <w:szCs w:val="21"/>
        </w:rPr>
      </w:pPr>
    </w:p>
    <w:p>
      <w:pPr>
        <w:spacing w:line="360" w:lineRule="auto"/>
        <w:rPr>
          <w:rFonts w:ascii="宋体" w:hAnsi="宋体" w:cs="宋体"/>
          <w:color w:val="000000"/>
          <w:szCs w:val="21"/>
        </w:rPr>
      </w:pPr>
    </w:p>
    <w:p>
      <w:pPr>
        <w:spacing w:line="360" w:lineRule="auto"/>
        <w:rPr>
          <w:rFonts w:ascii="宋体" w:hAnsi="宋体" w:cs="宋体"/>
          <w:color w:val="000000"/>
          <w:szCs w:val="21"/>
        </w:rPr>
      </w:pPr>
    </w:p>
    <w:p>
      <w:pPr>
        <w:spacing w:line="360" w:lineRule="auto"/>
        <w:rPr>
          <w:rFonts w:ascii="宋体" w:hAnsi="宋体" w:cs="宋体"/>
          <w:color w:val="000000"/>
          <w:szCs w:val="21"/>
        </w:rPr>
      </w:pPr>
    </w:p>
    <w:p>
      <w:pPr>
        <w:spacing w:line="360" w:lineRule="auto"/>
        <w:rPr>
          <w:rFonts w:ascii="宋体" w:hAnsi="宋体" w:cs="宋体"/>
          <w:color w:val="000000"/>
          <w:szCs w:val="21"/>
        </w:rPr>
      </w:pPr>
    </w:p>
    <w:p>
      <w:pPr>
        <w:spacing w:line="360" w:lineRule="auto"/>
        <w:rPr>
          <w:rFonts w:ascii="宋体" w:hAnsi="宋体" w:cs="宋体"/>
          <w:color w:val="000000"/>
          <w:szCs w:val="21"/>
        </w:rPr>
      </w:pPr>
    </w:p>
    <w:p>
      <w:pPr>
        <w:spacing w:line="360" w:lineRule="auto"/>
        <w:rPr>
          <w:rFonts w:ascii="宋体" w:hAnsi="宋体" w:cs="宋体"/>
          <w:color w:val="000000"/>
          <w:szCs w:val="21"/>
        </w:rPr>
      </w:pPr>
    </w:p>
    <w:p>
      <w:pPr>
        <w:spacing w:line="360" w:lineRule="auto"/>
        <w:rPr>
          <w:rFonts w:ascii="宋体" w:hAnsi="宋体" w:cs="宋体"/>
          <w:color w:val="000000"/>
          <w:szCs w:val="21"/>
        </w:rPr>
      </w:pPr>
    </w:p>
    <w:p>
      <w:pPr>
        <w:spacing w:line="360" w:lineRule="auto"/>
        <w:rPr>
          <w:rFonts w:ascii="宋体" w:hAnsi="宋体" w:cs="宋体"/>
          <w:color w:val="000000"/>
          <w:szCs w:val="21"/>
        </w:rPr>
      </w:pPr>
    </w:p>
    <w:p>
      <w:pPr>
        <w:spacing w:line="360" w:lineRule="auto"/>
        <w:rPr>
          <w:rFonts w:ascii="宋体" w:hAnsi="宋体" w:cs="宋体"/>
          <w:color w:val="000000"/>
          <w:szCs w:val="21"/>
        </w:rPr>
      </w:pPr>
    </w:p>
    <w:p>
      <w:pPr>
        <w:spacing w:line="360" w:lineRule="auto"/>
        <w:rPr>
          <w:rFonts w:ascii="宋体" w:hAnsi="宋体" w:cs="宋体"/>
          <w:color w:val="000000"/>
          <w:szCs w:val="21"/>
        </w:rPr>
      </w:pPr>
    </w:p>
    <w:p>
      <w:pPr>
        <w:spacing w:line="360" w:lineRule="auto"/>
        <w:rPr>
          <w:rFonts w:ascii="宋体" w:hAnsi="宋体" w:cs="宋体"/>
          <w:color w:val="000000"/>
          <w:szCs w:val="21"/>
        </w:rPr>
      </w:pPr>
    </w:p>
    <w:p>
      <w:pPr>
        <w:spacing w:line="360" w:lineRule="auto"/>
        <w:rPr>
          <w:rFonts w:ascii="宋体" w:hAnsi="宋体" w:cs="宋体"/>
          <w:color w:val="000000"/>
          <w:szCs w:val="21"/>
        </w:rPr>
      </w:pPr>
    </w:p>
    <w:p>
      <w:pPr>
        <w:spacing w:line="360" w:lineRule="auto"/>
        <w:rPr>
          <w:rFonts w:ascii="宋体" w:hAnsi="宋体" w:cs="宋体"/>
          <w:color w:val="000000"/>
          <w:szCs w:val="21"/>
        </w:rPr>
      </w:pPr>
    </w:p>
    <w:p>
      <w:pPr>
        <w:spacing w:line="360" w:lineRule="auto"/>
        <w:rPr>
          <w:rFonts w:ascii="宋体" w:hAnsi="宋体" w:cs="宋体"/>
          <w:color w:val="000000"/>
          <w:szCs w:val="21"/>
        </w:rPr>
      </w:pPr>
    </w:p>
    <w:p>
      <w:pPr>
        <w:numPr>
          <w:ilvl w:val="0"/>
          <w:numId w:val="4"/>
        </w:numPr>
        <w:spacing w:line="360" w:lineRule="auto"/>
        <w:rPr>
          <w:rFonts w:ascii="宋体" w:hAnsi="宋体" w:cs="宋体"/>
          <w:b/>
          <w:bCs/>
          <w:color w:val="000000"/>
          <w:szCs w:val="21"/>
        </w:rPr>
      </w:pPr>
      <w:r>
        <w:rPr>
          <w:rFonts w:hint="eastAsia" w:ascii="宋体" w:hAnsi="宋体" w:cs="宋体"/>
          <w:b/>
          <w:bCs/>
          <w:color w:val="000000"/>
          <w:szCs w:val="21"/>
        </w:rPr>
        <w:t>可拆</w:t>
      </w:r>
      <w:r>
        <w:rPr>
          <w:rFonts w:ascii="宋体" w:hAnsi="宋体" w:cs="宋体"/>
          <w:b/>
          <w:bCs/>
          <w:color w:val="000000"/>
          <w:szCs w:val="21"/>
        </w:rPr>
        <w:t>AP</w:t>
      </w:r>
      <w:r>
        <w:rPr>
          <w:rFonts w:hint="eastAsia" w:ascii="宋体" w:hAnsi="宋体" w:cs="宋体"/>
          <w:b/>
          <w:bCs/>
          <w:color w:val="000000"/>
          <w:szCs w:val="21"/>
        </w:rPr>
        <w:t>的楼层清单</w:t>
      </w:r>
    </w:p>
    <w:tbl>
      <w:tblPr>
        <w:tblStyle w:val="20"/>
        <w:tblW w:w="8495" w:type="dxa"/>
        <w:tblInd w:w="0" w:type="dxa"/>
        <w:tblLayout w:type="autofit"/>
        <w:tblCellMar>
          <w:top w:w="0" w:type="dxa"/>
          <w:left w:w="108" w:type="dxa"/>
          <w:bottom w:w="0" w:type="dxa"/>
          <w:right w:w="108" w:type="dxa"/>
        </w:tblCellMar>
      </w:tblPr>
      <w:tblGrid>
        <w:gridCol w:w="1020"/>
        <w:gridCol w:w="1380"/>
        <w:gridCol w:w="2410"/>
        <w:gridCol w:w="1559"/>
        <w:gridCol w:w="2126"/>
      </w:tblGrid>
      <w:tr>
        <w:tblPrEx>
          <w:tblCellMar>
            <w:top w:w="0" w:type="dxa"/>
            <w:left w:w="108" w:type="dxa"/>
            <w:bottom w:w="0" w:type="dxa"/>
            <w:right w:w="108" w:type="dxa"/>
          </w:tblCellMar>
        </w:tblPrEx>
        <w:trPr>
          <w:trHeight w:val="795" w:hRule="atLeast"/>
        </w:trPr>
        <w:tc>
          <w:tcPr>
            <w:tcW w:w="2400" w:type="dxa"/>
            <w:gridSpan w:val="2"/>
            <w:tcBorders>
              <w:top w:val="single" w:color="auto" w:sz="8" w:space="0"/>
              <w:left w:val="single" w:color="auto" w:sz="8" w:space="0"/>
              <w:bottom w:val="single" w:color="auto" w:sz="8" w:space="0"/>
              <w:right w:val="single" w:color="000000" w:sz="8" w:space="0"/>
            </w:tcBorders>
            <w:shd w:val="clear" w:color="000000" w:fill="FFD966"/>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位置</w:t>
            </w:r>
          </w:p>
        </w:tc>
        <w:tc>
          <w:tcPr>
            <w:tcW w:w="2410" w:type="dxa"/>
            <w:tcBorders>
              <w:top w:val="single" w:color="auto" w:sz="8" w:space="0"/>
              <w:left w:val="nil"/>
              <w:bottom w:val="single" w:color="auto" w:sz="8" w:space="0"/>
              <w:right w:val="single" w:color="auto" w:sz="8" w:space="0"/>
            </w:tcBorders>
            <w:shd w:val="clear" w:color="000000" w:fill="FFD966"/>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原图纸分布式AP</w:t>
            </w:r>
          </w:p>
        </w:tc>
        <w:tc>
          <w:tcPr>
            <w:tcW w:w="1559" w:type="dxa"/>
            <w:tcBorders>
              <w:top w:val="single" w:color="auto" w:sz="8" w:space="0"/>
              <w:left w:val="nil"/>
              <w:bottom w:val="single" w:color="auto" w:sz="8" w:space="0"/>
              <w:right w:val="single" w:color="auto" w:sz="8" w:space="0"/>
            </w:tcBorders>
            <w:shd w:val="clear" w:color="000000" w:fill="FFD966"/>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原图纸放装式AP</w:t>
            </w:r>
          </w:p>
        </w:tc>
        <w:tc>
          <w:tcPr>
            <w:tcW w:w="2126" w:type="dxa"/>
            <w:tcBorders>
              <w:top w:val="single" w:color="auto" w:sz="8" w:space="0"/>
              <w:left w:val="nil"/>
              <w:bottom w:val="single" w:color="auto" w:sz="8" w:space="0"/>
              <w:right w:val="single" w:color="auto" w:sz="8" w:space="0"/>
            </w:tcBorders>
            <w:shd w:val="clear" w:color="000000" w:fill="FFD966"/>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楼层24口PoE交换机</w:t>
            </w:r>
          </w:p>
        </w:tc>
      </w:tr>
      <w:tr>
        <w:tblPrEx>
          <w:tblCellMar>
            <w:top w:w="0" w:type="dxa"/>
            <w:left w:w="108" w:type="dxa"/>
            <w:bottom w:w="0" w:type="dxa"/>
            <w:right w:w="108" w:type="dxa"/>
          </w:tblCellMar>
        </w:tblPrEx>
        <w:trPr>
          <w:trHeight w:val="278" w:hRule="atLeast"/>
        </w:trPr>
        <w:tc>
          <w:tcPr>
            <w:tcW w:w="102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伟伦楼</w:t>
            </w:r>
          </w:p>
        </w:tc>
        <w:tc>
          <w:tcPr>
            <w:tcW w:w="13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负1F</w:t>
            </w:r>
          </w:p>
        </w:tc>
        <w:tc>
          <w:tcPr>
            <w:tcW w:w="241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0</w:t>
            </w:r>
          </w:p>
        </w:tc>
        <w:tc>
          <w:tcPr>
            <w:tcW w:w="155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2126"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0</w:t>
            </w:r>
          </w:p>
        </w:tc>
      </w:tr>
      <w:tr>
        <w:tblPrEx>
          <w:tblCellMar>
            <w:top w:w="0" w:type="dxa"/>
            <w:left w:w="108" w:type="dxa"/>
            <w:bottom w:w="0" w:type="dxa"/>
            <w:right w:w="108" w:type="dxa"/>
          </w:tblCellMar>
        </w:tblPrEx>
        <w:trPr>
          <w:trHeight w:val="278" w:hRule="atLeast"/>
        </w:trPr>
        <w:tc>
          <w:tcPr>
            <w:tcW w:w="102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3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负2F</w:t>
            </w:r>
          </w:p>
        </w:tc>
        <w:tc>
          <w:tcPr>
            <w:tcW w:w="241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155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0</w:t>
            </w:r>
          </w:p>
        </w:tc>
        <w:tc>
          <w:tcPr>
            <w:tcW w:w="2126"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278" w:hRule="atLeast"/>
        </w:trPr>
        <w:tc>
          <w:tcPr>
            <w:tcW w:w="102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3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2F</w:t>
            </w:r>
          </w:p>
        </w:tc>
        <w:tc>
          <w:tcPr>
            <w:tcW w:w="241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w:t>
            </w:r>
          </w:p>
        </w:tc>
        <w:tc>
          <w:tcPr>
            <w:tcW w:w="155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2126"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0</w:t>
            </w:r>
          </w:p>
        </w:tc>
      </w:tr>
      <w:tr>
        <w:tblPrEx>
          <w:tblCellMar>
            <w:top w:w="0" w:type="dxa"/>
            <w:left w:w="108" w:type="dxa"/>
            <w:bottom w:w="0" w:type="dxa"/>
            <w:right w:w="108" w:type="dxa"/>
          </w:tblCellMar>
        </w:tblPrEx>
        <w:trPr>
          <w:trHeight w:val="278" w:hRule="atLeast"/>
        </w:trPr>
        <w:tc>
          <w:tcPr>
            <w:tcW w:w="102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3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3F</w:t>
            </w:r>
          </w:p>
        </w:tc>
        <w:tc>
          <w:tcPr>
            <w:tcW w:w="241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w:t>
            </w:r>
          </w:p>
        </w:tc>
        <w:tc>
          <w:tcPr>
            <w:tcW w:w="155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2126"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0</w:t>
            </w:r>
          </w:p>
        </w:tc>
      </w:tr>
      <w:tr>
        <w:tblPrEx>
          <w:tblCellMar>
            <w:top w:w="0" w:type="dxa"/>
            <w:left w:w="108" w:type="dxa"/>
            <w:bottom w:w="0" w:type="dxa"/>
            <w:right w:w="108" w:type="dxa"/>
          </w:tblCellMar>
        </w:tblPrEx>
        <w:trPr>
          <w:trHeight w:val="278" w:hRule="atLeast"/>
        </w:trPr>
        <w:tc>
          <w:tcPr>
            <w:tcW w:w="102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3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4F</w:t>
            </w:r>
          </w:p>
        </w:tc>
        <w:tc>
          <w:tcPr>
            <w:tcW w:w="241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155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2126"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w:t>
            </w:r>
          </w:p>
        </w:tc>
      </w:tr>
      <w:tr>
        <w:tblPrEx>
          <w:tblCellMar>
            <w:top w:w="0" w:type="dxa"/>
            <w:left w:w="108" w:type="dxa"/>
            <w:bottom w:w="0" w:type="dxa"/>
            <w:right w:w="108" w:type="dxa"/>
          </w:tblCellMar>
        </w:tblPrEx>
        <w:trPr>
          <w:trHeight w:val="278" w:hRule="atLeast"/>
        </w:trPr>
        <w:tc>
          <w:tcPr>
            <w:tcW w:w="102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3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5F</w:t>
            </w:r>
          </w:p>
        </w:tc>
        <w:tc>
          <w:tcPr>
            <w:tcW w:w="241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155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0</w:t>
            </w:r>
          </w:p>
        </w:tc>
        <w:tc>
          <w:tcPr>
            <w:tcW w:w="2126"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0</w:t>
            </w:r>
          </w:p>
        </w:tc>
      </w:tr>
      <w:tr>
        <w:tblPrEx>
          <w:tblCellMar>
            <w:top w:w="0" w:type="dxa"/>
            <w:left w:w="108" w:type="dxa"/>
            <w:bottom w:w="0" w:type="dxa"/>
            <w:right w:w="108" w:type="dxa"/>
          </w:tblCellMar>
        </w:tblPrEx>
        <w:trPr>
          <w:trHeight w:val="278" w:hRule="atLeast"/>
        </w:trPr>
        <w:tc>
          <w:tcPr>
            <w:tcW w:w="102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3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6F</w:t>
            </w:r>
          </w:p>
        </w:tc>
        <w:tc>
          <w:tcPr>
            <w:tcW w:w="241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155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2126"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w:t>
            </w:r>
          </w:p>
        </w:tc>
      </w:tr>
      <w:tr>
        <w:tblPrEx>
          <w:tblCellMar>
            <w:top w:w="0" w:type="dxa"/>
            <w:left w:w="108" w:type="dxa"/>
            <w:bottom w:w="0" w:type="dxa"/>
            <w:right w:w="108" w:type="dxa"/>
          </w:tblCellMar>
        </w:tblPrEx>
        <w:trPr>
          <w:trHeight w:val="278" w:hRule="atLeast"/>
        </w:trPr>
        <w:tc>
          <w:tcPr>
            <w:tcW w:w="102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门诊楼</w:t>
            </w:r>
          </w:p>
        </w:tc>
        <w:tc>
          <w:tcPr>
            <w:tcW w:w="13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3F</w:t>
            </w:r>
          </w:p>
        </w:tc>
        <w:tc>
          <w:tcPr>
            <w:tcW w:w="241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25</w:t>
            </w:r>
          </w:p>
        </w:tc>
        <w:tc>
          <w:tcPr>
            <w:tcW w:w="1559" w:type="dxa"/>
            <w:tcBorders>
              <w:top w:val="nil"/>
              <w:left w:val="nil"/>
              <w:bottom w:val="nil"/>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2126"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r>
      <w:tr>
        <w:tblPrEx>
          <w:tblCellMar>
            <w:top w:w="0" w:type="dxa"/>
            <w:left w:w="108" w:type="dxa"/>
            <w:bottom w:w="0" w:type="dxa"/>
            <w:right w:w="108" w:type="dxa"/>
          </w:tblCellMar>
        </w:tblPrEx>
        <w:trPr>
          <w:trHeight w:val="278" w:hRule="atLeast"/>
        </w:trPr>
        <w:tc>
          <w:tcPr>
            <w:tcW w:w="102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3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4F</w:t>
            </w:r>
          </w:p>
        </w:tc>
        <w:tc>
          <w:tcPr>
            <w:tcW w:w="241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26</w:t>
            </w:r>
          </w:p>
        </w:tc>
        <w:tc>
          <w:tcPr>
            <w:tcW w:w="1559"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16</w:t>
            </w:r>
          </w:p>
        </w:tc>
        <w:tc>
          <w:tcPr>
            <w:tcW w:w="2126"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0</w:t>
            </w:r>
          </w:p>
        </w:tc>
      </w:tr>
      <w:tr>
        <w:tblPrEx>
          <w:tblCellMar>
            <w:top w:w="0" w:type="dxa"/>
            <w:left w:w="108" w:type="dxa"/>
            <w:bottom w:w="0" w:type="dxa"/>
            <w:right w:w="108" w:type="dxa"/>
          </w:tblCellMar>
        </w:tblPrEx>
        <w:trPr>
          <w:trHeight w:val="278" w:hRule="atLeast"/>
        </w:trPr>
        <w:tc>
          <w:tcPr>
            <w:tcW w:w="102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3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5F</w:t>
            </w:r>
          </w:p>
        </w:tc>
        <w:tc>
          <w:tcPr>
            <w:tcW w:w="241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26</w:t>
            </w:r>
          </w:p>
        </w:tc>
        <w:tc>
          <w:tcPr>
            <w:tcW w:w="155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2126"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0</w:t>
            </w:r>
          </w:p>
        </w:tc>
      </w:tr>
      <w:tr>
        <w:tblPrEx>
          <w:tblCellMar>
            <w:top w:w="0" w:type="dxa"/>
            <w:left w:w="108" w:type="dxa"/>
            <w:bottom w:w="0" w:type="dxa"/>
            <w:right w:w="108" w:type="dxa"/>
          </w:tblCellMar>
        </w:tblPrEx>
        <w:trPr>
          <w:trHeight w:val="278" w:hRule="atLeast"/>
        </w:trPr>
        <w:tc>
          <w:tcPr>
            <w:tcW w:w="10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科教楼</w:t>
            </w:r>
          </w:p>
        </w:tc>
        <w:tc>
          <w:tcPr>
            <w:tcW w:w="13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1F</w:t>
            </w:r>
          </w:p>
        </w:tc>
        <w:tc>
          <w:tcPr>
            <w:tcW w:w="241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155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0</w:t>
            </w:r>
          </w:p>
        </w:tc>
        <w:tc>
          <w:tcPr>
            <w:tcW w:w="2126"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278" w:hRule="atLeast"/>
        </w:trPr>
        <w:tc>
          <w:tcPr>
            <w:tcW w:w="10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门诊楼</w:t>
            </w:r>
          </w:p>
        </w:tc>
        <w:tc>
          <w:tcPr>
            <w:tcW w:w="13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20F</w:t>
            </w:r>
          </w:p>
        </w:tc>
        <w:tc>
          <w:tcPr>
            <w:tcW w:w="241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w:t>
            </w:r>
          </w:p>
        </w:tc>
        <w:tc>
          <w:tcPr>
            <w:tcW w:w="155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15</w:t>
            </w:r>
          </w:p>
        </w:tc>
        <w:tc>
          <w:tcPr>
            <w:tcW w:w="2126"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r>
      <w:tr>
        <w:tblPrEx>
          <w:tblCellMar>
            <w:top w:w="0" w:type="dxa"/>
            <w:left w:w="108" w:type="dxa"/>
            <w:bottom w:w="0" w:type="dxa"/>
            <w:right w:w="108" w:type="dxa"/>
          </w:tblCellMar>
        </w:tblPrEx>
        <w:trPr>
          <w:trHeight w:val="278" w:hRule="atLeast"/>
        </w:trPr>
        <w:tc>
          <w:tcPr>
            <w:tcW w:w="10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英东楼</w:t>
            </w:r>
          </w:p>
        </w:tc>
        <w:tc>
          <w:tcPr>
            <w:tcW w:w="13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负1F</w:t>
            </w:r>
          </w:p>
        </w:tc>
        <w:tc>
          <w:tcPr>
            <w:tcW w:w="241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155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2126"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278" w:hRule="atLeast"/>
        </w:trPr>
        <w:tc>
          <w:tcPr>
            <w:tcW w:w="2400" w:type="dxa"/>
            <w:gridSpan w:val="2"/>
            <w:tcBorders>
              <w:top w:val="nil"/>
              <w:left w:val="single" w:color="auto" w:sz="8" w:space="0"/>
              <w:bottom w:val="single" w:color="auto" w:sz="8" w:space="0"/>
              <w:right w:val="single" w:color="000000" w:sz="8" w:space="0"/>
            </w:tcBorders>
            <w:shd w:val="clear" w:color="000000" w:fill="FFD966"/>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总计</w:t>
            </w:r>
          </w:p>
        </w:tc>
        <w:tc>
          <w:tcPr>
            <w:tcW w:w="2410" w:type="dxa"/>
            <w:tcBorders>
              <w:top w:val="nil"/>
              <w:left w:val="nil"/>
              <w:bottom w:val="single" w:color="auto" w:sz="8" w:space="0"/>
              <w:right w:val="single" w:color="auto" w:sz="8" w:space="0"/>
            </w:tcBorders>
            <w:shd w:val="clear" w:color="000000" w:fill="FFD966"/>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144</w:t>
            </w:r>
          </w:p>
        </w:tc>
        <w:tc>
          <w:tcPr>
            <w:tcW w:w="1559" w:type="dxa"/>
            <w:tcBorders>
              <w:top w:val="nil"/>
              <w:left w:val="nil"/>
              <w:bottom w:val="single" w:color="auto" w:sz="8" w:space="0"/>
              <w:right w:val="single" w:color="auto" w:sz="8" w:space="0"/>
            </w:tcBorders>
            <w:shd w:val="clear" w:color="000000" w:fill="FFD966"/>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53</w:t>
            </w:r>
          </w:p>
        </w:tc>
        <w:tc>
          <w:tcPr>
            <w:tcW w:w="2126" w:type="dxa"/>
            <w:tcBorders>
              <w:top w:val="nil"/>
              <w:left w:val="nil"/>
              <w:bottom w:val="single" w:color="auto" w:sz="8" w:space="0"/>
              <w:right w:val="single" w:color="auto" w:sz="8" w:space="0"/>
            </w:tcBorders>
            <w:shd w:val="clear" w:color="000000" w:fill="FFD966"/>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11</w:t>
            </w:r>
          </w:p>
        </w:tc>
      </w:tr>
    </w:tbl>
    <w:p>
      <w:pPr>
        <w:spacing w:line="360" w:lineRule="auto"/>
        <w:rPr>
          <w:rFonts w:ascii="宋体" w:hAnsi="宋体" w:cs="宋体"/>
          <w:b/>
          <w:bCs/>
          <w:color w:val="000000"/>
          <w:szCs w:val="21"/>
        </w:rPr>
      </w:pPr>
    </w:p>
    <w:p>
      <w:pPr>
        <w:numPr>
          <w:ilvl w:val="0"/>
          <w:numId w:val="4"/>
        </w:numPr>
        <w:spacing w:line="360" w:lineRule="auto"/>
        <w:rPr>
          <w:rFonts w:ascii="宋体" w:hAnsi="宋体" w:cs="宋体"/>
          <w:b/>
          <w:bCs/>
          <w:color w:val="000000"/>
          <w:szCs w:val="21"/>
        </w:rPr>
      </w:pPr>
      <w:r>
        <w:rPr>
          <w:rFonts w:hint="eastAsia" w:ascii="宋体" w:hAnsi="宋体" w:cs="宋体"/>
          <w:b/>
          <w:bCs/>
          <w:color w:val="000000"/>
          <w:szCs w:val="21"/>
        </w:rPr>
        <w:t>需安装无线A</w:t>
      </w:r>
      <w:r>
        <w:rPr>
          <w:rFonts w:ascii="宋体" w:hAnsi="宋体" w:cs="宋体"/>
          <w:b/>
          <w:bCs/>
          <w:color w:val="000000"/>
          <w:szCs w:val="21"/>
        </w:rPr>
        <w:t>P</w:t>
      </w:r>
      <w:r>
        <w:rPr>
          <w:rFonts w:hint="eastAsia" w:ascii="宋体" w:hAnsi="宋体" w:cs="宋体"/>
          <w:b/>
          <w:bCs/>
          <w:color w:val="000000"/>
          <w:szCs w:val="21"/>
        </w:rPr>
        <w:t>清单</w:t>
      </w:r>
    </w:p>
    <w:tbl>
      <w:tblPr>
        <w:tblStyle w:val="20"/>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3261"/>
        <w:gridCol w:w="51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jc w:val="center"/>
              <w:rPr>
                <w:b/>
              </w:rPr>
            </w:pPr>
            <w:r>
              <w:rPr>
                <w:rFonts w:hint="eastAsia"/>
                <w:b/>
              </w:rPr>
              <w:t>序号</w:t>
            </w:r>
          </w:p>
        </w:tc>
        <w:tc>
          <w:tcPr>
            <w:tcW w:w="3261" w:type="dxa"/>
          </w:tcPr>
          <w:p>
            <w:pPr>
              <w:jc w:val="center"/>
              <w:rPr>
                <w:b/>
              </w:rPr>
            </w:pPr>
            <w:r>
              <w:rPr>
                <w:rFonts w:hint="eastAsia"/>
                <w:b/>
              </w:rPr>
              <w:t>名称</w:t>
            </w:r>
          </w:p>
        </w:tc>
        <w:tc>
          <w:tcPr>
            <w:tcW w:w="5131" w:type="dxa"/>
          </w:tcPr>
          <w:p>
            <w:pPr>
              <w:jc w:val="center"/>
              <w:rPr>
                <w:b/>
              </w:rPr>
            </w:pPr>
            <w:r>
              <w:rPr>
                <w:rFonts w:hint="eastAsia"/>
                <w:b/>
              </w:rPr>
              <w:t>配置描述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jc w:val="center"/>
            </w:pPr>
            <w:r>
              <w:rPr>
                <w:rFonts w:hint="eastAsia"/>
              </w:rPr>
              <w:t>1</w:t>
            </w:r>
          </w:p>
        </w:tc>
        <w:tc>
          <w:tcPr>
            <w:tcW w:w="3261" w:type="dxa"/>
          </w:tcPr>
          <w:p>
            <w:pPr>
              <w:jc w:val="center"/>
            </w:pPr>
            <w:r>
              <w:rPr>
                <w:rFonts w:hint="eastAsia"/>
              </w:rPr>
              <w:t>科教楼首层血透室装修无线网络AP利旧拆装</w:t>
            </w:r>
          </w:p>
        </w:tc>
        <w:tc>
          <w:tcPr>
            <w:tcW w:w="5131" w:type="dxa"/>
          </w:tcPr>
          <w:p>
            <w:pPr>
              <w:jc w:val="center"/>
              <w:rPr>
                <w:rFonts w:ascii="宋体" w:hAnsi="宋体" w:cs="宋体"/>
                <w:color w:val="000000"/>
                <w:szCs w:val="21"/>
              </w:rPr>
            </w:pPr>
            <w:r>
              <w:rPr>
                <w:rFonts w:hint="eastAsia" w:ascii="宋体" w:hAnsi="宋体" w:cs="宋体"/>
                <w:color w:val="000000"/>
                <w:szCs w:val="21"/>
              </w:rPr>
              <w:t>【利旧拆装】对无线AP进行拆装，4个分布式AP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jc w:val="center"/>
            </w:pPr>
            <w:r>
              <w:rPr>
                <w:rFonts w:hint="eastAsia"/>
              </w:rPr>
              <w:t>2</w:t>
            </w:r>
          </w:p>
        </w:tc>
        <w:tc>
          <w:tcPr>
            <w:tcW w:w="3261" w:type="dxa"/>
          </w:tcPr>
          <w:p>
            <w:pPr>
              <w:jc w:val="center"/>
            </w:pPr>
            <w:r>
              <w:rPr>
                <w:rFonts w:hint="eastAsia"/>
              </w:rPr>
              <w:t>门诊住院大楼20层病房装修工程AP利旧拆装</w:t>
            </w:r>
          </w:p>
        </w:tc>
        <w:tc>
          <w:tcPr>
            <w:tcW w:w="5131" w:type="dxa"/>
          </w:tcPr>
          <w:p>
            <w:pPr>
              <w:jc w:val="center"/>
              <w:rPr>
                <w:rFonts w:ascii="宋体" w:hAnsi="宋体" w:cs="宋体"/>
                <w:color w:val="000000"/>
                <w:szCs w:val="21"/>
              </w:rPr>
            </w:pPr>
            <w:r>
              <w:rPr>
                <w:rFonts w:hint="eastAsia" w:ascii="宋体" w:hAnsi="宋体" w:cs="宋体"/>
                <w:color w:val="000000"/>
                <w:szCs w:val="21"/>
              </w:rPr>
              <w:t>【利旧拆装】对无线AP进行拆装（8个分布式式AP，15个放装AP）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jc w:val="center"/>
            </w:pPr>
            <w:r>
              <w:rPr>
                <w:rFonts w:hint="eastAsia"/>
              </w:rPr>
              <w:t>3</w:t>
            </w:r>
          </w:p>
        </w:tc>
        <w:tc>
          <w:tcPr>
            <w:tcW w:w="3261" w:type="dxa"/>
          </w:tcPr>
          <w:p>
            <w:pPr>
              <w:jc w:val="center"/>
            </w:pPr>
            <w:r>
              <w:rPr>
                <w:rFonts w:hint="eastAsia"/>
              </w:rPr>
              <w:t>英东楼负一楼膳食厨房改造工程AP利旧拆装</w:t>
            </w:r>
          </w:p>
        </w:tc>
        <w:tc>
          <w:tcPr>
            <w:tcW w:w="5131" w:type="dxa"/>
          </w:tcPr>
          <w:p>
            <w:pPr>
              <w:jc w:val="center"/>
              <w:rPr>
                <w:rFonts w:ascii="宋体" w:hAnsi="宋体" w:cs="宋体"/>
                <w:color w:val="000000"/>
                <w:szCs w:val="21"/>
              </w:rPr>
            </w:pPr>
            <w:r>
              <w:rPr>
                <w:rFonts w:hint="eastAsia" w:ascii="宋体" w:hAnsi="宋体" w:cs="宋体"/>
                <w:color w:val="000000"/>
                <w:szCs w:val="21"/>
              </w:rPr>
              <w:t>【利旧拆装】对无线AP进行拆装（1个放装式AP、3个分布式AP）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jc w:val="center"/>
            </w:pPr>
            <w:r>
              <w:rPr>
                <w:rFonts w:hint="eastAsia"/>
              </w:rPr>
              <w:t>4</w:t>
            </w:r>
          </w:p>
        </w:tc>
        <w:tc>
          <w:tcPr>
            <w:tcW w:w="3261" w:type="dxa"/>
          </w:tcPr>
          <w:p>
            <w:pPr>
              <w:jc w:val="center"/>
            </w:pPr>
            <w:r>
              <w:rPr>
                <w:rFonts w:hint="eastAsia"/>
              </w:rPr>
              <w:t>广东省医学科学院建设项目AP利旧拆装</w:t>
            </w:r>
          </w:p>
        </w:tc>
        <w:tc>
          <w:tcPr>
            <w:tcW w:w="5131" w:type="dxa"/>
          </w:tcPr>
          <w:p>
            <w:pPr>
              <w:jc w:val="center"/>
              <w:rPr>
                <w:rFonts w:ascii="宋体" w:hAnsi="宋体" w:cs="宋体"/>
                <w:color w:val="000000"/>
                <w:szCs w:val="21"/>
              </w:rPr>
            </w:pPr>
            <w:r>
              <w:rPr>
                <w:rFonts w:hint="eastAsia" w:ascii="宋体" w:hAnsi="宋体" w:cs="宋体"/>
                <w:color w:val="000000"/>
                <w:szCs w:val="21"/>
              </w:rPr>
              <w:t>【利旧拆装】采用门诊楼3-5楼，20楼，伟伦楼3-6楼的无线AP进行覆盖（120个分布式AP，25个放装AP）</w:t>
            </w:r>
          </w:p>
        </w:tc>
      </w:tr>
    </w:tbl>
    <w:p>
      <w:pPr>
        <w:tabs>
          <w:tab w:val="left" w:pos="780"/>
        </w:tabs>
        <w:spacing w:before="156" w:beforeLines="50" w:line="360" w:lineRule="auto"/>
        <w:outlineLvl w:val="0"/>
        <w:rPr>
          <w:rFonts w:ascii="宋体" w:hAnsi="宋体" w:cs="宋体"/>
          <w:szCs w:val="21"/>
        </w:rPr>
      </w:pPr>
    </w:p>
    <w:p>
      <w:pPr>
        <w:pStyle w:val="2"/>
        <w:numPr>
          <w:ilvl w:val="0"/>
          <w:numId w:val="3"/>
        </w:numPr>
        <w:spacing w:before="0" w:after="0"/>
        <w:rPr>
          <w:rFonts w:ascii="宋体" w:hAnsi="宋体"/>
          <w:sz w:val="21"/>
          <w:szCs w:val="21"/>
        </w:rPr>
      </w:pPr>
      <w:r>
        <w:rPr>
          <w:rFonts w:hint="eastAsia" w:ascii="宋体" w:hAnsi="宋体"/>
          <w:sz w:val="32"/>
          <w:szCs w:val="32"/>
        </w:rPr>
        <w:t>交货日期</w:t>
      </w:r>
    </w:p>
    <w:p>
      <w:pPr>
        <w:spacing w:line="360" w:lineRule="auto"/>
        <w:ind w:firstLine="525" w:firstLineChars="250"/>
        <w:rPr>
          <w:rFonts w:ascii="宋体" w:hAnsi="宋体" w:cs="宋体"/>
          <w:szCs w:val="21"/>
        </w:rPr>
      </w:pPr>
      <w:r>
        <w:rPr>
          <w:rFonts w:hint="eastAsia" w:ascii="宋体" w:hAnsi="宋体" w:cs="宋体"/>
          <w:szCs w:val="21"/>
        </w:rPr>
        <w:t>(一)供货方须在院方支付合同首款后的_</w:t>
      </w:r>
      <w:r>
        <w:rPr>
          <w:rFonts w:hint="eastAsia" w:ascii="宋体" w:hAnsi="宋体" w:cs="宋体"/>
          <w:szCs w:val="21"/>
          <w:lang w:val="en-US" w:eastAsia="zh-CN"/>
        </w:rPr>
        <w:t>60</w:t>
      </w:r>
      <w:r>
        <w:rPr>
          <w:rFonts w:hint="eastAsia" w:ascii="宋体" w:hAnsi="宋体" w:cs="宋体"/>
          <w:szCs w:val="21"/>
        </w:rPr>
        <w:t>_个工作日内向院方提交采购清单中的物品。</w:t>
      </w:r>
    </w:p>
    <w:p>
      <w:pPr>
        <w:spacing w:line="360" w:lineRule="auto"/>
        <w:ind w:firstLine="525" w:firstLineChars="250"/>
        <w:rPr>
          <w:rFonts w:ascii="宋体" w:hAnsi="宋体" w:cs="宋体"/>
          <w:szCs w:val="21"/>
        </w:rPr>
      </w:pPr>
      <w:r>
        <w:rPr>
          <w:rFonts w:hint="eastAsia" w:ascii="宋体" w:hAnsi="宋体" w:cs="宋体"/>
          <w:szCs w:val="21"/>
        </w:rPr>
        <w:t>(二)交货日期以货物到达院方指定货运详细地址的日期为准。</w:t>
      </w:r>
    </w:p>
    <w:p>
      <w:pPr>
        <w:spacing w:line="360" w:lineRule="auto"/>
        <w:ind w:firstLine="525" w:firstLineChars="250"/>
        <w:rPr>
          <w:rFonts w:ascii="宋体" w:hAnsi="宋体" w:cs="宋体"/>
          <w:szCs w:val="21"/>
        </w:rPr>
      </w:pPr>
    </w:p>
    <w:p>
      <w:pPr>
        <w:numPr>
          <w:ilvl w:val="0"/>
          <w:numId w:val="3"/>
        </w:numPr>
        <w:rPr>
          <w:rFonts w:ascii="宋体" w:hAnsi="宋体"/>
          <w:b/>
          <w:bCs/>
          <w:kern w:val="44"/>
          <w:sz w:val="32"/>
          <w:szCs w:val="32"/>
          <w:lang w:val="zh-CN"/>
        </w:rPr>
      </w:pPr>
      <w:r>
        <w:rPr>
          <w:rFonts w:hint="eastAsia" w:ascii="宋体" w:hAnsi="宋体"/>
          <w:b/>
          <w:bCs/>
          <w:kern w:val="44"/>
          <w:sz w:val="32"/>
          <w:szCs w:val="32"/>
          <w:lang w:val="zh-CN"/>
        </w:rPr>
        <w:t>交货方式</w:t>
      </w:r>
    </w:p>
    <w:p>
      <w:pPr>
        <w:spacing w:line="360" w:lineRule="auto"/>
        <w:ind w:firstLine="525" w:firstLineChars="250"/>
        <w:rPr>
          <w:rFonts w:ascii="宋体" w:hAnsi="宋体" w:cs="宋体"/>
          <w:szCs w:val="21"/>
        </w:rPr>
      </w:pPr>
      <w:r>
        <w:rPr>
          <w:rFonts w:hint="eastAsia" w:ascii="宋体" w:hAnsi="宋体" w:cs="宋体"/>
          <w:szCs w:val="21"/>
        </w:rPr>
        <w:t>(一)供货方应按时将货物送至院方指定货运详细地址。</w:t>
      </w:r>
    </w:p>
    <w:p>
      <w:pPr>
        <w:spacing w:line="360" w:lineRule="auto"/>
        <w:ind w:firstLine="525" w:firstLineChars="250"/>
        <w:rPr>
          <w:rFonts w:ascii="宋体" w:hAnsi="宋体" w:cs="宋体"/>
          <w:szCs w:val="21"/>
        </w:rPr>
      </w:pPr>
      <w:r>
        <w:rPr>
          <w:rFonts w:hint="eastAsia" w:ascii="宋体" w:hAnsi="宋体" w:cs="宋体"/>
          <w:szCs w:val="21"/>
        </w:rPr>
        <w:t>(二)交货完成的有效证明：供货方送货人，必须随货物提交交货签收单给院方收货人，交货签收单必须有院方、供货方两方的签字方有效。</w:t>
      </w:r>
    </w:p>
    <w:p>
      <w:pPr>
        <w:spacing w:line="360" w:lineRule="auto"/>
        <w:ind w:firstLine="525" w:firstLineChars="250"/>
        <w:rPr>
          <w:rFonts w:ascii="宋体" w:hAnsi="宋体" w:cs="宋体"/>
          <w:szCs w:val="21"/>
        </w:rPr>
      </w:pPr>
    </w:p>
    <w:p/>
    <w:p>
      <w:pPr>
        <w:numPr>
          <w:ilvl w:val="0"/>
          <w:numId w:val="3"/>
        </w:numPr>
        <w:rPr>
          <w:rFonts w:ascii="宋体" w:hAnsi="宋体"/>
          <w:b/>
          <w:bCs/>
          <w:kern w:val="44"/>
          <w:sz w:val="32"/>
          <w:szCs w:val="32"/>
          <w:lang w:val="zh-CN"/>
        </w:rPr>
      </w:pPr>
      <w:r>
        <w:rPr>
          <w:rFonts w:hint="eastAsia" w:ascii="宋体" w:hAnsi="宋体"/>
          <w:b/>
          <w:bCs/>
          <w:kern w:val="44"/>
          <w:sz w:val="32"/>
          <w:szCs w:val="32"/>
          <w:lang w:val="zh-CN"/>
        </w:rPr>
        <w:t>安装要求</w:t>
      </w:r>
    </w:p>
    <w:p>
      <w:pPr>
        <w:spacing w:line="360" w:lineRule="auto"/>
        <w:rPr>
          <w:rFonts w:ascii="宋体" w:hAnsi="宋体" w:cs="宋体"/>
          <w:szCs w:val="21"/>
        </w:rPr>
      </w:pPr>
      <w:r>
        <w:rPr>
          <w:rFonts w:hint="eastAsia" w:ascii="宋体" w:hAnsi="宋体" w:cs="宋体"/>
          <w:szCs w:val="21"/>
        </w:rPr>
        <w:t>一、设备安装要求</w:t>
      </w:r>
    </w:p>
    <w:p>
      <w:pPr>
        <w:widowControl/>
        <w:spacing w:line="360" w:lineRule="auto"/>
        <w:jc w:val="left"/>
        <w:rPr>
          <w:rFonts w:ascii="宋体" w:hAnsi="宋体" w:cs="Arial"/>
          <w:bCs/>
          <w:szCs w:val="21"/>
        </w:rPr>
      </w:pPr>
      <w:r>
        <w:rPr>
          <w:rFonts w:hint="eastAsia" w:ascii="宋体" w:hAnsi="宋体" w:cs="Arial"/>
          <w:bCs/>
          <w:szCs w:val="21"/>
        </w:rPr>
        <w:t>(1)</w:t>
      </w:r>
      <w:r>
        <w:rPr>
          <w:rFonts w:hint="eastAsia" w:ascii="宋体" w:hAnsi="宋体" w:cs="Arial"/>
          <w:bCs/>
          <w:szCs w:val="21"/>
        </w:rPr>
        <w:tab/>
      </w:r>
      <w:r>
        <w:rPr>
          <w:rFonts w:hint="eastAsia" w:ascii="宋体" w:hAnsi="宋体" w:cs="Arial"/>
          <w:bCs/>
          <w:szCs w:val="21"/>
        </w:rPr>
        <w:t>设备安装必须符合工程设计要求；</w:t>
      </w:r>
    </w:p>
    <w:p>
      <w:pPr>
        <w:widowControl/>
        <w:spacing w:line="360" w:lineRule="auto"/>
        <w:jc w:val="left"/>
        <w:rPr>
          <w:rFonts w:ascii="宋体" w:hAnsi="宋体" w:cs="Arial"/>
          <w:bCs/>
          <w:szCs w:val="21"/>
        </w:rPr>
      </w:pPr>
      <w:r>
        <w:rPr>
          <w:rFonts w:hint="eastAsia" w:ascii="宋体" w:hAnsi="宋体" w:cs="Arial"/>
          <w:bCs/>
          <w:szCs w:val="21"/>
        </w:rPr>
        <w:t>(2)</w:t>
      </w:r>
      <w:r>
        <w:rPr>
          <w:rFonts w:hint="eastAsia" w:ascii="宋体" w:hAnsi="宋体" w:cs="Arial"/>
          <w:bCs/>
          <w:szCs w:val="21"/>
        </w:rPr>
        <w:tab/>
      </w:r>
      <w:r>
        <w:rPr>
          <w:rFonts w:hint="eastAsia" w:ascii="宋体" w:hAnsi="宋体" w:cs="Arial"/>
          <w:bCs/>
          <w:szCs w:val="21"/>
        </w:rPr>
        <w:t>安装地方便于工程施工和运行维护；</w:t>
      </w:r>
    </w:p>
    <w:p>
      <w:pPr>
        <w:widowControl/>
        <w:spacing w:line="360" w:lineRule="auto"/>
        <w:jc w:val="left"/>
        <w:rPr>
          <w:rFonts w:ascii="宋体" w:hAnsi="宋体" w:cs="Arial"/>
          <w:bCs/>
          <w:szCs w:val="21"/>
        </w:rPr>
      </w:pPr>
      <w:r>
        <w:rPr>
          <w:rFonts w:hint="eastAsia" w:ascii="宋体" w:hAnsi="宋体" w:cs="Arial"/>
          <w:bCs/>
          <w:szCs w:val="21"/>
        </w:rPr>
        <w:t>(3)</w:t>
      </w:r>
      <w:r>
        <w:rPr>
          <w:rFonts w:hint="eastAsia" w:ascii="宋体" w:hAnsi="宋体" w:cs="Arial"/>
          <w:bCs/>
          <w:szCs w:val="21"/>
        </w:rPr>
        <w:tab/>
      </w:r>
      <w:r>
        <w:rPr>
          <w:rFonts w:hint="eastAsia" w:ascii="宋体" w:hAnsi="宋体" w:cs="Arial"/>
          <w:bCs/>
          <w:szCs w:val="21"/>
        </w:rPr>
        <w:t>AP四周如有特殊物品，如微波炉，建议至少远离此类干扰源大约2-3米；</w:t>
      </w:r>
    </w:p>
    <w:p>
      <w:pPr>
        <w:widowControl/>
        <w:spacing w:line="360" w:lineRule="auto"/>
        <w:jc w:val="left"/>
        <w:rPr>
          <w:rFonts w:ascii="宋体" w:hAnsi="宋体" w:cs="Arial"/>
          <w:bCs/>
          <w:szCs w:val="21"/>
        </w:rPr>
      </w:pPr>
      <w:r>
        <w:rPr>
          <w:rFonts w:hint="eastAsia" w:ascii="宋体" w:hAnsi="宋体" w:cs="Arial"/>
          <w:bCs/>
          <w:szCs w:val="21"/>
        </w:rPr>
        <w:t>(4)</w:t>
      </w:r>
      <w:r>
        <w:rPr>
          <w:rFonts w:hint="eastAsia" w:ascii="宋体" w:hAnsi="宋体" w:cs="Arial"/>
          <w:bCs/>
          <w:szCs w:val="21"/>
        </w:rPr>
        <w:tab/>
      </w:r>
      <w:r>
        <w:rPr>
          <w:rFonts w:hint="eastAsia" w:ascii="宋体" w:hAnsi="宋体" w:cs="Arial"/>
          <w:bCs/>
          <w:szCs w:val="21"/>
        </w:rPr>
        <w:t>PoE交换机的安装必须符合工程设计要求；</w:t>
      </w:r>
    </w:p>
    <w:p>
      <w:pPr>
        <w:widowControl/>
        <w:spacing w:line="360" w:lineRule="auto"/>
        <w:jc w:val="left"/>
        <w:rPr>
          <w:rFonts w:ascii="宋体" w:hAnsi="宋体" w:cs="Arial"/>
          <w:bCs/>
          <w:szCs w:val="21"/>
        </w:rPr>
      </w:pPr>
      <w:r>
        <w:rPr>
          <w:rFonts w:hint="eastAsia" w:ascii="宋体" w:hAnsi="宋体" w:cs="Arial"/>
          <w:bCs/>
          <w:szCs w:val="21"/>
        </w:rPr>
        <w:t>(5)</w:t>
      </w:r>
      <w:r>
        <w:rPr>
          <w:rFonts w:hint="eastAsia" w:ascii="宋体" w:hAnsi="宋体" w:cs="Arial"/>
          <w:bCs/>
          <w:szCs w:val="21"/>
        </w:rPr>
        <w:tab/>
      </w:r>
      <w:r>
        <w:rPr>
          <w:rFonts w:hint="eastAsia" w:ascii="宋体" w:hAnsi="宋体" w:cs="Arial"/>
          <w:bCs/>
          <w:szCs w:val="21"/>
        </w:rPr>
        <w:t>PoE交换机安装在机柜内并固定，保持通风良好，可散热。</w:t>
      </w:r>
    </w:p>
    <w:p>
      <w:pPr>
        <w:spacing w:line="360" w:lineRule="auto"/>
        <w:rPr>
          <w:rFonts w:ascii="宋体" w:hAnsi="宋体" w:cs="宋体"/>
          <w:szCs w:val="21"/>
        </w:rPr>
      </w:pPr>
      <w:r>
        <w:rPr>
          <w:rFonts w:hint="eastAsia" w:ascii="宋体" w:hAnsi="宋体" w:cs="宋体"/>
          <w:szCs w:val="21"/>
        </w:rPr>
        <w:t>二、布线安装要求</w:t>
      </w:r>
    </w:p>
    <w:p>
      <w:pPr>
        <w:widowControl/>
        <w:spacing w:line="360" w:lineRule="auto"/>
        <w:jc w:val="left"/>
        <w:rPr>
          <w:rFonts w:ascii="宋体" w:hAnsi="宋体" w:cs="Arial"/>
          <w:bCs/>
          <w:szCs w:val="21"/>
        </w:rPr>
      </w:pPr>
      <w:r>
        <w:rPr>
          <w:rFonts w:hint="eastAsia" w:ascii="宋体" w:hAnsi="宋体" w:cs="Arial"/>
          <w:bCs/>
          <w:szCs w:val="21"/>
        </w:rPr>
        <w:t>(1)</w:t>
      </w:r>
      <w:r>
        <w:rPr>
          <w:rFonts w:hint="eastAsia" w:ascii="宋体" w:hAnsi="宋体" w:cs="Arial"/>
          <w:bCs/>
          <w:szCs w:val="21"/>
        </w:rPr>
        <w:tab/>
      </w:r>
      <w:r>
        <w:rPr>
          <w:rFonts w:hint="eastAsia" w:ascii="宋体" w:hAnsi="宋体" w:cs="Arial"/>
          <w:bCs/>
          <w:szCs w:val="21"/>
        </w:rPr>
        <w:t>六类线的绑扎：在管道内和吊顶内隐蔽走线位置绑扎的间距不应大于40cm，在管道开放处和明线布放时，绑扎的间距不应大于30cm。六类线必须牢固绑扎固定；</w:t>
      </w:r>
    </w:p>
    <w:p>
      <w:pPr>
        <w:widowControl/>
        <w:spacing w:line="360" w:lineRule="auto"/>
        <w:jc w:val="left"/>
        <w:rPr>
          <w:rFonts w:ascii="宋体" w:hAnsi="宋体" w:cs="Arial"/>
          <w:bCs/>
          <w:szCs w:val="21"/>
        </w:rPr>
      </w:pPr>
      <w:r>
        <w:rPr>
          <w:rFonts w:hint="eastAsia" w:ascii="宋体" w:hAnsi="宋体" w:cs="Arial"/>
          <w:bCs/>
          <w:szCs w:val="21"/>
        </w:rPr>
        <w:t>(2)</w:t>
      </w:r>
      <w:r>
        <w:rPr>
          <w:rFonts w:hint="eastAsia" w:ascii="宋体" w:hAnsi="宋体" w:cs="Arial"/>
          <w:bCs/>
          <w:szCs w:val="21"/>
        </w:rPr>
        <w:tab/>
      </w:r>
      <w:r>
        <w:rPr>
          <w:rFonts w:hint="eastAsia" w:ascii="宋体" w:hAnsi="宋体" w:cs="Arial"/>
          <w:bCs/>
          <w:szCs w:val="21"/>
        </w:rPr>
        <w:t>六类线应避免与强电、高压管道、消防管道等一起布放，确保其不受强电、强磁等源体的干扰；</w:t>
      </w:r>
    </w:p>
    <w:p>
      <w:pPr>
        <w:widowControl/>
        <w:spacing w:line="360" w:lineRule="auto"/>
        <w:jc w:val="left"/>
        <w:rPr>
          <w:rFonts w:ascii="宋体" w:hAnsi="宋体" w:cs="Arial"/>
          <w:bCs/>
          <w:szCs w:val="21"/>
        </w:rPr>
      </w:pPr>
      <w:r>
        <w:rPr>
          <w:rFonts w:hint="eastAsia" w:ascii="宋体" w:hAnsi="宋体" w:cs="Arial"/>
          <w:bCs/>
          <w:szCs w:val="21"/>
        </w:rPr>
        <w:t>(3)</w:t>
      </w:r>
      <w:r>
        <w:rPr>
          <w:rFonts w:hint="eastAsia" w:ascii="宋体" w:hAnsi="宋体" w:cs="Arial"/>
          <w:bCs/>
          <w:szCs w:val="21"/>
        </w:rPr>
        <w:tab/>
      </w:r>
      <w:r>
        <w:rPr>
          <w:rFonts w:hint="eastAsia" w:ascii="宋体" w:hAnsi="宋体" w:cs="Arial"/>
          <w:bCs/>
          <w:szCs w:val="21"/>
        </w:rPr>
        <w:t xml:space="preserve">对于不能在管道、走线井内布放的六类线，室内应套用PVC管，PVC管应尽可能靠墙布放并牢固固定，PVC管不能有交叉现象，PVC管转弯处须使用PVC弯头对接，弯头须密封及固定好两边对接处； </w:t>
      </w:r>
    </w:p>
    <w:p>
      <w:pPr>
        <w:widowControl/>
        <w:spacing w:line="360" w:lineRule="auto"/>
        <w:jc w:val="left"/>
        <w:rPr>
          <w:rFonts w:ascii="宋体" w:hAnsi="宋体" w:cs="Arial"/>
          <w:bCs/>
          <w:szCs w:val="21"/>
        </w:rPr>
      </w:pPr>
      <w:r>
        <w:rPr>
          <w:rFonts w:hint="eastAsia" w:ascii="宋体" w:hAnsi="宋体" w:cs="Arial"/>
          <w:bCs/>
          <w:szCs w:val="21"/>
        </w:rPr>
        <w:t>(4)</w:t>
      </w:r>
      <w:r>
        <w:rPr>
          <w:rFonts w:hint="eastAsia" w:ascii="宋体" w:hAnsi="宋体" w:cs="Arial"/>
          <w:bCs/>
          <w:szCs w:val="21"/>
        </w:rPr>
        <w:tab/>
      </w:r>
      <w:r>
        <w:rPr>
          <w:rFonts w:hint="eastAsia" w:ascii="宋体" w:hAnsi="宋体" w:cs="Arial"/>
          <w:bCs/>
          <w:szCs w:val="21"/>
        </w:rPr>
        <w:t>六类线设备端应留有一定空余长度并绑扎整齐固定，便于后期检修和做线缆接头；</w:t>
      </w:r>
    </w:p>
    <w:p>
      <w:pPr>
        <w:widowControl/>
        <w:spacing w:line="360" w:lineRule="auto"/>
        <w:jc w:val="left"/>
        <w:rPr>
          <w:rFonts w:ascii="宋体" w:hAnsi="宋体" w:cs="Arial"/>
          <w:bCs/>
          <w:szCs w:val="21"/>
        </w:rPr>
      </w:pPr>
      <w:r>
        <w:rPr>
          <w:rFonts w:hint="eastAsia" w:ascii="宋体" w:hAnsi="宋体" w:cs="Arial"/>
          <w:bCs/>
          <w:szCs w:val="21"/>
        </w:rPr>
        <w:t>(5)</w:t>
      </w:r>
      <w:r>
        <w:rPr>
          <w:rFonts w:hint="eastAsia" w:ascii="宋体" w:hAnsi="宋体" w:cs="Arial"/>
          <w:bCs/>
          <w:szCs w:val="21"/>
        </w:rPr>
        <w:tab/>
      </w:r>
      <w:r>
        <w:rPr>
          <w:rFonts w:hint="eastAsia" w:ascii="宋体" w:hAnsi="宋体" w:cs="Arial"/>
          <w:bCs/>
          <w:szCs w:val="21"/>
        </w:rPr>
        <w:t>尽量避免六类线与电源线平行铺设，如果需平行铺设，应满足隔离要求：</w:t>
      </w:r>
    </w:p>
    <w:tbl>
      <w:tblPr>
        <w:tblStyle w:val="20"/>
        <w:tblW w:w="5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0" w:type="dxa"/>
            <w:vAlign w:val="center"/>
          </w:tcPr>
          <w:p>
            <w:pPr>
              <w:spacing w:before="156" w:beforeLines="50" w:after="156" w:afterLines="50"/>
              <w:rPr>
                <w:szCs w:val="22"/>
              </w:rPr>
            </w:pPr>
            <w:r>
              <w:rPr>
                <w:rFonts w:hint="eastAsia"/>
                <w:szCs w:val="22"/>
              </w:rPr>
              <w:t>条件</w:t>
            </w:r>
          </w:p>
        </w:tc>
        <w:tc>
          <w:tcPr>
            <w:tcW w:w="1980" w:type="dxa"/>
            <w:vAlign w:val="center"/>
          </w:tcPr>
          <w:p>
            <w:pPr>
              <w:spacing w:before="156" w:beforeLines="50" w:after="156" w:afterLines="50"/>
              <w:rPr>
                <w:szCs w:val="22"/>
              </w:rPr>
            </w:pPr>
            <w:r>
              <w:rPr>
                <w:rFonts w:hint="eastAsia"/>
                <w:szCs w:val="22"/>
              </w:rPr>
              <w:t>最小净距（mm）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0" w:type="dxa"/>
            <w:vAlign w:val="center"/>
          </w:tcPr>
          <w:p>
            <w:pPr>
              <w:spacing w:before="156" w:beforeLines="50" w:after="156" w:afterLines="50"/>
              <w:rPr>
                <w:szCs w:val="22"/>
              </w:rPr>
            </w:pPr>
            <w:r>
              <w:rPr>
                <w:rFonts w:hint="eastAsia"/>
                <w:szCs w:val="22"/>
              </w:rPr>
              <w:t>对绞电缆与电力电缆平行敷设</w:t>
            </w:r>
          </w:p>
        </w:tc>
        <w:tc>
          <w:tcPr>
            <w:tcW w:w="1980" w:type="dxa"/>
            <w:vAlign w:val="center"/>
          </w:tcPr>
          <w:p>
            <w:pPr>
              <w:spacing w:before="156" w:beforeLines="50" w:after="156" w:afterLines="50"/>
              <w:ind w:firstLine="420"/>
              <w:rPr>
                <w:szCs w:val="22"/>
              </w:rPr>
            </w:pPr>
            <w:r>
              <w:rPr>
                <w:rFonts w:hint="eastAsia"/>
                <w:szCs w:val="22"/>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0" w:type="dxa"/>
            <w:vAlign w:val="center"/>
          </w:tcPr>
          <w:p>
            <w:pPr>
              <w:spacing w:before="156" w:beforeLines="50" w:after="156" w:afterLines="50"/>
              <w:rPr>
                <w:szCs w:val="22"/>
              </w:rPr>
            </w:pPr>
            <w:r>
              <w:rPr>
                <w:rFonts w:hint="eastAsia"/>
                <w:szCs w:val="22"/>
              </w:rPr>
              <w:t>有一方在接地的金属槽道或钢管中</w:t>
            </w:r>
          </w:p>
        </w:tc>
        <w:tc>
          <w:tcPr>
            <w:tcW w:w="1980" w:type="dxa"/>
            <w:vAlign w:val="center"/>
          </w:tcPr>
          <w:p>
            <w:pPr>
              <w:spacing w:before="156" w:beforeLines="50" w:after="156" w:afterLines="50"/>
              <w:ind w:firstLine="420"/>
              <w:rPr>
                <w:szCs w:val="22"/>
              </w:rPr>
            </w:pPr>
            <w:r>
              <w:rPr>
                <w:rFonts w:hint="eastAsia"/>
                <w:szCs w:val="22"/>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470" w:type="dxa"/>
            <w:vAlign w:val="center"/>
          </w:tcPr>
          <w:p>
            <w:pPr>
              <w:spacing w:before="156" w:beforeLines="50" w:after="156" w:afterLines="50"/>
              <w:rPr>
                <w:szCs w:val="22"/>
              </w:rPr>
            </w:pPr>
            <w:r>
              <w:rPr>
                <w:rFonts w:hint="eastAsia"/>
                <w:szCs w:val="22"/>
              </w:rPr>
              <w:t>双方均在接地的金属槽道或钢管中</w:t>
            </w:r>
          </w:p>
        </w:tc>
        <w:tc>
          <w:tcPr>
            <w:tcW w:w="1980" w:type="dxa"/>
            <w:vAlign w:val="center"/>
          </w:tcPr>
          <w:p>
            <w:pPr>
              <w:spacing w:before="156" w:beforeLines="50" w:after="156" w:afterLines="50"/>
              <w:ind w:firstLine="420"/>
              <w:rPr>
                <w:szCs w:val="22"/>
              </w:rPr>
            </w:pPr>
            <w:r>
              <w:rPr>
                <w:rFonts w:hint="eastAsia"/>
                <w:szCs w:val="22"/>
              </w:rPr>
              <w:t>注</w:t>
            </w:r>
          </w:p>
        </w:tc>
      </w:tr>
    </w:tbl>
    <w:p>
      <w:pPr>
        <w:spacing w:before="156" w:beforeLines="50" w:after="156" w:afterLines="50" w:line="360" w:lineRule="auto"/>
        <w:ind w:firstLine="420"/>
        <w:rPr>
          <w:szCs w:val="22"/>
        </w:rPr>
      </w:pPr>
      <w:r>
        <w:rPr>
          <w:rFonts w:hint="eastAsia"/>
          <w:szCs w:val="22"/>
        </w:rPr>
        <w:t>注：双方都在接地的金属槽道或钢管中，且平行长度小于10m时，最小间距可为10mm。表中对绞电缆如采用屏蔽电缆时，最小净距可适当减小，并符合设计要求。</w:t>
      </w:r>
    </w:p>
    <w:p>
      <w:pPr>
        <w:widowControl/>
        <w:spacing w:line="360" w:lineRule="auto"/>
        <w:jc w:val="left"/>
        <w:rPr>
          <w:rFonts w:ascii="宋体" w:hAnsi="宋体" w:cs="Arial"/>
          <w:bCs/>
          <w:szCs w:val="21"/>
        </w:rPr>
      </w:pPr>
      <w:r>
        <w:rPr>
          <w:rFonts w:hint="eastAsia" w:ascii="宋体" w:hAnsi="宋体" w:cs="Arial"/>
          <w:bCs/>
          <w:szCs w:val="21"/>
        </w:rPr>
        <w:t>(6)</w:t>
      </w:r>
      <w:r>
        <w:rPr>
          <w:rFonts w:hint="eastAsia" w:ascii="宋体" w:hAnsi="宋体" w:cs="Arial"/>
          <w:bCs/>
          <w:szCs w:val="21"/>
        </w:rPr>
        <w:tab/>
      </w:r>
      <w:r>
        <w:rPr>
          <w:rFonts w:hint="eastAsia" w:ascii="宋体" w:hAnsi="宋体" w:cs="Arial"/>
          <w:bCs/>
          <w:szCs w:val="21"/>
        </w:rPr>
        <w:t>接头压制做工需满足设计、施工要求；</w:t>
      </w:r>
    </w:p>
    <w:p>
      <w:pPr>
        <w:widowControl/>
        <w:spacing w:line="360" w:lineRule="auto"/>
        <w:jc w:val="left"/>
        <w:rPr>
          <w:rFonts w:ascii="宋体" w:hAnsi="宋体" w:cs="Arial"/>
          <w:bCs/>
          <w:szCs w:val="21"/>
        </w:rPr>
      </w:pPr>
      <w:r>
        <w:rPr>
          <w:rFonts w:hint="eastAsia" w:ascii="宋体" w:hAnsi="宋体" w:cs="Arial"/>
          <w:bCs/>
          <w:szCs w:val="21"/>
        </w:rPr>
        <w:t>(7)</w:t>
      </w:r>
      <w:r>
        <w:rPr>
          <w:rFonts w:hint="eastAsia" w:ascii="宋体" w:hAnsi="宋体" w:cs="Arial"/>
          <w:bCs/>
          <w:szCs w:val="21"/>
        </w:rPr>
        <w:tab/>
      </w:r>
      <w:r>
        <w:rPr>
          <w:rFonts w:hint="eastAsia" w:ascii="宋体" w:hAnsi="宋体" w:cs="Arial"/>
          <w:bCs/>
          <w:szCs w:val="21"/>
        </w:rPr>
        <w:t>光纤的布放必须符合设计文件（方案）的要求，且应整齐、 美观，不得有扭曲、空中飞线等情况；</w:t>
      </w:r>
    </w:p>
    <w:p>
      <w:pPr>
        <w:widowControl/>
        <w:spacing w:line="360" w:lineRule="auto"/>
        <w:jc w:val="left"/>
        <w:rPr>
          <w:rFonts w:ascii="宋体" w:hAnsi="宋体" w:cs="Arial"/>
          <w:bCs/>
          <w:szCs w:val="21"/>
        </w:rPr>
      </w:pPr>
      <w:r>
        <w:rPr>
          <w:rFonts w:hint="eastAsia" w:ascii="宋体" w:hAnsi="宋体" w:cs="Arial"/>
          <w:bCs/>
          <w:szCs w:val="21"/>
        </w:rPr>
        <w:t>(8)</w:t>
      </w:r>
      <w:r>
        <w:rPr>
          <w:rFonts w:hint="eastAsia" w:ascii="宋体" w:hAnsi="宋体" w:cs="Arial"/>
          <w:bCs/>
          <w:szCs w:val="21"/>
        </w:rPr>
        <w:tab/>
      </w:r>
      <w:r>
        <w:rPr>
          <w:rFonts w:hint="eastAsia" w:ascii="宋体" w:hAnsi="宋体" w:cs="Arial"/>
          <w:bCs/>
          <w:szCs w:val="21"/>
        </w:rPr>
        <w:t>光纤应尽量减少转弯，需转弯时应弯成弧形，曲率半径应≥40毫米；</w:t>
      </w:r>
    </w:p>
    <w:p>
      <w:pPr>
        <w:widowControl/>
        <w:spacing w:line="360" w:lineRule="auto"/>
        <w:jc w:val="left"/>
        <w:rPr>
          <w:rFonts w:ascii="宋体" w:hAnsi="宋体" w:cs="Arial"/>
          <w:bCs/>
          <w:szCs w:val="21"/>
        </w:rPr>
      </w:pPr>
      <w:r>
        <w:rPr>
          <w:rFonts w:hint="eastAsia" w:ascii="宋体" w:hAnsi="宋体" w:cs="Arial"/>
          <w:bCs/>
          <w:szCs w:val="21"/>
        </w:rPr>
        <w:t>(9)</w:t>
      </w:r>
      <w:r>
        <w:rPr>
          <w:rFonts w:hint="eastAsia" w:ascii="宋体" w:hAnsi="宋体" w:cs="Arial"/>
          <w:bCs/>
          <w:szCs w:val="21"/>
        </w:rPr>
        <w:tab/>
      </w:r>
      <w:r>
        <w:rPr>
          <w:rFonts w:hint="eastAsia" w:ascii="宋体" w:hAnsi="宋体" w:cs="Arial"/>
          <w:bCs/>
          <w:szCs w:val="21"/>
        </w:rPr>
        <w:t>光纤上应无重物或其他重型线缆叠压；</w:t>
      </w:r>
    </w:p>
    <w:p>
      <w:pPr>
        <w:widowControl/>
        <w:spacing w:line="360" w:lineRule="auto"/>
        <w:jc w:val="left"/>
        <w:rPr>
          <w:rFonts w:ascii="宋体" w:hAnsi="宋体" w:cs="Arial"/>
          <w:bCs/>
          <w:szCs w:val="21"/>
        </w:rPr>
      </w:pPr>
      <w:r>
        <w:rPr>
          <w:rFonts w:hint="eastAsia" w:ascii="宋体" w:hAnsi="宋体" w:cs="Arial"/>
          <w:bCs/>
          <w:szCs w:val="21"/>
        </w:rPr>
        <w:t>(10) 未用尾纤光接头应加保护套。</w:t>
      </w:r>
    </w:p>
    <w:p>
      <w:pPr>
        <w:spacing w:line="360" w:lineRule="auto"/>
        <w:ind w:firstLine="525" w:firstLineChars="250"/>
        <w:rPr>
          <w:rFonts w:ascii="宋体" w:hAnsi="宋体" w:cs="宋体"/>
          <w:szCs w:val="21"/>
        </w:rPr>
      </w:pPr>
    </w:p>
    <w:p>
      <w:pPr>
        <w:numPr>
          <w:ilvl w:val="0"/>
          <w:numId w:val="3"/>
        </w:numPr>
        <w:rPr>
          <w:rFonts w:ascii="宋体" w:hAnsi="宋体"/>
          <w:b/>
          <w:bCs/>
          <w:kern w:val="44"/>
          <w:sz w:val="32"/>
          <w:szCs w:val="32"/>
          <w:lang w:val="zh-CN"/>
        </w:rPr>
      </w:pPr>
      <w:r>
        <w:rPr>
          <w:rFonts w:hint="eastAsia" w:ascii="宋体" w:hAnsi="宋体"/>
          <w:b/>
          <w:bCs/>
          <w:kern w:val="44"/>
          <w:sz w:val="32"/>
          <w:szCs w:val="32"/>
          <w:lang w:val="zh-CN"/>
        </w:rPr>
        <w:t>保修服务</w:t>
      </w:r>
    </w:p>
    <w:p>
      <w:pPr>
        <w:spacing w:line="360" w:lineRule="auto"/>
        <w:ind w:firstLine="525" w:firstLineChars="250"/>
        <w:rPr>
          <w:rFonts w:ascii="宋体" w:hAnsi="宋体" w:cs="宋体"/>
          <w:szCs w:val="21"/>
        </w:rPr>
      </w:pPr>
      <w:r>
        <w:rPr>
          <w:rFonts w:hint="eastAsia" w:ascii="宋体" w:hAnsi="宋体" w:cs="宋体"/>
          <w:szCs w:val="21"/>
        </w:rPr>
        <w:t>(一)整机保修；保修期自验收合格之日起计算。</w:t>
      </w:r>
    </w:p>
    <w:p>
      <w:pPr>
        <w:spacing w:line="360" w:lineRule="auto"/>
        <w:ind w:firstLine="525" w:firstLineChars="250"/>
        <w:rPr>
          <w:rFonts w:ascii="宋体" w:hAnsi="宋体" w:cs="宋体"/>
          <w:szCs w:val="21"/>
        </w:rPr>
      </w:pPr>
      <w:r>
        <w:rPr>
          <w:rFonts w:hint="eastAsia" w:ascii="宋体" w:hAnsi="宋体" w:cs="宋体"/>
          <w:szCs w:val="21"/>
        </w:rPr>
        <w:t>(二)提供_1_年保修服务。</w:t>
      </w:r>
    </w:p>
    <w:p>
      <w:pPr>
        <w:spacing w:line="360" w:lineRule="auto"/>
        <w:ind w:firstLine="525" w:firstLineChars="250"/>
        <w:rPr>
          <w:rFonts w:ascii="宋体" w:hAnsi="宋体" w:cs="宋体"/>
          <w:szCs w:val="21"/>
        </w:rPr>
      </w:pPr>
      <w:r>
        <w:rPr>
          <w:rFonts w:hint="eastAsia" w:ascii="宋体" w:hAnsi="宋体" w:cs="宋体"/>
          <w:szCs w:val="21"/>
        </w:rPr>
        <w:t>(三)在免费维护期结束前，须由供货方和院方进行一次全面检查，任何缺陷必须由供货方负责修复，在修复之后，供货方应将缺陷原因、修复内容、完成修理及恢复正常的时间和日期等报告给院方，形成项目总结报告。</w:t>
      </w:r>
    </w:p>
    <w:p>
      <w:pPr>
        <w:spacing w:line="360" w:lineRule="auto"/>
        <w:ind w:firstLine="525" w:firstLineChars="250"/>
        <w:rPr>
          <w:rFonts w:ascii="宋体" w:hAnsi="宋体" w:cs="宋体"/>
          <w:szCs w:val="21"/>
        </w:rPr>
      </w:pPr>
      <w:r>
        <w:rPr>
          <w:rFonts w:hint="eastAsia" w:ascii="宋体" w:hAnsi="宋体" w:cs="宋体"/>
          <w:szCs w:val="21"/>
        </w:rPr>
        <w:t>(四)超过免费维护期的，双方另行协商签订维护合同，信息设备（产品）的维护报价不超过合同信息设备（产品）部分金额的</w:t>
      </w:r>
      <w:r>
        <w:rPr>
          <w:rFonts w:ascii="宋体" w:hAnsi="宋体" w:cs="宋体"/>
          <w:szCs w:val="21"/>
        </w:rPr>
        <w:t>5</w:t>
      </w:r>
      <w:r>
        <w:rPr>
          <w:rFonts w:hint="eastAsia" w:ascii="宋体" w:hAnsi="宋体" w:cs="宋体"/>
          <w:szCs w:val="21"/>
        </w:rPr>
        <w:t>%。</w:t>
      </w:r>
    </w:p>
    <w:p>
      <w:pPr>
        <w:spacing w:line="360" w:lineRule="auto"/>
        <w:ind w:firstLine="525" w:firstLineChars="250"/>
        <w:rPr>
          <w:rFonts w:ascii="宋体" w:hAnsi="宋体" w:cs="宋体"/>
          <w:szCs w:val="21"/>
        </w:rPr>
      </w:pPr>
      <w:r>
        <w:rPr>
          <w:rFonts w:hint="eastAsia" w:ascii="宋体" w:hAnsi="宋体" w:cs="宋体"/>
          <w:szCs w:val="21"/>
        </w:rPr>
        <w:t>售后服务：提供7*24小时免费维修服务。</w:t>
      </w:r>
    </w:p>
    <w:p>
      <w:pPr>
        <w:spacing w:line="360" w:lineRule="auto"/>
        <w:ind w:firstLine="525" w:firstLineChars="250"/>
        <w:rPr>
          <w:rFonts w:ascii="宋体" w:hAnsi="宋体" w:cs="宋体"/>
          <w:szCs w:val="21"/>
        </w:rPr>
      </w:pPr>
      <w:r>
        <w:rPr>
          <w:rFonts w:hint="eastAsia" w:ascii="宋体" w:hAnsi="宋体" w:cs="宋体"/>
          <w:szCs w:val="21"/>
        </w:rPr>
        <w:t>响应时间、方式：2小时内响应到院方报修处，供货方需提供备件先行服务。</w:t>
      </w:r>
    </w:p>
    <w:p>
      <w:pPr>
        <w:spacing w:line="360" w:lineRule="auto"/>
        <w:ind w:firstLine="525" w:firstLineChars="250"/>
        <w:rPr>
          <w:rFonts w:ascii="宋体" w:hAnsi="宋体" w:cs="宋体"/>
          <w:szCs w:val="21"/>
        </w:rPr>
      </w:pPr>
    </w:p>
    <w:p>
      <w:pPr>
        <w:numPr>
          <w:ilvl w:val="0"/>
          <w:numId w:val="3"/>
        </w:numPr>
        <w:rPr>
          <w:rFonts w:ascii="宋体" w:hAnsi="宋体"/>
          <w:b/>
          <w:bCs/>
          <w:kern w:val="44"/>
          <w:sz w:val="32"/>
          <w:szCs w:val="32"/>
          <w:lang w:val="zh-CN"/>
        </w:rPr>
      </w:pPr>
      <w:r>
        <w:rPr>
          <w:rFonts w:hint="eastAsia" w:ascii="宋体" w:hAnsi="宋体"/>
          <w:b/>
          <w:bCs/>
          <w:kern w:val="44"/>
          <w:sz w:val="32"/>
          <w:szCs w:val="32"/>
          <w:lang w:val="zh-CN"/>
        </w:rPr>
        <w:t>培训</w:t>
      </w:r>
    </w:p>
    <w:p>
      <w:pPr>
        <w:spacing w:line="360" w:lineRule="auto"/>
        <w:ind w:firstLine="525" w:firstLineChars="250"/>
        <w:rPr>
          <w:rFonts w:ascii="宋体" w:hAnsi="宋体" w:cs="宋体"/>
          <w:szCs w:val="21"/>
        </w:rPr>
      </w:pPr>
      <w:r>
        <w:rPr>
          <w:rFonts w:hint="eastAsia" w:ascii="宋体" w:hAnsi="宋体" w:cs="宋体"/>
          <w:szCs w:val="21"/>
        </w:rPr>
        <w:t>供货方应为院方进行培训，包括使用培训和维护培训。</w:t>
      </w:r>
    </w:p>
    <w:p>
      <w:pPr>
        <w:spacing w:line="360" w:lineRule="auto"/>
        <w:ind w:firstLine="525" w:firstLineChars="250"/>
        <w:rPr>
          <w:rFonts w:ascii="宋体" w:hAnsi="宋体" w:cs="宋体"/>
          <w:szCs w:val="21"/>
        </w:rPr>
      </w:pPr>
      <w:r>
        <w:rPr>
          <w:rFonts w:hint="eastAsia" w:ascii="宋体" w:hAnsi="宋体" w:cs="宋体"/>
          <w:szCs w:val="21"/>
        </w:rPr>
        <w:t>供货方应提出详细的培训计划，提供培训教材。技术培训的内容必须覆盖产品的安装、日常操作和管理维护，以及基本的故障诊断与排错，并保证培训效果。</w:t>
      </w:r>
    </w:p>
    <w:p>
      <w:pPr>
        <w:spacing w:line="360" w:lineRule="auto"/>
        <w:ind w:firstLine="525" w:firstLineChars="250"/>
        <w:rPr>
          <w:rFonts w:ascii="宋体" w:hAnsi="宋体" w:cs="宋体"/>
          <w:szCs w:val="21"/>
        </w:rPr>
      </w:pPr>
    </w:p>
    <w:p>
      <w:pPr>
        <w:pStyle w:val="2"/>
        <w:numPr>
          <w:ilvl w:val="0"/>
          <w:numId w:val="3"/>
        </w:numPr>
        <w:spacing w:before="0" w:after="0"/>
        <w:rPr>
          <w:rFonts w:ascii="宋体" w:hAnsi="宋体"/>
          <w:color w:val="FF0000"/>
          <w:sz w:val="32"/>
          <w:szCs w:val="32"/>
          <w:lang w:val="en-US"/>
        </w:rPr>
      </w:pPr>
      <w:r>
        <w:rPr>
          <w:rFonts w:hint="eastAsia" w:ascii="宋体" w:hAnsi="宋体"/>
          <w:sz w:val="32"/>
          <w:szCs w:val="32"/>
        </w:rPr>
        <w:t>合同款支付方式</w:t>
      </w:r>
    </w:p>
    <w:p>
      <w:pPr>
        <w:spacing w:line="360" w:lineRule="auto"/>
        <w:ind w:firstLine="630" w:firstLineChars="300"/>
        <w:rPr>
          <w:rFonts w:ascii="宋体" w:hAnsi="宋体" w:cs="宋体"/>
          <w:szCs w:val="21"/>
        </w:rPr>
      </w:pPr>
      <w:r>
        <w:rPr>
          <w:rFonts w:hint="eastAsia" w:ascii="宋体" w:hAnsi="宋体" w:cs="宋体"/>
          <w:szCs w:val="21"/>
        </w:rPr>
        <w:t>(一)合同签订后，在收到供货方开具相应金额正式发票后，支付合同总金额的30%。</w:t>
      </w:r>
    </w:p>
    <w:p>
      <w:pPr>
        <w:tabs>
          <w:tab w:val="left" w:pos="780"/>
        </w:tabs>
        <w:spacing w:before="156" w:beforeLines="50" w:line="360" w:lineRule="auto"/>
        <w:ind w:firstLine="630" w:firstLineChars="300"/>
        <w:outlineLvl w:val="0"/>
        <w:rPr>
          <w:rFonts w:ascii="宋体" w:hAnsi="宋体" w:cs="宋体"/>
          <w:b/>
          <w:color w:val="FF0000"/>
          <w:sz w:val="30"/>
          <w:szCs w:val="30"/>
        </w:rPr>
      </w:pPr>
      <w:r>
        <w:rPr>
          <w:rFonts w:hint="eastAsia" w:ascii="宋体" w:hAnsi="宋体" w:cs="宋体"/>
          <w:szCs w:val="21"/>
        </w:rPr>
        <w:t>（二）合同所有设备（产品）</w:t>
      </w:r>
      <w:r>
        <w:rPr>
          <w:rFonts w:hint="eastAsia" w:ascii="宋体" w:hAnsi="宋体" w:cs="宋体"/>
          <w:szCs w:val="21"/>
          <w:lang w:eastAsia="zh-CN"/>
        </w:rPr>
        <w:t>相关拆装工作全部完成后</w:t>
      </w:r>
      <w:r>
        <w:rPr>
          <w:rFonts w:hint="eastAsia" w:ascii="宋体" w:hAnsi="宋体" w:cs="宋体"/>
          <w:szCs w:val="21"/>
        </w:rPr>
        <w:t>，经最终用户签字验收（加电验收），且甲方在收到乙方开具相应金额正式发票以及售后服务履约承诺函后，向乙方支付至结算审核价的100%。</w:t>
      </w:r>
    </w:p>
    <w:sectPr>
      <w:footerReference r:id="rId3" w:type="default"/>
      <w:pgSz w:w="11906" w:h="16838"/>
      <w:pgMar w:top="1021" w:right="1418" w:bottom="102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left="1441"/>
      <w:jc w:val="center"/>
      <w:rPr>
        <w:caps/>
        <w:color w:val="5B9BD5"/>
      </w:rPr>
    </w:pPr>
    <w:r>
      <w:rPr>
        <w:caps/>
        <w:color w:val="5B9BD5"/>
      </w:rPr>
      <w:fldChar w:fldCharType="begin"/>
    </w:r>
    <w:r>
      <w:rPr>
        <w:caps/>
        <w:color w:val="5B9BD5"/>
      </w:rPr>
      <w:instrText xml:space="preserve">PAGE   \* MERGEFORMAT</w:instrText>
    </w:r>
    <w:r>
      <w:rPr>
        <w:caps/>
        <w:color w:val="5B9BD5"/>
      </w:rPr>
      <w:fldChar w:fldCharType="separate"/>
    </w:r>
    <w:r>
      <w:rPr>
        <w:caps/>
        <w:color w:val="5B9BD5"/>
      </w:rPr>
      <w:t>1</w:t>
    </w:r>
    <w:r>
      <w:rPr>
        <w:caps/>
        <w:color w:val="5B9BD5"/>
      </w:rPr>
      <w:fldChar w:fldCharType="end"/>
    </w:r>
  </w:p>
  <w:p>
    <w:pPr>
      <w:pStyle w:val="1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015205"/>
    <w:multiLevelType w:val="multilevel"/>
    <w:tmpl w:val="29015205"/>
    <w:lvl w:ilvl="0" w:tentative="0">
      <w:start w:val="1"/>
      <w:numFmt w:val="decimal"/>
      <w:pStyle w:val="2"/>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pStyle w:val="5"/>
      <w:lvlText w:val="5.1.1.%4"/>
      <w:lvlJc w:val="left"/>
      <w:pPr>
        <w:ind w:left="864" w:hanging="864"/>
      </w:pPr>
      <w:rPr>
        <w:rFonts w:hint="eastAsia"/>
      </w:rPr>
    </w:lvl>
    <w:lvl w:ilvl="4" w:tentative="0">
      <w:start w:val="1"/>
      <w:numFmt w:val="decimal"/>
      <w:pStyle w:val="6"/>
      <w:lvlText w:val="5.1.1.1.%5"/>
      <w:lvlJc w:val="left"/>
      <w:pPr>
        <w:ind w:left="2142"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1">
    <w:nsid w:val="2FA6378A"/>
    <w:multiLevelType w:val="singleLevel"/>
    <w:tmpl w:val="2FA6378A"/>
    <w:lvl w:ilvl="0" w:tentative="0">
      <w:start w:val="3"/>
      <w:numFmt w:val="chineseCounting"/>
      <w:suff w:val="nothing"/>
      <w:lvlText w:val="（%1）"/>
      <w:lvlJc w:val="left"/>
      <w:rPr>
        <w:rFonts w:hint="eastAsia"/>
      </w:rPr>
    </w:lvl>
  </w:abstractNum>
  <w:abstractNum w:abstractNumId="2">
    <w:nsid w:val="3EBB3C91"/>
    <w:multiLevelType w:val="multilevel"/>
    <w:tmpl w:val="3EBB3C91"/>
    <w:lvl w:ilvl="0" w:tentative="0">
      <w:start w:val="1"/>
      <w:numFmt w:val="decimal"/>
      <w:pStyle w:val="59"/>
      <w:lvlText w:val="%1. "/>
      <w:lvlJc w:val="left"/>
      <w:pPr>
        <w:ind w:left="420" w:hanging="420"/>
      </w:pPr>
      <w:rPr>
        <w:rFonts w:hint="default" w:ascii="Times New Roman" w:hAnsi="Times New Roman" w:eastAsia="宋体"/>
        <w:b/>
        <w:i w:val="0"/>
      </w:rPr>
    </w:lvl>
    <w:lvl w:ilvl="1" w:tentative="0">
      <w:start w:val="1"/>
      <w:numFmt w:val="decimal"/>
      <w:pStyle w:val="52"/>
      <w:isLgl/>
      <w:suff w:val="space"/>
      <w:lvlText w:val="%1.%2 "/>
      <w:lvlJc w:val="left"/>
      <w:pPr>
        <w:ind w:left="3913" w:hanging="794"/>
      </w:pPr>
      <w:rPr>
        <w:rFonts w:hint="eastAsia"/>
      </w:rPr>
    </w:lvl>
    <w:lvl w:ilvl="2" w:tentative="0">
      <w:start w:val="1"/>
      <w:numFmt w:val="decimal"/>
      <w:pStyle w:val="58"/>
      <w:isLgl/>
      <w:suff w:val="space"/>
      <w:lvlText w:val="%1.%2.%3 "/>
      <w:lvlJc w:val="left"/>
      <w:pPr>
        <w:ind w:left="907" w:hanging="907"/>
      </w:pPr>
      <w:rPr>
        <w:rFonts w:hint="eastAsia"/>
      </w:rPr>
    </w:lvl>
    <w:lvl w:ilvl="3" w:tentative="0">
      <w:start w:val="1"/>
      <w:numFmt w:val="decimal"/>
      <w:pStyle w:val="57"/>
      <w:isLgl/>
      <w:suff w:val="space"/>
      <w:lvlText w:val="%1.%2.%3.%4 "/>
      <w:lvlJc w:val="left"/>
      <w:pPr>
        <w:ind w:left="1021" w:hanging="1021"/>
      </w:pPr>
      <w:rPr>
        <w:rFonts w:hint="eastAsia"/>
      </w:rPr>
    </w:lvl>
    <w:lvl w:ilvl="4" w:tentative="0">
      <w:start w:val="1"/>
      <w:numFmt w:val="decimal"/>
      <w:pStyle w:val="62"/>
      <w:isLgl/>
      <w:suff w:val="space"/>
      <w:lvlText w:val="%1.%2.%3.%4.%5 "/>
      <w:lvlJc w:val="left"/>
      <w:pPr>
        <w:ind w:left="1134" w:hanging="1134"/>
      </w:pPr>
      <w:rPr>
        <w:rFonts w:hint="eastAsia"/>
      </w:rPr>
    </w:lvl>
    <w:lvl w:ilvl="5" w:tentative="0">
      <w:start w:val="1"/>
      <w:numFmt w:val="decimal"/>
      <w:pStyle w:val="56"/>
      <w:isLgl/>
      <w:suff w:val="space"/>
      <w:lvlText w:val="%1.%2.%3.%4.%5.%6 "/>
      <w:lvlJc w:val="left"/>
      <w:pPr>
        <w:ind w:left="1247" w:hanging="1247"/>
      </w:pPr>
      <w:rPr>
        <w:rFonts w:hint="eastAsia"/>
      </w:rPr>
    </w:lvl>
    <w:lvl w:ilvl="6" w:tentative="0">
      <w:start w:val="1"/>
      <w:numFmt w:val="decimal"/>
      <w:lvlRestart w:val="1"/>
      <w:pStyle w:val="51"/>
      <w:isLgl/>
      <w:suff w:val="space"/>
      <w:lvlText w:val="图 %1.%7 "/>
      <w:lvlJc w:val="left"/>
      <w:pPr>
        <w:ind w:left="0" w:firstLine="0"/>
      </w:pPr>
      <w:rPr>
        <w:rFonts w:hint="eastAsia"/>
      </w:rPr>
    </w:lvl>
    <w:lvl w:ilvl="7" w:tentative="0">
      <w:start w:val="1"/>
      <w:numFmt w:val="decimal"/>
      <w:lvlRestart w:val="1"/>
      <w:pStyle w:val="61"/>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424A4138"/>
    <w:multiLevelType w:val="multilevel"/>
    <w:tmpl w:val="424A4138"/>
    <w:lvl w:ilvl="0" w:tentative="0">
      <w:start w:val="1"/>
      <w:numFmt w:val="chineseCountingThousand"/>
      <w:lvlText w:val="%1."/>
      <w:lvlJc w:val="left"/>
      <w:pPr>
        <w:ind w:left="432" w:hanging="432"/>
      </w:pPr>
      <w:rPr>
        <w:rFonts w:hint="eastAsia"/>
        <w:color w:val="auto"/>
        <w:sz w:val="32"/>
        <w:szCs w:val="32"/>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EwYWQ1ODhhZDZkZmEzODgwMWZiOGE2MmFjYWE3ODAifQ=="/>
  </w:docVars>
  <w:rsids>
    <w:rsidRoot w:val="00303343"/>
    <w:rsid w:val="000051D2"/>
    <w:rsid w:val="000079DD"/>
    <w:rsid w:val="00012DCC"/>
    <w:rsid w:val="00016B63"/>
    <w:rsid w:val="0001700D"/>
    <w:rsid w:val="0004334E"/>
    <w:rsid w:val="00046B39"/>
    <w:rsid w:val="00054706"/>
    <w:rsid w:val="000612F5"/>
    <w:rsid w:val="00066DE7"/>
    <w:rsid w:val="00074EDD"/>
    <w:rsid w:val="000757C1"/>
    <w:rsid w:val="00086AE0"/>
    <w:rsid w:val="0009064D"/>
    <w:rsid w:val="00090A18"/>
    <w:rsid w:val="000B41B7"/>
    <w:rsid w:val="000D5317"/>
    <w:rsid w:val="000E276C"/>
    <w:rsid w:val="00106D68"/>
    <w:rsid w:val="001106CE"/>
    <w:rsid w:val="001107F8"/>
    <w:rsid w:val="001116F6"/>
    <w:rsid w:val="001161EB"/>
    <w:rsid w:val="00121E40"/>
    <w:rsid w:val="0012322D"/>
    <w:rsid w:val="00123CDF"/>
    <w:rsid w:val="00123FCC"/>
    <w:rsid w:val="00135BF9"/>
    <w:rsid w:val="001365DD"/>
    <w:rsid w:val="00136606"/>
    <w:rsid w:val="00140E0C"/>
    <w:rsid w:val="0014437A"/>
    <w:rsid w:val="00153AB3"/>
    <w:rsid w:val="00162D29"/>
    <w:rsid w:val="00164878"/>
    <w:rsid w:val="00164C38"/>
    <w:rsid w:val="00165091"/>
    <w:rsid w:val="00171903"/>
    <w:rsid w:val="0018200C"/>
    <w:rsid w:val="001833B6"/>
    <w:rsid w:val="00190CD2"/>
    <w:rsid w:val="00194BFE"/>
    <w:rsid w:val="001A22A1"/>
    <w:rsid w:val="001B4850"/>
    <w:rsid w:val="001B7966"/>
    <w:rsid w:val="001B7D79"/>
    <w:rsid w:val="001C23B3"/>
    <w:rsid w:val="001C7BC6"/>
    <w:rsid w:val="001D4A68"/>
    <w:rsid w:val="001D7749"/>
    <w:rsid w:val="001E3B38"/>
    <w:rsid w:val="00200054"/>
    <w:rsid w:val="002000DE"/>
    <w:rsid w:val="00202EFF"/>
    <w:rsid w:val="0020509F"/>
    <w:rsid w:val="00207A96"/>
    <w:rsid w:val="00214A6F"/>
    <w:rsid w:val="00221F1F"/>
    <w:rsid w:val="00223E47"/>
    <w:rsid w:val="00241D77"/>
    <w:rsid w:val="002509F5"/>
    <w:rsid w:val="002535AA"/>
    <w:rsid w:val="00261CBC"/>
    <w:rsid w:val="00265DE7"/>
    <w:rsid w:val="00270260"/>
    <w:rsid w:val="002722CA"/>
    <w:rsid w:val="002834D3"/>
    <w:rsid w:val="002853BF"/>
    <w:rsid w:val="00292528"/>
    <w:rsid w:val="002A01D6"/>
    <w:rsid w:val="002A4778"/>
    <w:rsid w:val="002C1296"/>
    <w:rsid w:val="002C53D1"/>
    <w:rsid w:val="002D4FE0"/>
    <w:rsid w:val="002D6BE1"/>
    <w:rsid w:val="002F31F1"/>
    <w:rsid w:val="003024F8"/>
    <w:rsid w:val="00303343"/>
    <w:rsid w:val="00303CAB"/>
    <w:rsid w:val="003042A2"/>
    <w:rsid w:val="00304636"/>
    <w:rsid w:val="00311322"/>
    <w:rsid w:val="00314487"/>
    <w:rsid w:val="00314A5A"/>
    <w:rsid w:val="00322973"/>
    <w:rsid w:val="003325F0"/>
    <w:rsid w:val="00341038"/>
    <w:rsid w:val="00352E7C"/>
    <w:rsid w:val="00353276"/>
    <w:rsid w:val="00360458"/>
    <w:rsid w:val="003613D3"/>
    <w:rsid w:val="00366980"/>
    <w:rsid w:val="00370A5D"/>
    <w:rsid w:val="003802E2"/>
    <w:rsid w:val="00385E95"/>
    <w:rsid w:val="00385FED"/>
    <w:rsid w:val="00397B7E"/>
    <w:rsid w:val="003A7269"/>
    <w:rsid w:val="003B2489"/>
    <w:rsid w:val="003B285A"/>
    <w:rsid w:val="003C0FB7"/>
    <w:rsid w:val="003C6D81"/>
    <w:rsid w:val="003D0F80"/>
    <w:rsid w:val="003D2595"/>
    <w:rsid w:val="003D4189"/>
    <w:rsid w:val="003E7083"/>
    <w:rsid w:val="003F629F"/>
    <w:rsid w:val="00403938"/>
    <w:rsid w:val="00405AA9"/>
    <w:rsid w:val="00413DA3"/>
    <w:rsid w:val="00414171"/>
    <w:rsid w:val="0041787F"/>
    <w:rsid w:val="00423450"/>
    <w:rsid w:val="0042702D"/>
    <w:rsid w:val="00435C81"/>
    <w:rsid w:val="0044060A"/>
    <w:rsid w:val="00440F72"/>
    <w:rsid w:val="004565AA"/>
    <w:rsid w:val="00456A2C"/>
    <w:rsid w:val="004630DC"/>
    <w:rsid w:val="00474AE0"/>
    <w:rsid w:val="0047796F"/>
    <w:rsid w:val="00482931"/>
    <w:rsid w:val="00495574"/>
    <w:rsid w:val="004A44FF"/>
    <w:rsid w:val="004C2C5B"/>
    <w:rsid w:val="004E2D8F"/>
    <w:rsid w:val="004E5E61"/>
    <w:rsid w:val="004F1410"/>
    <w:rsid w:val="00500264"/>
    <w:rsid w:val="00510B1E"/>
    <w:rsid w:val="005120A9"/>
    <w:rsid w:val="00517D7C"/>
    <w:rsid w:val="00520646"/>
    <w:rsid w:val="0052176F"/>
    <w:rsid w:val="0052604B"/>
    <w:rsid w:val="0053088D"/>
    <w:rsid w:val="00534BF6"/>
    <w:rsid w:val="00537CDE"/>
    <w:rsid w:val="005409FC"/>
    <w:rsid w:val="005563D3"/>
    <w:rsid w:val="00575F76"/>
    <w:rsid w:val="005766CE"/>
    <w:rsid w:val="00580F0E"/>
    <w:rsid w:val="00591388"/>
    <w:rsid w:val="0059358B"/>
    <w:rsid w:val="005944F9"/>
    <w:rsid w:val="00596428"/>
    <w:rsid w:val="00596CC5"/>
    <w:rsid w:val="005A4D1C"/>
    <w:rsid w:val="005B046D"/>
    <w:rsid w:val="005B33AE"/>
    <w:rsid w:val="005C49D7"/>
    <w:rsid w:val="005C60FB"/>
    <w:rsid w:val="005C7EF5"/>
    <w:rsid w:val="005D1C7F"/>
    <w:rsid w:val="005D2402"/>
    <w:rsid w:val="005D2BF6"/>
    <w:rsid w:val="005E17A1"/>
    <w:rsid w:val="005E7C53"/>
    <w:rsid w:val="005F0356"/>
    <w:rsid w:val="005F73BC"/>
    <w:rsid w:val="00600923"/>
    <w:rsid w:val="006053FC"/>
    <w:rsid w:val="006067C8"/>
    <w:rsid w:val="00611D37"/>
    <w:rsid w:val="00612F3F"/>
    <w:rsid w:val="00620E68"/>
    <w:rsid w:val="00623637"/>
    <w:rsid w:val="006279C6"/>
    <w:rsid w:val="00644F1D"/>
    <w:rsid w:val="00646B59"/>
    <w:rsid w:val="006604C2"/>
    <w:rsid w:val="006861F5"/>
    <w:rsid w:val="00697FBB"/>
    <w:rsid w:val="006B2085"/>
    <w:rsid w:val="006B21B8"/>
    <w:rsid w:val="006B7B58"/>
    <w:rsid w:val="006C36EB"/>
    <w:rsid w:val="006D4B15"/>
    <w:rsid w:val="006D59F7"/>
    <w:rsid w:val="006E5E07"/>
    <w:rsid w:val="006F0434"/>
    <w:rsid w:val="00701D12"/>
    <w:rsid w:val="0070239F"/>
    <w:rsid w:val="0072309C"/>
    <w:rsid w:val="0072695B"/>
    <w:rsid w:val="0074224C"/>
    <w:rsid w:val="00750A70"/>
    <w:rsid w:val="00752912"/>
    <w:rsid w:val="007556BE"/>
    <w:rsid w:val="007621CC"/>
    <w:rsid w:val="0076668A"/>
    <w:rsid w:val="00784C08"/>
    <w:rsid w:val="00785EDF"/>
    <w:rsid w:val="00786A29"/>
    <w:rsid w:val="00795F59"/>
    <w:rsid w:val="007A5027"/>
    <w:rsid w:val="007C0A5B"/>
    <w:rsid w:val="007D22AB"/>
    <w:rsid w:val="007E71E6"/>
    <w:rsid w:val="007F5726"/>
    <w:rsid w:val="008168FB"/>
    <w:rsid w:val="00822BA6"/>
    <w:rsid w:val="008419E9"/>
    <w:rsid w:val="008548FB"/>
    <w:rsid w:val="008623FD"/>
    <w:rsid w:val="00866774"/>
    <w:rsid w:val="00867BB2"/>
    <w:rsid w:val="00873B97"/>
    <w:rsid w:val="008A62AC"/>
    <w:rsid w:val="008B2206"/>
    <w:rsid w:val="008C255D"/>
    <w:rsid w:val="008D3291"/>
    <w:rsid w:val="008D59AA"/>
    <w:rsid w:val="008E145D"/>
    <w:rsid w:val="008E2B56"/>
    <w:rsid w:val="008E69C8"/>
    <w:rsid w:val="00900232"/>
    <w:rsid w:val="00900BAA"/>
    <w:rsid w:val="00903734"/>
    <w:rsid w:val="00903878"/>
    <w:rsid w:val="00903CF6"/>
    <w:rsid w:val="009052C7"/>
    <w:rsid w:val="00905FFA"/>
    <w:rsid w:val="0092017A"/>
    <w:rsid w:val="00922032"/>
    <w:rsid w:val="00925C23"/>
    <w:rsid w:val="00927E08"/>
    <w:rsid w:val="009303FA"/>
    <w:rsid w:val="009345F6"/>
    <w:rsid w:val="00941F0C"/>
    <w:rsid w:val="00943004"/>
    <w:rsid w:val="00953807"/>
    <w:rsid w:val="00966A88"/>
    <w:rsid w:val="00973A47"/>
    <w:rsid w:val="00981ED8"/>
    <w:rsid w:val="009822C7"/>
    <w:rsid w:val="00982AA3"/>
    <w:rsid w:val="009863EF"/>
    <w:rsid w:val="00986A41"/>
    <w:rsid w:val="0098719A"/>
    <w:rsid w:val="00991FF2"/>
    <w:rsid w:val="0099315B"/>
    <w:rsid w:val="00995DD9"/>
    <w:rsid w:val="009C1F02"/>
    <w:rsid w:val="009C3783"/>
    <w:rsid w:val="009C4E7E"/>
    <w:rsid w:val="009D6951"/>
    <w:rsid w:val="009D7DD1"/>
    <w:rsid w:val="009E0351"/>
    <w:rsid w:val="009E214B"/>
    <w:rsid w:val="009E53AF"/>
    <w:rsid w:val="009F0270"/>
    <w:rsid w:val="009F61FA"/>
    <w:rsid w:val="00A05796"/>
    <w:rsid w:val="00A13CB0"/>
    <w:rsid w:val="00A14FD8"/>
    <w:rsid w:val="00A22CA1"/>
    <w:rsid w:val="00A4187B"/>
    <w:rsid w:val="00A4595D"/>
    <w:rsid w:val="00A51146"/>
    <w:rsid w:val="00A61D3A"/>
    <w:rsid w:val="00A66833"/>
    <w:rsid w:val="00A70DCF"/>
    <w:rsid w:val="00A72437"/>
    <w:rsid w:val="00A73FDF"/>
    <w:rsid w:val="00A7562C"/>
    <w:rsid w:val="00A824B9"/>
    <w:rsid w:val="00A870DD"/>
    <w:rsid w:val="00A96157"/>
    <w:rsid w:val="00A969AF"/>
    <w:rsid w:val="00A9729E"/>
    <w:rsid w:val="00AA1F69"/>
    <w:rsid w:val="00AB348F"/>
    <w:rsid w:val="00AB7D36"/>
    <w:rsid w:val="00AC1390"/>
    <w:rsid w:val="00AC4663"/>
    <w:rsid w:val="00AD58E6"/>
    <w:rsid w:val="00AE1DD2"/>
    <w:rsid w:val="00AE4106"/>
    <w:rsid w:val="00B12138"/>
    <w:rsid w:val="00B17749"/>
    <w:rsid w:val="00B17AE9"/>
    <w:rsid w:val="00B17C05"/>
    <w:rsid w:val="00B20334"/>
    <w:rsid w:val="00B20819"/>
    <w:rsid w:val="00B225B9"/>
    <w:rsid w:val="00B24AB1"/>
    <w:rsid w:val="00B36BD9"/>
    <w:rsid w:val="00B41A4C"/>
    <w:rsid w:val="00B43095"/>
    <w:rsid w:val="00B446CA"/>
    <w:rsid w:val="00B5093C"/>
    <w:rsid w:val="00B54356"/>
    <w:rsid w:val="00B55FE5"/>
    <w:rsid w:val="00B62917"/>
    <w:rsid w:val="00B74609"/>
    <w:rsid w:val="00B752B2"/>
    <w:rsid w:val="00B77C9A"/>
    <w:rsid w:val="00B80E39"/>
    <w:rsid w:val="00B824A5"/>
    <w:rsid w:val="00B8588F"/>
    <w:rsid w:val="00B858F1"/>
    <w:rsid w:val="00B8684C"/>
    <w:rsid w:val="00B97403"/>
    <w:rsid w:val="00BA5A2D"/>
    <w:rsid w:val="00BA5B8F"/>
    <w:rsid w:val="00BB2B54"/>
    <w:rsid w:val="00BC3CA1"/>
    <w:rsid w:val="00BC49E5"/>
    <w:rsid w:val="00BC6DB1"/>
    <w:rsid w:val="00BD3194"/>
    <w:rsid w:val="00BD5FA8"/>
    <w:rsid w:val="00BE23E5"/>
    <w:rsid w:val="00BE31E6"/>
    <w:rsid w:val="00BF757E"/>
    <w:rsid w:val="00BF7C0E"/>
    <w:rsid w:val="00BF7F5A"/>
    <w:rsid w:val="00C17719"/>
    <w:rsid w:val="00C20730"/>
    <w:rsid w:val="00C2470A"/>
    <w:rsid w:val="00C335D8"/>
    <w:rsid w:val="00C37788"/>
    <w:rsid w:val="00C50E12"/>
    <w:rsid w:val="00C54491"/>
    <w:rsid w:val="00C71B43"/>
    <w:rsid w:val="00C74D8F"/>
    <w:rsid w:val="00C751A9"/>
    <w:rsid w:val="00C766DD"/>
    <w:rsid w:val="00C76BDF"/>
    <w:rsid w:val="00C775CE"/>
    <w:rsid w:val="00C8030E"/>
    <w:rsid w:val="00C91697"/>
    <w:rsid w:val="00C92EAA"/>
    <w:rsid w:val="00CA148F"/>
    <w:rsid w:val="00CA29F9"/>
    <w:rsid w:val="00CB6B73"/>
    <w:rsid w:val="00CC218D"/>
    <w:rsid w:val="00CC6334"/>
    <w:rsid w:val="00CC677A"/>
    <w:rsid w:val="00CD008E"/>
    <w:rsid w:val="00CD6EDC"/>
    <w:rsid w:val="00CE2D1F"/>
    <w:rsid w:val="00CF1561"/>
    <w:rsid w:val="00CF1A40"/>
    <w:rsid w:val="00CF36EF"/>
    <w:rsid w:val="00CF4AE2"/>
    <w:rsid w:val="00D06B93"/>
    <w:rsid w:val="00D1110F"/>
    <w:rsid w:val="00D15B10"/>
    <w:rsid w:val="00D23E20"/>
    <w:rsid w:val="00D30FA6"/>
    <w:rsid w:val="00D32842"/>
    <w:rsid w:val="00D407EB"/>
    <w:rsid w:val="00D454AB"/>
    <w:rsid w:val="00D536AB"/>
    <w:rsid w:val="00D54E0C"/>
    <w:rsid w:val="00D5537A"/>
    <w:rsid w:val="00D64109"/>
    <w:rsid w:val="00D71136"/>
    <w:rsid w:val="00D74BE1"/>
    <w:rsid w:val="00D7755A"/>
    <w:rsid w:val="00D77F36"/>
    <w:rsid w:val="00D9057D"/>
    <w:rsid w:val="00DA026E"/>
    <w:rsid w:val="00DA576E"/>
    <w:rsid w:val="00DB0A86"/>
    <w:rsid w:val="00DB57B7"/>
    <w:rsid w:val="00DC33CF"/>
    <w:rsid w:val="00DC3415"/>
    <w:rsid w:val="00DD3DE6"/>
    <w:rsid w:val="00DE4534"/>
    <w:rsid w:val="00DF3D3A"/>
    <w:rsid w:val="00DF4228"/>
    <w:rsid w:val="00E06670"/>
    <w:rsid w:val="00E47752"/>
    <w:rsid w:val="00E53030"/>
    <w:rsid w:val="00E56652"/>
    <w:rsid w:val="00E62C9E"/>
    <w:rsid w:val="00E63369"/>
    <w:rsid w:val="00E63569"/>
    <w:rsid w:val="00E80756"/>
    <w:rsid w:val="00E81F96"/>
    <w:rsid w:val="00E8302B"/>
    <w:rsid w:val="00E836C7"/>
    <w:rsid w:val="00E83E34"/>
    <w:rsid w:val="00E847A3"/>
    <w:rsid w:val="00E84F8C"/>
    <w:rsid w:val="00E85360"/>
    <w:rsid w:val="00E85641"/>
    <w:rsid w:val="00E85DA4"/>
    <w:rsid w:val="00E86B42"/>
    <w:rsid w:val="00E95892"/>
    <w:rsid w:val="00E97354"/>
    <w:rsid w:val="00EA5C44"/>
    <w:rsid w:val="00EA6408"/>
    <w:rsid w:val="00EC0483"/>
    <w:rsid w:val="00EC33A4"/>
    <w:rsid w:val="00ED0897"/>
    <w:rsid w:val="00ED73FF"/>
    <w:rsid w:val="00ED7F01"/>
    <w:rsid w:val="00EE2FB8"/>
    <w:rsid w:val="00EE4612"/>
    <w:rsid w:val="00EE51DE"/>
    <w:rsid w:val="00EE609F"/>
    <w:rsid w:val="00EF5E01"/>
    <w:rsid w:val="00EF6223"/>
    <w:rsid w:val="00EF6EC0"/>
    <w:rsid w:val="00F02058"/>
    <w:rsid w:val="00F0343C"/>
    <w:rsid w:val="00F04CE5"/>
    <w:rsid w:val="00F13514"/>
    <w:rsid w:val="00F1360F"/>
    <w:rsid w:val="00F16AA8"/>
    <w:rsid w:val="00F21791"/>
    <w:rsid w:val="00F3226A"/>
    <w:rsid w:val="00F33DB0"/>
    <w:rsid w:val="00F36222"/>
    <w:rsid w:val="00F45DB8"/>
    <w:rsid w:val="00F54D29"/>
    <w:rsid w:val="00F62BCD"/>
    <w:rsid w:val="00F74B77"/>
    <w:rsid w:val="00F764FE"/>
    <w:rsid w:val="00F80625"/>
    <w:rsid w:val="00F827B6"/>
    <w:rsid w:val="00F86265"/>
    <w:rsid w:val="00F92BE5"/>
    <w:rsid w:val="00FA0574"/>
    <w:rsid w:val="00FB68D3"/>
    <w:rsid w:val="00FC4B75"/>
    <w:rsid w:val="00FC5FC7"/>
    <w:rsid w:val="00FE7554"/>
    <w:rsid w:val="00FF17FE"/>
    <w:rsid w:val="0CA53F93"/>
    <w:rsid w:val="1CFF6E22"/>
    <w:rsid w:val="42200080"/>
    <w:rsid w:val="422E5201"/>
    <w:rsid w:val="488C513A"/>
    <w:rsid w:val="551A06D6"/>
    <w:rsid w:val="66614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autoRedefine/>
    <w:qFormat/>
    <w:uiPriority w:val="0"/>
    <w:pPr>
      <w:keepNext/>
      <w:keepLines/>
      <w:numPr>
        <w:ilvl w:val="0"/>
        <w:numId w:val="1"/>
      </w:numPr>
      <w:spacing w:before="340" w:after="330" w:line="578" w:lineRule="auto"/>
      <w:outlineLvl w:val="0"/>
    </w:pPr>
    <w:rPr>
      <w:b/>
      <w:bCs/>
      <w:kern w:val="44"/>
      <w:sz w:val="44"/>
      <w:szCs w:val="44"/>
      <w:lang w:val="zh-CN"/>
    </w:rPr>
  </w:style>
  <w:style w:type="paragraph" w:styleId="3">
    <w:name w:val="heading 2"/>
    <w:basedOn w:val="1"/>
    <w:next w:val="1"/>
    <w:link w:val="27"/>
    <w:autoRedefine/>
    <w:qFormat/>
    <w:uiPriority w:val="0"/>
    <w:pPr>
      <w:keepNext/>
      <w:keepLines/>
      <w:spacing w:before="260" w:after="260" w:line="416" w:lineRule="auto"/>
      <w:outlineLvl w:val="1"/>
    </w:pPr>
    <w:rPr>
      <w:rFonts w:ascii="等线 Light" w:hAnsi="等线 Light" w:eastAsia="等线 Light"/>
      <w:b/>
      <w:bCs/>
      <w:sz w:val="32"/>
      <w:szCs w:val="32"/>
      <w:lang w:val="zh-CN"/>
    </w:rPr>
  </w:style>
  <w:style w:type="paragraph" w:styleId="4">
    <w:name w:val="heading 3"/>
    <w:basedOn w:val="1"/>
    <w:next w:val="1"/>
    <w:link w:val="28"/>
    <w:autoRedefine/>
    <w:qFormat/>
    <w:uiPriority w:val="0"/>
    <w:pPr>
      <w:keepNext/>
      <w:keepLines/>
      <w:spacing w:before="260" w:after="260" w:line="416" w:lineRule="auto"/>
      <w:outlineLvl w:val="2"/>
    </w:pPr>
    <w:rPr>
      <w:b/>
      <w:bCs/>
      <w:sz w:val="30"/>
      <w:szCs w:val="30"/>
      <w:lang w:val="zh-CN"/>
    </w:rPr>
  </w:style>
  <w:style w:type="paragraph" w:styleId="5">
    <w:name w:val="heading 4"/>
    <w:basedOn w:val="1"/>
    <w:next w:val="1"/>
    <w:link w:val="29"/>
    <w:autoRedefine/>
    <w:qFormat/>
    <w:uiPriority w:val="0"/>
    <w:pPr>
      <w:keepNext/>
      <w:keepLines/>
      <w:numPr>
        <w:ilvl w:val="3"/>
        <w:numId w:val="1"/>
      </w:numPr>
      <w:spacing w:before="280" w:after="290" w:line="376" w:lineRule="auto"/>
      <w:outlineLvl w:val="3"/>
    </w:pPr>
    <w:rPr>
      <w:rFonts w:ascii="宋体" w:hAnsi="宋体"/>
      <w:b/>
      <w:bCs/>
      <w:sz w:val="28"/>
      <w:szCs w:val="28"/>
      <w:lang w:val="zh-CN"/>
    </w:rPr>
  </w:style>
  <w:style w:type="paragraph" w:styleId="6">
    <w:name w:val="heading 5"/>
    <w:basedOn w:val="1"/>
    <w:next w:val="1"/>
    <w:link w:val="30"/>
    <w:autoRedefine/>
    <w:qFormat/>
    <w:uiPriority w:val="0"/>
    <w:pPr>
      <w:keepNext/>
      <w:keepLines/>
      <w:numPr>
        <w:ilvl w:val="4"/>
        <w:numId w:val="1"/>
      </w:numPr>
      <w:spacing w:before="280" w:after="290" w:line="376" w:lineRule="auto"/>
      <w:outlineLvl w:val="4"/>
    </w:pPr>
    <w:rPr>
      <w:b/>
      <w:bCs/>
      <w:sz w:val="28"/>
      <w:szCs w:val="28"/>
      <w:lang w:val="zh-CN"/>
    </w:rPr>
  </w:style>
  <w:style w:type="paragraph" w:styleId="7">
    <w:name w:val="heading 6"/>
    <w:basedOn w:val="1"/>
    <w:next w:val="1"/>
    <w:link w:val="31"/>
    <w:autoRedefine/>
    <w:qFormat/>
    <w:uiPriority w:val="0"/>
    <w:pPr>
      <w:keepNext/>
      <w:keepLines/>
      <w:numPr>
        <w:ilvl w:val="5"/>
        <w:numId w:val="1"/>
      </w:numPr>
      <w:spacing w:before="240" w:after="64" w:line="320" w:lineRule="auto"/>
      <w:outlineLvl w:val="5"/>
    </w:pPr>
    <w:rPr>
      <w:rFonts w:ascii="等线 Light" w:hAnsi="等线 Light" w:eastAsia="等线 Light"/>
      <w:b/>
      <w:bCs/>
      <w:sz w:val="24"/>
      <w:lang w:val="zh-CN"/>
    </w:rPr>
  </w:style>
  <w:style w:type="paragraph" w:styleId="8">
    <w:name w:val="heading 7"/>
    <w:basedOn w:val="1"/>
    <w:next w:val="1"/>
    <w:link w:val="32"/>
    <w:autoRedefine/>
    <w:qFormat/>
    <w:uiPriority w:val="0"/>
    <w:pPr>
      <w:keepNext/>
      <w:keepLines/>
      <w:numPr>
        <w:ilvl w:val="6"/>
        <w:numId w:val="1"/>
      </w:numPr>
      <w:spacing w:before="240" w:after="64" w:line="320" w:lineRule="auto"/>
      <w:outlineLvl w:val="6"/>
    </w:pPr>
    <w:rPr>
      <w:b/>
      <w:bCs/>
      <w:sz w:val="24"/>
      <w:lang w:val="zh-CN"/>
    </w:rPr>
  </w:style>
  <w:style w:type="paragraph" w:styleId="9">
    <w:name w:val="heading 8"/>
    <w:basedOn w:val="1"/>
    <w:next w:val="1"/>
    <w:link w:val="33"/>
    <w:autoRedefine/>
    <w:qFormat/>
    <w:uiPriority w:val="0"/>
    <w:pPr>
      <w:keepNext/>
      <w:keepLines/>
      <w:numPr>
        <w:ilvl w:val="7"/>
        <w:numId w:val="1"/>
      </w:numPr>
      <w:spacing w:before="240" w:after="64" w:line="320" w:lineRule="auto"/>
      <w:outlineLvl w:val="7"/>
    </w:pPr>
    <w:rPr>
      <w:rFonts w:ascii="等线 Light" w:hAnsi="等线 Light" w:eastAsia="等线 Light"/>
      <w:sz w:val="24"/>
      <w:lang w:val="zh-CN"/>
    </w:rPr>
  </w:style>
  <w:style w:type="paragraph" w:styleId="10">
    <w:name w:val="heading 9"/>
    <w:basedOn w:val="1"/>
    <w:next w:val="1"/>
    <w:link w:val="34"/>
    <w:autoRedefine/>
    <w:qFormat/>
    <w:uiPriority w:val="0"/>
    <w:pPr>
      <w:keepNext/>
      <w:keepLines/>
      <w:numPr>
        <w:ilvl w:val="8"/>
        <w:numId w:val="1"/>
      </w:numPr>
      <w:spacing w:before="240" w:after="64" w:line="320" w:lineRule="auto"/>
      <w:outlineLvl w:val="8"/>
    </w:pPr>
    <w:rPr>
      <w:rFonts w:ascii="等线 Light" w:hAnsi="等线 Light" w:eastAsia="等线 Light"/>
      <w:szCs w:val="21"/>
      <w:lang w:val="zh-CN"/>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11">
    <w:name w:val="Normal Indent"/>
    <w:basedOn w:val="1"/>
    <w:link w:val="35"/>
    <w:autoRedefine/>
    <w:qFormat/>
    <w:uiPriority w:val="99"/>
    <w:pPr>
      <w:spacing w:before="120" w:beforeLines="50" w:line="360" w:lineRule="auto"/>
      <w:ind w:firstLine="512" w:firstLineChars="200"/>
    </w:pPr>
    <w:rPr>
      <w:spacing w:val="8"/>
      <w:sz w:val="24"/>
      <w:szCs w:val="20"/>
    </w:rPr>
  </w:style>
  <w:style w:type="paragraph" w:styleId="12">
    <w:name w:val="annotation text"/>
    <w:basedOn w:val="1"/>
    <w:link w:val="36"/>
    <w:autoRedefine/>
    <w:unhideWhenUsed/>
    <w:qFormat/>
    <w:uiPriority w:val="0"/>
    <w:pPr>
      <w:jc w:val="left"/>
    </w:pPr>
    <w:rPr>
      <w:kern w:val="0"/>
      <w:sz w:val="20"/>
      <w:lang w:val="zh-CN"/>
    </w:rPr>
  </w:style>
  <w:style w:type="paragraph" w:styleId="13">
    <w:name w:val="Body Text"/>
    <w:basedOn w:val="1"/>
    <w:link w:val="67"/>
    <w:autoRedefine/>
    <w:qFormat/>
    <w:uiPriority w:val="0"/>
    <w:rPr>
      <w:rFonts w:ascii="Calibri" w:hAnsi="Calibri"/>
      <w:sz w:val="28"/>
    </w:rPr>
  </w:style>
  <w:style w:type="paragraph" w:styleId="14">
    <w:name w:val="Plain Text"/>
    <w:basedOn w:val="1"/>
    <w:link w:val="37"/>
    <w:autoRedefine/>
    <w:qFormat/>
    <w:uiPriority w:val="0"/>
    <w:rPr>
      <w:rFonts w:ascii="Calibri" w:hAnsi="Courier New"/>
      <w:szCs w:val="20"/>
      <w:lang w:val="zh-CN"/>
    </w:rPr>
  </w:style>
  <w:style w:type="paragraph" w:styleId="15">
    <w:name w:val="Balloon Text"/>
    <w:basedOn w:val="1"/>
    <w:link w:val="38"/>
    <w:autoRedefine/>
    <w:qFormat/>
    <w:uiPriority w:val="0"/>
    <w:rPr>
      <w:sz w:val="18"/>
      <w:szCs w:val="18"/>
      <w:lang w:val="zh-CN"/>
    </w:rPr>
  </w:style>
  <w:style w:type="paragraph" w:styleId="16">
    <w:name w:val="footer"/>
    <w:basedOn w:val="1"/>
    <w:link w:val="39"/>
    <w:autoRedefine/>
    <w:qFormat/>
    <w:uiPriority w:val="0"/>
    <w:pPr>
      <w:tabs>
        <w:tab w:val="center" w:pos="4153"/>
        <w:tab w:val="right" w:pos="8306"/>
      </w:tabs>
      <w:snapToGrid w:val="0"/>
      <w:jc w:val="left"/>
    </w:pPr>
    <w:rPr>
      <w:sz w:val="18"/>
      <w:szCs w:val="18"/>
      <w:lang w:val="zh-CN"/>
    </w:rPr>
  </w:style>
  <w:style w:type="paragraph" w:styleId="17">
    <w:name w:val="header"/>
    <w:basedOn w:val="1"/>
    <w:link w:val="40"/>
    <w:autoRedefine/>
    <w:qFormat/>
    <w:uiPriority w:val="0"/>
    <w:pPr>
      <w:pBdr>
        <w:bottom w:val="single" w:color="auto" w:sz="6" w:space="1"/>
      </w:pBdr>
      <w:tabs>
        <w:tab w:val="center" w:pos="4153"/>
        <w:tab w:val="right" w:pos="8306"/>
      </w:tabs>
      <w:snapToGrid w:val="0"/>
      <w:jc w:val="center"/>
    </w:pPr>
    <w:rPr>
      <w:sz w:val="18"/>
      <w:szCs w:val="18"/>
      <w:lang w:val="zh-CN"/>
    </w:rPr>
  </w:style>
  <w:style w:type="paragraph" w:styleId="18">
    <w:name w:val="Subtitle"/>
    <w:basedOn w:val="1"/>
    <w:next w:val="1"/>
    <w:link w:val="65"/>
    <w:autoRedefine/>
    <w:qFormat/>
    <w:uiPriority w:val="0"/>
    <w:pPr>
      <w:spacing w:before="240" w:beforeLines="50" w:after="60" w:line="312" w:lineRule="auto"/>
      <w:ind w:firstLine="200" w:firstLineChars="200"/>
      <w:jc w:val="center"/>
      <w:outlineLvl w:val="1"/>
    </w:pPr>
    <w:rPr>
      <w:rFonts w:ascii="Cambria" w:hAnsi="Cambria"/>
      <w:b/>
      <w:bCs/>
      <w:kern w:val="28"/>
      <w:sz w:val="32"/>
      <w:szCs w:val="32"/>
      <w:lang w:eastAsia="en-US"/>
    </w:rPr>
  </w:style>
  <w:style w:type="paragraph" w:styleId="19">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table" w:styleId="21">
    <w:name w:val="Table Grid"/>
    <w:basedOn w:val="20"/>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3">
    <w:name w:val="FollowedHyperlink"/>
    <w:basedOn w:val="22"/>
    <w:autoRedefine/>
    <w:qFormat/>
    <w:uiPriority w:val="0"/>
    <w:rPr>
      <w:color w:val="800080"/>
      <w:u w:val="single"/>
    </w:rPr>
  </w:style>
  <w:style w:type="character" w:styleId="24">
    <w:name w:val="Hyperlink"/>
    <w:autoRedefine/>
    <w:qFormat/>
    <w:uiPriority w:val="0"/>
    <w:rPr>
      <w:color w:val="0563C1"/>
      <w:u w:val="single"/>
    </w:rPr>
  </w:style>
  <w:style w:type="character" w:styleId="25">
    <w:name w:val="annotation reference"/>
    <w:autoRedefine/>
    <w:unhideWhenUsed/>
    <w:qFormat/>
    <w:uiPriority w:val="99"/>
    <w:rPr>
      <w:sz w:val="21"/>
      <w:szCs w:val="21"/>
    </w:rPr>
  </w:style>
  <w:style w:type="character" w:customStyle="1" w:styleId="26">
    <w:name w:val="标题 1 字符"/>
    <w:link w:val="2"/>
    <w:autoRedefine/>
    <w:qFormat/>
    <w:uiPriority w:val="0"/>
    <w:rPr>
      <w:b/>
      <w:bCs/>
      <w:kern w:val="44"/>
      <w:sz w:val="44"/>
      <w:szCs w:val="44"/>
      <w:lang w:val="zh-CN" w:eastAsia="zh-CN"/>
    </w:rPr>
  </w:style>
  <w:style w:type="character" w:customStyle="1" w:styleId="27">
    <w:name w:val="标题 2 字符"/>
    <w:link w:val="3"/>
    <w:autoRedefine/>
    <w:qFormat/>
    <w:uiPriority w:val="0"/>
    <w:rPr>
      <w:rFonts w:ascii="等线 Light" w:hAnsi="等线 Light" w:eastAsia="等线 Light" w:cs="Times New Roman"/>
      <w:b/>
      <w:bCs/>
      <w:kern w:val="2"/>
      <w:sz w:val="32"/>
      <w:szCs w:val="32"/>
    </w:rPr>
  </w:style>
  <w:style w:type="character" w:customStyle="1" w:styleId="28">
    <w:name w:val="标题 3 字符"/>
    <w:link w:val="4"/>
    <w:autoRedefine/>
    <w:qFormat/>
    <w:uiPriority w:val="0"/>
    <w:rPr>
      <w:b/>
      <w:bCs/>
      <w:kern w:val="2"/>
      <w:sz w:val="30"/>
      <w:szCs w:val="30"/>
    </w:rPr>
  </w:style>
  <w:style w:type="character" w:customStyle="1" w:styleId="29">
    <w:name w:val="标题 4 字符"/>
    <w:link w:val="5"/>
    <w:autoRedefine/>
    <w:qFormat/>
    <w:uiPriority w:val="0"/>
    <w:rPr>
      <w:rFonts w:ascii="宋体" w:hAnsi="宋体"/>
      <w:b/>
      <w:bCs/>
      <w:kern w:val="2"/>
      <w:sz w:val="28"/>
      <w:szCs w:val="28"/>
    </w:rPr>
  </w:style>
  <w:style w:type="character" w:customStyle="1" w:styleId="30">
    <w:name w:val="标题 5 字符"/>
    <w:link w:val="6"/>
    <w:autoRedefine/>
    <w:qFormat/>
    <w:uiPriority w:val="0"/>
    <w:rPr>
      <w:b/>
      <w:bCs/>
      <w:kern w:val="2"/>
      <w:sz w:val="28"/>
      <w:szCs w:val="28"/>
    </w:rPr>
  </w:style>
  <w:style w:type="character" w:customStyle="1" w:styleId="31">
    <w:name w:val="标题 6 字符"/>
    <w:link w:val="7"/>
    <w:autoRedefine/>
    <w:semiHidden/>
    <w:qFormat/>
    <w:uiPriority w:val="0"/>
    <w:rPr>
      <w:rFonts w:ascii="等线 Light" w:hAnsi="等线 Light" w:eastAsia="等线 Light"/>
      <w:b/>
      <w:bCs/>
      <w:kern w:val="2"/>
      <w:sz w:val="24"/>
      <w:szCs w:val="24"/>
    </w:rPr>
  </w:style>
  <w:style w:type="character" w:customStyle="1" w:styleId="32">
    <w:name w:val="标题 7 字符"/>
    <w:link w:val="8"/>
    <w:autoRedefine/>
    <w:semiHidden/>
    <w:qFormat/>
    <w:uiPriority w:val="0"/>
    <w:rPr>
      <w:b/>
      <w:bCs/>
      <w:kern w:val="2"/>
      <w:sz w:val="24"/>
      <w:szCs w:val="24"/>
    </w:rPr>
  </w:style>
  <w:style w:type="character" w:customStyle="1" w:styleId="33">
    <w:name w:val="标题 8 字符"/>
    <w:link w:val="9"/>
    <w:autoRedefine/>
    <w:semiHidden/>
    <w:qFormat/>
    <w:uiPriority w:val="0"/>
    <w:rPr>
      <w:rFonts w:ascii="等线 Light" w:hAnsi="等线 Light" w:eastAsia="等线 Light"/>
      <w:kern w:val="2"/>
      <w:sz w:val="24"/>
      <w:szCs w:val="24"/>
    </w:rPr>
  </w:style>
  <w:style w:type="character" w:customStyle="1" w:styleId="34">
    <w:name w:val="标题 9 字符"/>
    <w:link w:val="10"/>
    <w:autoRedefine/>
    <w:semiHidden/>
    <w:qFormat/>
    <w:uiPriority w:val="0"/>
    <w:rPr>
      <w:rFonts w:ascii="等线 Light" w:hAnsi="等线 Light" w:eastAsia="等线 Light"/>
      <w:kern w:val="2"/>
      <w:sz w:val="21"/>
      <w:szCs w:val="21"/>
    </w:rPr>
  </w:style>
  <w:style w:type="character" w:customStyle="1" w:styleId="35">
    <w:name w:val="正文缩进 字符"/>
    <w:link w:val="11"/>
    <w:autoRedefine/>
    <w:qFormat/>
    <w:uiPriority w:val="99"/>
    <w:rPr>
      <w:spacing w:val="8"/>
      <w:kern w:val="2"/>
      <w:sz w:val="24"/>
      <w:lang w:val="en-US" w:eastAsia="zh-CN"/>
    </w:rPr>
  </w:style>
  <w:style w:type="character" w:customStyle="1" w:styleId="36">
    <w:name w:val="批注文字 字符1"/>
    <w:link w:val="12"/>
    <w:autoRedefine/>
    <w:qFormat/>
    <w:uiPriority w:val="0"/>
    <w:rPr>
      <w:szCs w:val="24"/>
    </w:rPr>
  </w:style>
  <w:style w:type="character" w:customStyle="1" w:styleId="37">
    <w:name w:val="纯文本 字符"/>
    <w:link w:val="14"/>
    <w:autoRedefine/>
    <w:qFormat/>
    <w:uiPriority w:val="0"/>
    <w:rPr>
      <w:rFonts w:ascii="Calibri" w:hAnsi="Courier New"/>
      <w:kern w:val="2"/>
      <w:sz w:val="21"/>
    </w:rPr>
  </w:style>
  <w:style w:type="character" w:customStyle="1" w:styleId="38">
    <w:name w:val="批注框文本 字符"/>
    <w:link w:val="15"/>
    <w:autoRedefine/>
    <w:qFormat/>
    <w:uiPriority w:val="0"/>
    <w:rPr>
      <w:kern w:val="2"/>
      <w:sz w:val="18"/>
      <w:szCs w:val="18"/>
    </w:rPr>
  </w:style>
  <w:style w:type="character" w:customStyle="1" w:styleId="39">
    <w:name w:val="页脚 字符1"/>
    <w:link w:val="16"/>
    <w:autoRedefine/>
    <w:qFormat/>
    <w:uiPriority w:val="0"/>
    <w:rPr>
      <w:kern w:val="2"/>
      <w:sz w:val="18"/>
      <w:szCs w:val="18"/>
    </w:rPr>
  </w:style>
  <w:style w:type="character" w:customStyle="1" w:styleId="40">
    <w:name w:val="页眉 字符"/>
    <w:link w:val="17"/>
    <w:autoRedefine/>
    <w:qFormat/>
    <w:uiPriority w:val="0"/>
    <w:rPr>
      <w:kern w:val="2"/>
      <w:sz w:val="18"/>
      <w:szCs w:val="18"/>
    </w:rPr>
  </w:style>
  <w:style w:type="character" w:customStyle="1" w:styleId="41">
    <w:name w:val="已访问的超链接1"/>
    <w:autoRedefine/>
    <w:qFormat/>
    <w:uiPriority w:val="0"/>
    <w:rPr>
      <w:color w:val="800080"/>
      <w:u w:val="single"/>
    </w:rPr>
  </w:style>
  <w:style w:type="character" w:customStyle="1" w:styleId="42">
    <w:name w:val="正文（首行缩进2字符） Char"/>
    <w:link w:val="43"/>
    <w:autoRedefine/>
    <w:qFormat/>
    <w:uiPriority w:val="0"/>
    <w:rPr>
      <w:kern w:val="2"/>
      <w:sz w:val="24"/>
      <w:szCs w:val="24"/>
    </w:rPr>
  </w:style>
  <w:style w:type="paragraph" w:customStyle="1" w:styleId="43">
    <w:name w:val="正文（首行缩进2字符）"/>
    <w:basedOn w:val="1"/>
    <w:link w:val="42"/>
    <w:autoRedefine/>
    <w:qFormat/>
    <w:uiPriority w:val="0"/>
    <w:pPr>
      <w:spacing w:line="360" w:lineRule="auto"/>
      <w:ind w:firstLine="480" w:firstLineChars="200"/>
    </w:pPr>
    <w:rPr>
      <w:sz w:val="24"/>
      <w:lang w:val="zh-CN"/>
    </w:rPr>
  </w:style>
  <w:style w:type="character" w:customStyle="1" w:styleId="44">
    <w:name w:val="段落 Char1"/>
    <w:link w:val="45"/>
    <w:autoRedefine/>
    <w:qFormat/>
    <w:uiPriority w:val="0"/>
    <w:rPr>
      <w:rFonts w:eastAsia="仿宋_GB2312"/>
      <w:sz w:val="24"/>
      <w:szCs w:val="24"/>
      <w:lang w:val="en-US" w:eastAsia="zh-CN" w:bidi="ar-SA"/>
    </w:rPr>
  </w:style>
  <w:style w:type="paragraph" w:customStyle="1" w:styleId="45">
    <w:name w:val="段落"/>
    <w:link w:val="44"/>
    <w:autoRedefine/>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46">
    <w:name w:val="正文（安华金和） Char"/>
    <w:link w:val="47"/>
    <w:autoRedefine/>
    <w:qFormat/>
    <w:uiPriority w:val="0"/>
    <w:rPr>
      <w:rFonts w:ascii="Arial" w:hAnsi="Arial"/>
      <w:sz w:val="21"/>
      <w:szCs w:val="21"/>
      <w:lang w:val="en-US" w:eastAsia="zh-CN" w:bidi="ar-SA"/>
    </w:rPr>
  </w:style>
  <w:style w:type="paragraph" w:customStyle="1" w:styleId="47">
    <w:name w:val="正文（安华金和）"/>
    <w:link w:val="46"/>
    <w:autoRedefine/>
    <w:qFormat/>
    <w:uiPriority w:val="0"/>
    <w:pPr>
      <w:widowControl w:val="0"/>
      <w:spacing w:line="360" w:lineRule="auto"/>
      <w:ind w:firstLine="200"/>
    </w:pPr>
    <w:rPr>
      <w:rFonts w:ascii="Arial" w:hAnsi="Arial" w:eastAsia="宋体" w:cs="Times New Roman"/>
      <w:sz w:val="21"/>
      <w:szCs w:val="21"/>
      <w:lang w:val="en-US" w:eastAsia="zh-CN" w:bidi="ar-SA"/>
    </w:rPr>
  </w:style>
  <w:style w:type="character" w:customStyle="1" w:styleId="48">
    <w:name w:val="页脚 字符"/>
    <w:autoRedefine/>
    <w:qFormat/>
    <w:uiPriority w:val="99"/>
  </w:style>
  <w:style w:type="character" w:customStyle="1" w:styleId="49">
    <w:name w:val="列表段落 字符"/>
    <w:link w:val="50"/>
    <w:autoRedefine/>
    <w:qFormat/>
    <w:uiPriority w:val="34"/>
    <w:rPr>
      <w:rFonts w:ascii="等线" w:hAnsi="等线" w:eastAsia="等线"/>
      <w:kern w:val="2"/>
      <w:sz w:val="21"/>
      <w:szCs w:val="22"/>
    </w:rPr>
  </w:style>
  <w:style w:type="paragraph" w:styleId="50">
    <w:name w:val="List Paragraph"/>
    <w:basedOn w:val="1"/>
    <w:link w:val="49"/>
    <w:autoRedefine/>
    <w:qFormat/>
    <w:uiPriority w:val="34"/>
    <w:pPr>
      <w:ind w:firstLine="420" w:firstLineChars="200"/>
    </w:pPr>
    <w:rPr>
      <w:rFonts w:ascii="等线" w:hAnsi="等线" w:eastAsia="等线"/>
      <w:szCs w:val="22"/>
      <w:lang w:val="zh-CN"/>
    </w:rPr>
  </w:style>
  <w:style w:type="paragraph" w:customStyle="1" w:styleId="51">
    <w:name w:val="插图标注（安华金和）"/>
    <w:next w:val="1"/>
    <w:autoRedefine/>
    <w:qFormat/>
    <w:uiPriority w:val="0"/>
    <w:pPr>
      <w:numPr>
        <w:ilvl w:val="6"/>
        <w:numId w:val="2"/>
      </w:numPr>
      <w:spacing w:after="156"/>
      <w:jc w:val="center"/>
    </w:pPr>
    <w:rPr>
      <w:rFonts w:ascii="Arial" w:hAnsi="Arial" w:eastAsia="宋体" w:cs="Arial"/>
      <w:sz w:val="21"/>
      <w:szCs w:val="21"/>
      <w:lang w:val="en-US" w:eastAsia="zh-CN" w:bidi="ar-SA"/>
    </w:rPr>
  </w:style>
  <w:style w:type="paragraph" w:customStyle="1" w:styleId="52">
    <w:name w:val="标题 2（DBSec）"/>
    <w:basedOn w:val="3"/>
    <w:next w:val="1"/>
    <w:autoRedefine/>
    <w:qFormat/>
    <w:uiPriority w:val="0"/>
    <w:pPr>
      <w:numPr>
        <w:ilvl w:val="1"/>
        <w:numId w:val="2"/>
      </w:numPr>
      <w:spacing w:line="415" w:lineRule="auto"/>
      <w:ind w:left="794" w:leftChars="200"/>
      <w:jc w:val="left"/>
    </w:pPr>
    <w:rPr>
      <w:rFonts w:ascii="Arial" w:hAnsi="Arial" w:eastAsia="黑体"/>
      <w:bCs w:val="0"/>
    </w:rPr>
  </w:style>
  <w:style w:type="paragraph" w:customStyle="1" w:styleId="53">
    <w:name w:val="Default"/>
    <w:autoRedefine/>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54">
    <w:name w:val="_Style 27"/>
    <w:basedOn w:val="1"/>
    <w:next w:val="50"/>
    <w:autoRedefine/>
    <w:qFormat/>
    <w:uiPriority w:val="34"/>
    <w:pPr>
      <w:widowControl/>
      <w:spacing w:line="240" w:lineRule="atLeast"/>
      <w:ind w:firstLine="420" w:firstLineChars="200"/>
    </w:pPr>
    <w:rPr>
      <w:rFonts w:ascii="Arial" w:hAnsi="Arial"/>
      <w:kern w:val="0"/>
      <w:szCs w:val="21"/>
    </w:rPr>
  </w:style>
  <w:style w:type="paragraph" w:customStyle="1" w:styleId="55">
    <w:name w:val="列出段落2"/>
    <w:basedOn w:val="1"/>
    <w:autoRedefine/>
    <w:qFormat/>
    <w:uiPriority w:val="99"/>
    <w:pPr>
      <w:widowControl/>
      <w:spacing w:line="240" w:lineRule="atLeast"/>
      <w:ind w:firstLine="420" w:firstLineChars="200"/>
    </w:pPr>
    <w:rPr>
      <w:rFonts w:ascii="Arial" w:hAnsi="Arial"/>
      <w:kern w:val="0"/>
      <w:szCs w:val="21"/>
    </w:rPr>
  </w:style>
  <w:style w:type="paragraph" w:customStyle="1" w:styleId="56">
    <w:name w:val="标题 6（有编号）（安华金和）"/>
    <w:basedOn w:val="1"/>
    <w:next w:val="1"/>
    <w:autoRedefine/>
    <w:qFormat/>
    <w:uiPriority w:val="0"/>
    <w:pPr>
      <w:keepNext/>
      <w:keepLines/>
      <w:numPr>
        <w:ilvl w:val="5"/>
        <w:numId w:val="2"/>
      </w:numPr>
      <w:spacing w:before="240" w:after="64" w:line="319" w:lineRule="auto"/>
      <w:ind w:left="0"/>
      <w:jc w:val="left"/>
      <w:outlineLvl w:val="5"/>
    </w:pPr>
    <w:rPr>
      <w:rFonts w:ascii="Arial" w:hAnsi="Arial" w:eastAsia="黑体"/>
      <w:b/>
      <w:kern w:val="0"/>
    </w:rPr>
  </w:style>
  <w:style w:type="paragraph" w:customStyle="1" w:styleId="57">
    <w:name w:val="标题 4（DBSec）"/>
    <w:basedOn w:val="5"/>
    <w:next w:val="1"/>
    <w:autoRedefine/>
    <w:qFormat/>
    <w:uiPriority w:val="0"/>
    <w:pPr>
      <w:widowControl/>
      <w:numPr>
        <w:numId w:val="2"/>
      </w:numPr>
      <w:spacing w:after="156"/>
      <w:ind w:left="200" w:leftChars="200"/>
      <w:jc w:val="left"/>
    </w:pPr>
    <w:rPr>
      <w:rFonts w:ascii="Arial" w:hAnsi="Arial" w:eastAsia="黑体"/>
      <w:bCs w:val="0"/>
      <w:kern w:val="0"/>
    </w:rPr>
  </w:style>
  <w:style w:type="paragraph" w:customStyle="1" w:styleId="58">
    <w:name w:val="标题 3（DBSec）"/>
    <w:basedOn w:val="4"/>
    <w:next w:val="1"/>
    <w:autoRedefine/>
    <w:qFormat/>
    <w:uiPriority w:val="0"/>
    <w:pPr>
      <w:numPr>
        <w:ilvl w:val="2"/>
        <w:numId w:val="2"/>
      </w:numPr>
      <w:tabs>
        <w:tab w:val="left" w:pos="960"/>
      </w:tabs>
      <w:spacing w:line="415" w:lineRule="auto"/>
      <w:ind w:left="200" w:leftChars="200"/>
      <w:jc w:val="left"/>
    </w:pPr>
    <w:rPr>
      <w:rFonts w:ascii="Arial" w:hAnsi="Arial" w:eastAsia="黑体"/>
      <w:bCs w:val="0"/>
      <w:kern w:val="0"/>
    </w:rPr>
  </w:style>
  <w:style w:type="paragraph" w:customStyle="1" w:styleId="59">
    <w:name w:val="标题 1（DBSec）"/>
    <w:basedOn w:val="2"/>
    <w:next w:val="1"/>
    <w:autoRedefine/>
    <w:qFormat/>
    <w:uiPriority w:val="0"/>
    <w:pPr>
      <w:pageBreakBefore/>
      <w:numPr>
        <w:numId w:val="2"/>
      </w:numPr>
      <w:pBdr>
        <w:bottom w:val="single" w:color="auto" w:sz="48" w:space="1"/>
      </w:pBdr>
      <w:spacing w:before="600" w:line="576" w:lineRule="auto"/>
      <w:ind w:left="200" w:leftChars="200"/>
      <w:jc w:val="left"/>
    </w:pPr>
    <w:rPr>
      <w:rFonts w:ascii="Arial" w:hAnsi="Arial" w:eastAsia="黑体"/>
      <w:lang w:val="en-US"/>
    </w:rPr>
  </w:style>
  <w:style w:type="paragraph" w:customStyle="1" w:styleId="60">
    <w:name w:val="彩色列表 - 着色 11"/>
    <w:basedOn w:val="1"/>
    <w:autoRedefine/>
    <w:qFormat/>
    <w:uiPriority w:val="34"/>
    <w:pPr>
      <w:spacing w:line="360" w:lineRule="auto"/>
      <w:ind w:firstLine="420" w:firstLineChars="200"/>
    </w:pPr>
    <w:rPr>
      <w:rFonts w:ascii="Arial" w:hAnsi="Arial"/>
      <w:szCs w:val="21"/>
    </w:rPr>
  </w:style>
  <w:style w:type="paragraph" w:customStyle="1" w:styleId="61">
    <w:name w:val="表格标注（安华金和）"/>
    <w:basedOn w:val="51"/>
    <w:next w:val="1"/>
    <w:autoRedefine/>
    <w:qFormat/>
    <w:uiPriority w:val="0"/>
    <w:pPr>
      <w:numPr>
        <w:ilvl w:val="7"/>
      </w:numPr>
    </w:pPr>
  </w:style>
  <w:style w:type="paragraph" w:customStyle="1" w:styleId="62">
    <w:name w:val="标题 5（有编号）（安华金和）"/>
    <w:basedOn w:val="1"/>
    <w:next w:val="1"/>
    <w:autoRedefine/>
    <w:qFormat/>
    <w:uiPriority w:val="0"/>
    <w:pPr>
      <w:keepNext/>
      <w:keepLines/>
      <w:numPr>
        <w:ilvl w:val="4"/>
        <w:numId w:val="2"/>
      </w:numPr>
      <w:spacing w:before="280" w:after="156" w:line="377" w:lineRule="auto"/>
      <w:ind w:left="0"/>
      <w:jc w:val="left"/>
      <w:outlineLvl w:val="4"/>
    </w:pPr>
    <w:rPr>
      <w:rFonts w:ascii="Arial" w:hAnsi="Arial" w:eastAsia="黑体"/>
      <w:b/>
      <w:kern w:val="0"/>
      <w:sz w:val="24"/>
      <w:szCs w:val="28"/>
    </w:rPr>
  </w:style>
  <w:style w:type="paragraph" w:customStyle="1" w:styleId="63">
    <w:name w:val="List Paragraph11"/>
    <w:basedOn w:val="1"/>
    <w:next w:val="1"/>
    <w:autoRedefine/>
    <w:qFormat/>
    <w:uiPriority w:val="34"/>
    <w:pPr>
      <w:spacing w:line="360" w:lineRule="auto"/>
      <w:ind w:firstLine="420" w:firstLineChars="200"/>
    </w:pPr>
    <w:rPr>
      <w:rFonts w:ascii="Verdana" w:hAnsi="Verdana"/>
      <w:color w:val="000000"/>
      <w:sz w:val="20"/>
      <w:szCs w:val="20"/>
    </w:rPr>
  </w:style>
  <w:style w:type="character" w:customStyle="1" w:styleId="64">
    <w:name w:val="批注文字 字符"/>
    <w:autoRedefine/>
    <w:qFormat/>
    <w:uiPriority w:val="99"/>
    <w:rPr>
      <w:kern w:val="2"/>
      <w:sz w:val="21"/>
      <w:szCs w:val="24"/>
    </w:rPr>
  </w:style>
  <w:style w:type="character" w:customStyle="1" w:styleId="65">
    <w:name w:val="副标题 字符"/>
    <w:link w:val="18"/>
    <w:autoRedefine/>
    <w:qFormat/>
    <w:uiPriority w:val="0"/>
    <w:rPr>
      <w:rFonts w:ascii="Cambria" w:hAnsi="Cambria"/>
      <w:b/>
      <w:bCs/>
      <w:kern w:val="28"/>
      <w:sz w:val="32"/>
      <w:szCs w:val="32"/>
      <w:lang w:eastAsia="en-US"/>
    </w:rPr>
  </w:style>
  <w:style w:type="character" w:customStyle="1" w:styleId="66">
    <w:name w:val="正文文本 字符"/>
    <w:basedOn w:val="22"/>
    <w:autoRedefine/>
    <w:qFormat/>
    <w:uiPriority w:val="0"/>
    <w:rPr>
      <w:kern w:val="2"/>
      <w:sz w:val="21"/>
      <w:szCs w:val="24"/>
    </w:rPr>
  </w:style>
  <w:style w:type="character" w:customStyle="1" w:styleId="67">
    <w:name w:val="正文文本 字符1"/>
    <w:link w:val="13"/>
    <w:autoRedefine/>
    <w:qFormat/>
    <w:uiPriority w:val="0"/>
    <w:rPr>
      <w:rFonts w:ascii="Calibri" w:hAnsi="Calibri"/>
      <w:kern w:val="2"/>
      <w:sz w:val="28"/>
      <w:szCs w:val="24"/>
    </w:rPr>
  </w:style>
  <w:style w:type="paragraph" w:customStyle="1" w:styleId="68">
    <w:name w:val="列表段落2"/>
    <w:basedOn w:val="1"/>
    <w:autoRedefine/>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701</Words>
  <Characters>3999</Characters>
  <Lines>33</Lines>
  <Paragraphs>9</Paragraphs>
  <TotalTime>3</TotalTime>
  <ScaleCrop>false</ScaleCrop>
  <LinksUpToDate>false</LinksUpToDate>
  <CharactersWithSpaces>4691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2024-01-22T09:04:00Z</dcterms:created>
  <dc:creator>陈永辉</dc:creator>
  <cp:lastModifiedBy>刘亮</cp:lastModifiedBy>
  <dcterms:modified xsi:type="dcterms:W3CDTF">2024-02-01T01:19:57Z</dcterms:modified>
  <dc:title>1</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D28FE591959243158FF143EF126B3D63_13</vt:lpwstr>
  </property>
</Properties>
</file>