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pacing w:val="-12"/>
          <w:sz w:val="44"/>
          <w:szCs w:val="44"/>
          <w:lang w:val="en-US" w:eastAsia="zh-CN"/>
        </w:rPr>
      </w:pPr>
      <w:r>
        <w:rPr>
          <w:rFonts w:ascii="宋体" w:hAnsi="宋体" w:eastAsia="宋体" w:cs="宋体"/>
          <w:b/>
          <w:bCs/>
          <w:spacing w:val="-12"/>
          <w:sz w:val="44"/>
          <w:szCs w:val="44"/>
        </w:rPr>
        <w:t>广东省人民医院</w:t>
      </w:r>
      <w:r>
        <w:rPr>
          <w:rFonts w:hint="eastAsia" w:ascii="宋体" w:hAnsi="宋体" w:eastAsia="宋体" w:cs="宋体"/>
          <w:b/>
          <w:bCs/>
          <w:spacing w:val="-12"/>
          <w:sz w:val="44"/>
          <w:szCs w:val="44"/>
          <w:lang w:eastAsia="zh-CN"/>
        </w:rPr>
        <w:t>桶装饮用</w:t>
      </w:r>
      <w:r>
        <w:rPr>
          <w:rFonts w:hint="eastAsia" w:ascii="宋体" w:hAnsi="宋体" w:eastAsia="宋体" w:cs="宋体"/>
          <w:b/>
          <w:bCs/>
          <w:spacing w:val="-12"/>
          <w:sz w:val="44"/>
          <w:szCs w:val="44"/>
        </w:rPr>
        <w:t>天然</w:t>
      </w:r>
      <w:r>
        <w:rPr>
          <w:rFonts w:hint="eastAsia" w:ascii="宋体" w:hAnsi="宋体" w:eastAsia="宋体" w:cs="宋体"/>
          <w:b/>
          <w:bCs/>
          <w:spacing w:val="-12"/>
          <w:sz w:val="44"/>
          <w:szCs w:val="44"/>
          <w:lang w:val="en-US" w:eastAsia="zh-CN"/>
        </w:rPr>
        <w:t>山（矿）泉水</w:t>
      </w:r>
    </w:p>
    <w:p>
      <w:pPr>
        <w:jc w:val="center"/>
        <w:rPr>
          <w:rFonts w:hint="default" w:ascii="宋体" w:hAnsi="宋体" w:eastAsia="宋体" w:cs="宋体"/>
          <w:b/>
          <w:bCs/>
          <w:spacing w:val="-12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-12"/>
          <w:sz w:val="44"/>
          <w:szCs w:val="44"/>
          <w:lang w:val="en-US" w:eastAsia="zh-CN"/>
        </w:rPr>
        <w:t>供应</w:t>
      </w:r>
      <w:r>
        <w:rPr>
          <w:rFonts w:hint="eastAsia" w:ascii="宋体" w:hAnsi="宋体" w:eastAsia="宋体" w:cs="宋体"/>
          <w:b/>
          <w:bCs/>
          <w:spacing w:val="-12"/>
          <w:sz w:val="44"/>
          <w:szCs w:val="44"/>
        </w:rPr>
        <w:t>服务</w:t>
      </w:r>
      <w:r>
        <w:rPr>
          <w:rFonts w:hint="eastAsia" w:ascii="宋体" w:hAnsi="宋体" w:eastAsia="宋体" w:cs="宋体"/>
          <w:b/>
          <w:bCs/>
          <w:spacing w:val="-12"/>
          <w:sz w:val="44"/>
          <w:szCs w:val="44"/>
          <w:lang w:val="en-US" w:eastAsia="zh-CN"/>
        </w:rPr>
        <w:t>采购</w:t>
      </w:r>
      <w:r>
        <w:rPr>
          <w:rFonts w:ascii="宋体" w:hAnsi="宋体" w:eastAsia="宋体" w:cs="宋体"/>
          <w:b/>
          <w:bCs/>
          <w:spacing w:val="-12"/>
          <w:sz w:val="44"/>
          <w:szCs w:val="44"/>
        </w:rPr>
        <w:t>合同</w:t>
      </w:r>
      <w:r>
        <w:rPr>
          <w:rFonts w:hint="eastAsia" w:ascii="宋体" w:hAnsi="宋体" w:eastAsia="宋体" w:cs="宋体"/>
          <w:b/>
          <w:bCs/>
          <w:spacing w:val="-12"/>
          <w:sz w:val="44"/>
          <w:szCs w:val="44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spacing w:val="-12"/>
          <w:sz w:val="44"/>
          <w:szCs w:val="44"/>
          <w:lang w:val="en-US" w:eastAsia="zh-CN"/>
        </w:rPr>
        <w:t>模版）</w:t>
      </w:r>
    </w:p>
    <w:p>
      <w:pPr>
        <w:spacing w:line="240" w:lineRule="auto"/>
        <w:rPr>
          <w:rFonts w:ascii="宋体" w:hAnsi="宋体" w:eastAsia="宋体" w:cs="宋体"/>
          <w:b/>
          <w:bCs/>
          <w:spacing w:val="-12"/>
          <w:sz w:val="28"/>
          <w:szCs w:val="28"/>
        </w:rPr>
      </w:pPr>
    </w:p>
    <w:p>
      <w:pPr>
        <w:bidi w:val="0"/>
        <w:spacing w:line="240" w:lineRule="auto"/>
        <w:rPr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甲方（</w:t>
      </w:r>
      <w:r>
        <w:rPr>
          <w:sz w:val="28"/>
          <w:szCs w:val="28"/>
        </w:rPr>
        <w:t>甲方）：</w:t>
      </w:r>
      <w:r>
        <w:rPr>
          <w:sz w:val="28"/>
          <w:szCs w:val="28"/>
          <w:u w:val="single"/>
        </w:rPr>
        <w:t>广东省人民医院</w:t>
      </w:r>
    </w:p>
    <w:p>
      <w:pPr>
        <w:bidi w:val="0"/>
        <w:spacing w:line="240" w:lineRule="auto"/>
        <w:rPr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乙方</w:t>
      </w:r>
      <w:r>
        <w:rPr>
          <w:sz w:val="28"/>
          <w:szCs w:val="28"/>
        </w:rPr>
        <w:t>（乙方）：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</w:rPr>
        <w:t>公司</w:t>
      </w:r>
    </w:p>
    <w:p>
      <w:pPr>
        <w:bidi w:val="0"/>
        <w:spacing w:line="240" w:lineRule="auto"/>
        <w:rPr>
          <w:color w:val="auto"/>
          <w:sz w:val="28"/>
          <w:szCs w:val="28"/>
        </w:rPr>
      </w:pPr>
    </w:p>
    <w:p>
      <w:pPr>
        <w:bidi w:val="0"/>
        <w:spacing w:line="240" w:lineRule="auto"/>
        <w:ind w:firstLine="560" w:firstLineChars="20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依照《中华人民共和国民法典》及其他有关法律法规，遵循平等自愿公平和诚实信用的原 则，双方就本饮水设备租赁、安装有关事项协商达成一致意见，签订本合同书。</w:t>
      </w:r>
    </w:p>
    <w:p>
      <w:pPr>
        <w:bidi w:val="0"/>
        <w:spacing w:line="240" w:lineRule="auto"/>
        <w:rPr>
          <w:color w:val="auto"/>
          <w:sz w:val="28"/>
          <w:szCs w:val="28"/>
        </w:rPr>
      </w:pPr>
      <w:r>
        <w:rPr>
          <w:rFonts w:hint="eastAsia" w:asciiTheme="minorEastAsia" w:hAnsiTheme="minorEastAsia" w:cstheme="minorEastAsia"/>
          <w:b/>
          <w:bCs/>
          <w:color w:val="auto"/>
          <w:sz w:val="28"/>
          <w:szCs w:val="28"/>
          <w:lang w:val="en-US" w:eastAsia="zh-CN"/>
        </w:rPr>
        <w:t>一、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  <w:lang w:val="en-US" w:eastAsia="zh-CN"/>
        </w:rPr>
        <w:t>合同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</w:rPr>
        <w:t>名称及地点</w:t>
      </w:r>
    </w:p>
    <w:p>
      <w:pPr>
        <w:bidi w:val="0"/>
        <w:spacing w:line="240" w:lineRule="auto"/>
        <w:ind w:firstLine="560" w:firstLineChars="200"/>
        <w:rPr>
          <w:strike w:val="0"/>
          <w:dstrike w:val="0"/>
          <w:color w:val="auto"/>
          <w:sz w:val="28"/>
          <w:szCs w:val="28"/>
          <w:highlight w:val="none"/>
          <w:u w:val="single"/>
        </w:rPr>
      </w:pPr>
      <w:r>
        <w:rPr>
          <w:rFonts w:hint="eastAsia"/>
          <w:strike w:val="0"/>
          <w:dstrike w:val="0"/>
          <w:color w:val="auto"/>
          <w:sz w:val="28"/>
          <w:szCs w:val="28"/>
          <w:highlight w:val="none"/>
          <w:u w:val="none"/>
          <w:lang w:val="en-US" w:eastAsia="zh-CN"/>
        </w:rPr>
        <w:t>合同</w:t>
      </w:r>
      <w:r>
        <w:rPr>
          <w:strike w:val="0"/>
          <w:dstrike w:val="0"/>
          <w:color w:val="auto"/>
          <w:sz w:val="28"/>
          <w:szCs w:val="28"/>
          <w:highlight w:val="none"/>
          <w:u w:val="none"/>
        </w:rPr>
        <w:t>名称</w:t>
      </w:r>
      <w:r>
        <w:rPr>
          <w:rFonts w:hint="eastAsia"/>
          <w:strike w:val="0"/>
          <w:dstrike w:val="0"/>
          <w:color w:val="auto"/>
          <w:sz w:val="28"/>
          <w:szCs w:val="28"/>
          <w:highlight w:val="none"/>
          <w:u w:val="none"/>
          <w:lang w:eastAsia="zh-CN"/>
        </w:rPr>
        <w:t>：</w:t>
      </w:r>
      <w:r>
        <w:rPr>
          <w:strike w:val="0"/>
          <w:dstrike w:val="0"/>
          <w:color w:val="auto"/>
          <w:sz w:val="28"/>
          <w:szCs w:val="28"/>
          <w:highlight w:val="none"/>
          <w:u w:val="single"/>
        </w:rPr>
        <w:t>医院</w:t>
      </w:r>
      <w:r>
        <w:rPr>
          <w:rFonts w:hint="eastAsia"/>
          <w:strike w:val="0"/>
          <w:dstrike w:val="0"/>
          <w:color w:val="auto"/>
          <w:sz w:val="28"/>
          <w:szCs w:val="28"/>
          <w:highlight w:val="none"/>
          <w:u w:val="single"/>
          <w:lang w:val="en-US" w:eastAsia="zh-CN"/>
        </w:rPr>
        <w:t>桶装饮用山（矿）泉水供应服务</w:t>
      </w:r>
      <w:r>
        <w:rPr>
          <w:strike w:val="0"/>
          <w:dstrike w:val="0"/>
          <w:color w:val="auto"/>
          <w:sz w:val="28"/>
          <w:szCs w:val="28"/>
          <w:highlight w:val="none"/>
          <w:u w:val="single"/>
        </w:rPr>
        <w:t>采购</w:t>
      </w:r>
    </w:p>
    <w:p>
      <w:pPr>
        <w:bidi w:val="0"/>
        <w:spacing w:line="240" w:lineRule="auto"/>
        <w:ind w:firstLine="560" w:firstLineChars="200"/>
        <w:rPr>
          <w:color w:val="auto"/>
          <w:sz w:val="28"/>
          <w:szCs w:val="28"/>
          <w:highlight w:val="yellow"/>
        </w:rPr>
      </w:pPr>
      <w:r>
        <w:rPr>
          <w:rFonts w:hint="eastAsia"/>
          <w:color w:val="auto"/>
          <w:sz w:val="28"/>
          <w:szCs w:val="28"/>
          <w:highlight w:val="none"/>
          <w:lang w:val="en-US" w:eastAsia="zh-CN"/>
        </w:rPr>
        <w:t>服务</w:t>
      </w:r>
      <w:r>
        <w:rPr>
          <w:color w:val="auto"/>
          <w:sz w:val="28"/>
          <w:szCs w:val="28"/>
          <w:highlight w:val="none"/>
        </w:rPr>
        <w:t>地点：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u w:val="single"/>
        </w:rPr>
        <w:t>广东省人民医院院区内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u w:val="single"/>
          <w:lang w:val="en-US" w:eastAsia="zh-CN"/>
        </w:rPr>
        <w:t>外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u w:val="single"/>
        </w:rPr>
        <w:t>（包含了东川路院本部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u w:val="single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u w:val="single"/>
        </w:rPr>
        <w:t>惠福分院、平洲分院、合群门诊、海印100、广湾18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u w:val="single"/>
          <w:lang w:val="en-US" w:eastAsia="zh-CN"/>
        </w:rPr>
        <w:t>商务港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u w:val="single"/>
        </w:rPr>
        <w:t>、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u w:val="single"/>
          <w:lang w:val="en-US" w:eastAsia="zh-CN"/>
        </w:rPr>
        <w:t>白云路34号、口腔中心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u w:val="single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u w:val="single"/>
          <w:lang w:val="en-US" w:eastAsia="zh-CN"/>
        </w:rPr>
        <w:t>东川一街10号越秀大院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u w:val="single"/>
        </w:rPr>
        <w:t>等场地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u w:val="single"/>
          <w:lang w:val="en-US" w:eastAsia="zh-CN"/>
        </w:rPr>
        <w:t>及租赁物业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u w:val="single"/>
        </w:rPr>
        <w:t>）人员饮用水。</w:t>
      </w:r>
    </w:p>
    <w:p>
      <w:pPr>
        <w:widowControl/>
        <w:spacing w:after="5" w:line="240" w:lineRule="auto"/>
        <w:jc w:val="left"/>
        <w:rPr>
          <w:rFonts w:hint="eastAsia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/>
          <w:b/>
          <w:bCs/>
          <w:color w:val="auto"/>
          <w:sz w:val="28"/>
          <w:szCs w:val="28"/>
          <w:lang w:val="en-US" w:eastAsia="zh-CN"/>
        </w:rPr>
        <w:t>二、</w:t>
      </w:r>
      <w:r>
        <w:rPr>
          <w:b/>
          <w:bCs/>
          <w:color w:val="auto"/>
          <w:sz w:val="28"/>
          <w:szCs w:val="28"/>
        </w:rPr>
        <w:t>合同</w:t>
      </w:r>
      <w:r>
        <w:rPr>
          <w:rFonts w:hint="eastAsia"/>
          <w:b/>
          <w:bCs/>
          <w:color w:val="auto"/>
          <w:sz w:val="28"/>
          <w:szCs w:val="28"/>
          <w:lang w:val="en-US" w:eastAsia="zh-CN"/>
        </w:rPr>
        <w:t>内容及服务</w:t>
      </w:r>
    </w:p>
    <w:p>
      <w:pPr>
        <w:widowControl/>
        <w:spacing w:after="5" w:line="240" w:lineRule="auto"/>
        <w:ind w:firstLine="560" w:firstLineChars="200"/>
        <w:jc w:val="left"/>
        <w:rPr>
          <w:rFonts w:hint="default"/>
          <w:color w:val="auto"/>
          <w:sz w:val="28"/>
          <w:szCs w:val="28"/>
          <w:lang w:val="en-US" w:eastAsia="zh-CN"/>
        </w:rPr>
      </w:pPr>
      <w:r>
        <w:rPr>
          <w:rFonts w:hint="eastAsia"/>
          <w:color w:val="auto"/>
          <w:sz w:val="28"/>
          <w:szCs w:val="28"/>
          <w:lang w:val="en-US" w:eastAsia="zh-CN"/>
        </w:rPr>
        <w:t>1、合同内容</w:t>
      </w:r>
    </w:p>
    <w:tbl>
      <w:tblPr>
        <w:tblStyle w:val="6"/>
        <w:tblW w:w="95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99"/>
        <w:gridCol w:w="1223"/>
        <w:gridCol w:w="1327"/>
        <w:gridCol w:w="1650"/>
        <w:gridCol w:w="22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309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 w:val="0"/>
                <w:sz w:val="24"/>
                <w:szCs w:val="24"/>
                <w:lang w:val="en-US" w:eastAsia="zh-CN"/>
              </w:rPr>
              <w:t>供货产品</w:t>
            </w:r>
            <w:r>
              <w:rPr>
                <w:rFonts w:hint="eastAsia" w:ascii="宋体" w:hAnsi="宋体"/>
                <w:b/>
                <w:bCs w:val="0"/>
                <w:sz w:val="24"/>
                <w:szCs w:val="24"/>
              </w:rPr>
              <w:t>名称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 w:val="0"/>
                <w:sz w:val="24"/>
                <w:szCs w:val="24"/>
                <w:lang w:val="en-US" w:eastAsia="zh-CN"/>
              </w:rPr>
              <w:t>规格</w:t>
            </w:r>
          </w:p>
        </w:tc>
        <w:tc>
          <w:tcPr>
            <w:tcW w:w="1327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 w:val="0"/>
                <w:sz w:val="24"/>
                <w:szCs w:val="24"/>
                <w:lang w:val="en-US" w:eastAsia="zh-CN"/>
              </w:rPr>
              <w:t>年数量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 w:val="0"/>
                <w:sz w:val="24"/>
                <w:szCs w:val="24"/>
              </w:rPr>
              <w:t>产地</w:t>
            </w:r>
            <w:r>
              <w:rPr>
                <w:rFonts w:hint="eastAsia" w:ascii="宋体" w:hAnsi="宋体"/>
                <w:b/>
                <w:bCs w:val="0"/>
                <w:sz w:val="24"/>
                <w:szCs w:val="24"/>
                <w:lang w:val="en-US" w:eastAsia="zh-CN"/>
              </w:rPr>
              <w:t>及</w:t>
            </w:r>
            <w:r>
              <w:rPr>
                <w:rFonts w:hint="eastAsia" w:ascii="宋体" w:hAnsi="宋体"/>
                <w:b/>
                <w:bCs w:val="0"/>
                <w:sz w:val="24"/>
                <w:szCs w:val="24"/>
              </w:rPr>
              <w:t>品牌</w:t>
            </w:r>
          </w:p>
        </w:tc>
        <w:tc>
          <w:tcPr>
            <w:tcW w:w="227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 w:val="0"/>
                <w:sz w:val="24"/>
                <w:szCs w:val="24"/>
              </w:rPr>
              <w:t>单</w:t>
            </w:r>
            <w:r>
              <w:rPr>
                <w:rFonts w:hint="eastAsia" w:ascii="宋体" w:hAnsi="宋体"/>
                <w:b/>
                <w:bCs w:val="0"/>
                <w:sz w:val="24"/>
                <w:szCs w:val="24"/>
                <w:lang w:val="en-US" w:eastAsia="zh-CN"/>
              </w:rPr>
              <w:t>桶</w:t>
            </w:r>
            <w:r>
              <w:rPr>
                <w:rFonts w:hint="eastAsia" w:ascii="宋体" w:hAnsi="宋体"/>
                <w:b/>
                <w:bCs w:val="0"/>
                <w:sz w:val="24"/>
                <w:szCs w:val="24"/>
              </w:rPr>
              <w:t>报价</w:t>
            </w: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</w:rPr>
              <w:t>（元/桶）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  <w:jc w:val="center"/>
        </w:trPr>
        <w:tc>
          <w:tcPr>
            <w:tcW w:w="3099" w:type="dxa"/>
            <w:noWrap w:val="0"/>
            <w:vAlign w:val="center"/>
          </w:tcPr>
          <w:p>
            <w:pPr>
              <w:jc w:val="both"/>
              <w:rPr>
                <w:rFonts w:ascii="宋体" w:hAnsi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桶装饮用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天然山（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矿）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泉水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jc w:val="both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18.9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L/桶</w:t>
            </w:r>
          </w:p>
        </w:tc>
        <w:tc>
          <w:tcPr>
            <w:tcW w:w="1327" w:type="dxa"/>
            <w:noWrap w:val="0"/>
            <w:vAlign w:val="center"/>
          </w:tcPr>
          <w:p>
            <w:pPr>
              <w:jc w:val="both"/>
              <w:rPr>
                <w:rFonts w:hint="default" w:ascii="宋体" w:hAnsi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15万桶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jc w:val="both"/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79" w:type="dxa"/>
            <w:noWrap w:val="0"/>
            <w:vAlign w:val="center"/>
          </w:tcPr>
          <w:p>
            <w:pPr>
              <w:jc w:val="both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</w:tbl>
    <w:p>
      <w:pPr>
        <w:numPr>
          <w:ilvl w:val="0"/>
          <w:numId w:val="0"/>
        </w:numPr>
        <w:ind w:firstLine="422" w:firstLineChars="200"/>
        <w:jc w:val="left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cs="宋体"/>
          <w:b/>
          <w:szCs w:val="22"/>
          <w:lang w:val="en-US" w:eastAsia="zh-CN"/>
        </w:rPr>
        <w:t>注</w:t>
      </w:r>
      <w:r>
        <w:rPr>
          <w:rFonts w:hint="eastAsia" w:ascii="宋体" w:hAnsi="宋体" w:cs="宋体"/>
          <w:b/>
          <w:szCs w:val="22"/>
          <w:lang w:eastAsia="zh-CN"/>
        </w:rPr>
        <w:t>：</w:t>
      </w:r>
      <w:r>
        <w:rPr>
          <w:rFonts w:hint="eastAsia" w:ascii="宋体" w:hAnsi="宋体" w:cs="宋体"/>
          <w:b w:val="0"/>
          <w:bCs/>
          <w:szCs w:val="22"/>
          <w:lang w:eastAsia="zh-CN"/>
        </w:rPr>
        <w:t>（</w:t>
      </w:r>
      <w:r>
        <w:rPr>
          <w:rFonts w:hint="eastAsia" w:ascii="宋体" w:hAnsi="宋体" w:cs="宋体"/>
          <w:b w:val="0"/>
          <w:bCs/>
          <w:szCs w:val="22"/>
          <w:lang w:val="en-US" w:eastAsia="zh-CN"/>
        </w:rPr>
        <w:t>1</w:t>
      </w:r>
      <w:r>
        <w:rPr>
          <w:rFonts w:hint="eastAsia" w:ascii="宋体" w:hAnsi="宋体" w:cs="宋体"/>
          <w:b w:val="0"/>
          <w:bCs/>
          <w:szCs w:val="22"/>
          <w:lang w:eastAsia="zh-CN"/>
        </w:rPr>
        <w:t>）</w:t>
      </w:r>
      <w:r>
        <w:rPr>
          <w:rFonts w:hint="eastAsia" w:ascii="宋体" w:hAnsi="宋体" w:cs="宋体"/>
          <w:szCs w:val="22"/>
        </w:rPr>
        <w:t>桶装水产品说明：</w:t>
      </w:r>
      <w:r>
        <w:rPr>
          <w:rFonts w:hint="eastAsia" w:ascii="宋体" w:hAnsi="宋体" w:eastAsia="宋体" w:cs="宋体"/>
          <w:b/>
          <w:bCs/>
          <w:color w:val="auto"/>
          <w:szCs w:val="22"/>
        </w:rPr>
        <w:t>产品特征性</w:t>
      </w:r>
      <w:r>
        <w:rPr>
          <w:rFonts w:hint="eastAsia" w:ascii="宋体" w:hAnsi="宋体" w:cs="宋体"/>
          <w:b/>
          <w:bCs/>
          <w:color w:val="auto"/>
          <w:szCs w:val="22"/>
        </w:rPr>
        <w:t>指标必须包含偏硅酸（H2SiO3）含量指标</w:t>
      </w:r>
      <w:r>
        <w:rPr>
          <w:rFonts w:hint="eastAsia" w:ascii="宋体" w:hAnsi="宋体" w:cs="宋体"/>
          <w:color w:val="auto"/>
          <w:szCs w:val="22"/>
        </w:rPr>
        <w:t>。</w:t>
      </w:r>
      <w:r>
        <w:rPr>
          <w:rFonts w:ascii="宋体" w:hAnsi="宋体" w:eastAsia="宋体" w:cs="宋体"/>
          <w:sz w:val="21"/>
          <w:szCs w:val="21"/>
        </w:rPr>
        <w:t>符合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：</w:t>
      </w:r>
      <w:r>
        <w:rPr>
          <w:rFonts w:ascii="宋体" w:hAnsi="宋体" w:eastAsia="宋体" w:cs="宋体"/>
          <w:sz w:val="21"/>
          <w:szCs w:val="21"/>
        </w:rPr>
        <w:t>广东省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食品安全地方标准-</w:t>
      </w:r>
      <w:r>
        <w:rPr>
          <w:rFonts w:ascii="宋体" w:hAnsi="宋体" w:eastAsia="宋体" w:cs="宋体"/>
          <w:sz w:val="21"/>
          <w:szCs w:val="21"/>
        </w:rPr>
        <w:t>饮用天然山泉水（DBS44/001-2011）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或中华人民共和国国家标准-食品安全国家标准饮用</w:t>
      </w:r>
      <w:r>
        <w:rPr>
          <w:rFonts w:ascii="宋体" w:hAnsi="宋体" w:eastAsia="宋体" w:cs="宋体"/>
          <w:sz w:val="21"/>
          <w:szCs w:val="21"/>
        </w:rPr>
        <w:t>天然矿泉水（GB8537-20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</w:t>
      </w:r>
      <w:r>
        <w:rPr>
          <w:rFonts w:ascii="宋体" w:hAnsi="宋体" w:eastAsia="宋体" w:cs="宋体"/>
          <w:sz w:val="21"/>
          <w:szCs w:val="21"/>
        </w:rPr>
        <w:t>8）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；</w:t>
      </w:r>
    </w:p>
    <w:p>
      <w:pPr>
        <w:numPr>
          <w:ilvl w:val="0"/>
          <w:numId w:val="0"/>
        </w:numPr>
        <w:ind w:firstLine="630" w:firstLineChars="300"/>
        <w:jc w:val="left"/>
        <w:rPr>
          <w:rFonts w:hint="eastAsia" w:eastAsia="宋体" w:cs="Times New Roman"/>
          <w:sz w:val="21"/>
          <w:szCs w:val="21"/>
          <w:lang w:val="en-US" w:eastAsia="zh-CN"/>
        </w:rPr>
      </w:pPr>
      <w:r>
        <w:rPr>
          <w:rFonts w:hint="eastAsia" w:ascii="宋体" w:hAnsi="宋体" w:cs="宋体"/>
          <w:szCs w:val="22"/>
          <w:lang w:val="en-US" w:eastAsia="zh-CN"/>
        </w:rPr>
        <w:t>（2）</w:t>
      </w:r>
      <w:r>
        <w:rPr>
          <w:rFonts w:hint="eastAsia" w:eastAsia="宋体" w:cs="Times New Roman"/>
          <w:sz w:val="21"/>
          <w:szCs w:val="21"/>
          <w:lang w:val="en-US" w:eastAsia="zh-CN"/>
        </w:rPr>
        <w:t>以上报价已含税收、车辆使用、运输费、清洗费、加班费、保险费等一切费用；</w:t>
      </w:r>
    </w:p>
    <w:p>
      <w:pPr>
        <w:tabs>
          <w:tab w:val="left" w:pos="3060"/>
        </w:tabs>
        <w:spacing w:line="240" w:lineRule="auto"/>
        <w:ind w:firstLine="840" w:firstLineChars="300"/>
        <w:jc w:val="left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>2、合同设备维护，包括及不限于服务期间提供桶装水机免费的定期消毒、维修、换机或新增等。</w:t>
      </w:r>
    </w:p>
    <w:p>
      <w:pPr>
        <w:spacing w:line="240" w:lineRule="auto"/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  <w:lang w:val="en-US" w:eastAsia="zh-CN"/>
        </w:rPr>
        <w:t>三、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</w:rPr>
        <w:t>合同期限</w:t>
      </w:r>
    </w:p>
    <w:p>
      <w:pPr>
        <w:tabs>
          <w:tab w:val="left" w:pos="3060"/>
        </w:tabs>
        <w:spacing w:line="240" w:lineRule="auto"/>
        <w:ind w:firstLine="560" w:firstLineChars="200"/>
        <w:jc w:val="left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合同期限：【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>两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】年，自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u w:val="single"/>
          <w:lang w:val="en-US" w:eastAsia="zh-CN"/>
        </w:rPr>
        <w:t>2024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>年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>月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>日至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u w:val="single"/>
          <w:lang w:val="en-US" w:eastAsia="zh-CN"/>
        </w:rPr>
        <w:t xml:space="preserve"> 2026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>年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>月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>日。合同结算总金额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lang w:val="en-US" w:eastAsia="zh-CN"/>
        </w:rPr>
        <w:t>小于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u w:val="singl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</w:rPr>
        <w:t>万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lang w:val="en-US" w:eastAsia="zh-CN"/>
        </w:rPr>
        <w:t>或1年期任一条件达到，合同终止。</w:t>
      </w:r>
    </w:p>
    <w:p>
      <w:pPr>
        <w:tabs>
          <w:tab w:val="left" w:pos="3060"/>
        </w:tabs>
        <w:spacing w:line="240" w:lineRule="auto"/>
        <w:ind w:firstLine="560" w:firstLineChars="200"/>
        <w:jc w:val="left"/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特别说明：如本协议已超期限且甲方未确定新的委托单位情况下，乙方应按本合同的有关规定，为甲方</w:t>
      </w:r>
      <w:r>
        <w:rPr>
          <w:rFonts w:hint="eastAsia" w:asciiTheme="minorEastAsia" w:hAnsiTheme="minorEastAsia" w:cstheme="minorEastAsia"/>
          <w:color w:val="auto"/>
          <w:sz w:val="28"/>
          <w:szCs w:val="28"/>
          <w:lang w:val="en-US" w:eastAsia="zh-CN"/>
        </w:rPr>
        <w:t>提供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eastAsia="zh-CN"/>
        </w:rPr>
        <w:t>桶装饮用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天然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>山（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矿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泉水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>供应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服务，在此期间的有关费用及服务承诺仍按本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>合同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执行。</w:t>
      </w:r>
    </w:p>
    <w:p>
      <w:pPr>
        <w:tabs>
          <w:tab w:val="left" w:pos="3060"/>
        </w:tabs>
        <w:spacing w:line="240" w:lineRule="auto"/>
        <w:jc w:val="left"/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  <w:lang w:val="en-US" w:eastAsia="zh-CN"/>
        </w:rPr>
        <w:t>四、合同费用及支付方式</w:t>
      </w:r>
    </w:p>
    <w:p>
      <w:pPr>
        <w:tabs>
          <w:tab w:val="left" w:pos="3060"/>
        </w:tabs>
        <w:spacing w:line="240" w:lineRule="auto"/>
        <w:ind w:firstLine="560" w:firstLineChars="200"/>
        <w:jc w:val="left"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>（一）合同费用：两年期合同总价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>元（大写：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>元整），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规格：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18.9升/桶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，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乙方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>向甲方供应桶装饮用天然山（矿）泉水符合广东省食品安全地方标准-饮用天然山泉水（DBS44/001-2011）或中华人民共和国国家标准-食品安全国家标准饮用天然矿泉水（GB8537-2018），若国家颁发了最新标准，则立即参照最新标准执行，并按约定每季度向甲方提供第三方水质检验报告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6" w:line="240" w:lineRule="auto"/>
        <w:ind w:firstLine="56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val="en-US" w:eastAsia="zh-CN"/>
        </w:rPr>
        <w:t>（二）支付方式：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按月度进行结算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支付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，乙方应按甲方的要求、规范,做好供货的月度统计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报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表，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并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及时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提交给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甲方办理结算、付款等申报工作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办理付款程序如下：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6" w:line="240" w:lineRule="auto"/>
        <w:ind w:firstLine="56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1、每月结算一次，以上个月交货数量×单价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进行上个月货款结算。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6" w:line="240" w:lineRule="auto"/>
        <w:ind w:firstLine="56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2、由甲方组成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桶装水供应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服务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监管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部门，每月对服务质量进行考评，医院根据公司当月服务质量考评结果进行扣罚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金额直接在结算额中扣减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（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详见附件《桶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装水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供应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服务质量考评表》）。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6" w:line="240" w:lineRule="auto"/>
        <w:ind w:firstLine="56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3、乙方应按甲方的要求,做好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桶装水供应服务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月度统计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数据确认工作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，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作为附件资料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及时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提交给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甲方办理结算、付款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甲方收到有效等额发票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和资料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后，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一般情况下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可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在30个工作日以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转账方式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支付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货款给乙方。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结算附件资料包括及不限于：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 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6" w:line="240" w:lineRule="auto"/>
        <w:ind w:firstLine="56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3.1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乙方开具的正式发票；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6" w:line="240" w:lineRule="auto"/>
        <w:ind w:firstLine="56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3.2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乙方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需向甲方提供最近3个月内的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市级或以上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第三方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检测机构出具的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供货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产品质量合格检验报告及生产商每批次自检报告，防止劣质桶装水进入院区； </w:t>
      </w:r>
    </w:p>
    <w:p>
      <w:pPr>
        <w:tabs>
          <w:tab w:val="left" w:pos="3060"/>
        </w:tabs>
        <w:spacing w:line="240" w:lineRule="auto"/>
        <w:ind w:firstLine="560" w:firstLineChars="200"/>
        <w:jc w:val="left"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3.3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结算清单及科室确认（签名）联单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（含Excl数据及PDF版）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。</w:t>
      </w:r>
    </w:p>
    <w:p>
      <w:pPr>
        <w:tabs>
          <w:tab w:val="left" w:pos="3060"/>
        </w:tabs>
        <w:spacing w:line="240" w:lineRule="auto"/>
        <w:jc w:val="left"/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  <w:lang w:val="en-US" w:eastAsia="zh-CN"/>
        </w:rPr>
        <w:t>五、权利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  <w:highlight w:val="none"/>
          <w:lang w:val="en-US" w:eastAsia="zh-CN"/>
        </w:rPr>
        <w:t>与义务</w:t>
      </w:r>
    </w:p>
    <w:p>
      <w:pPr>
        <w:tabs>
          <w:tab w:val="left" w:pos="3060"/>
        </w:tabs>
        <w:spacing w:line="240" w:lineRule="auto"/>
        <w:ind w:firstLine="560" w:firstLineChars="200"/>
        <w:jc w:val="left"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>一）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eastAsia="zh-CN"/>
        </w:rPr>
        <w:t>甲方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>权利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lang w:val="en-US" w:eastAsia="zh-CN"/>
        </w:rPr>
        <w:t>与义务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</w:rPr>
        <w:t>：</w:t>
      </w:r>
    </w:p>
    <w:p>
      <w:pPr>
        <w:tabs>
          <w:tab w:val="left" w:pos="3060"/>
        </w:tabs>
        <w:spacing w:line="240" w:lineRule="auto"/>
        <w:ind w:firstLine="560" w:firstLineChars="200"/>
        <w:jc w:val="left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1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按合同的约定拥有设备使用权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>；</w:t>
      </w:r>
    </w:p>
    <w:p>
      <w:pPr>
        <w:tabs>
          <w:tab w:val="left" w:pos="3060"/>
        </w:tabs>
        <w:spacing w:line="240" w:lineRule="auto"/>
        <w:ind w:firstLine="560" w:firstLineChars="200"/>
        <w:jc w:val="left"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2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</w:rPr>
        <w:t>按</w:t>
      </w:r>
      <w:r>
        <w:rPr>
          <w:rFonts w:hint="eastAsia" w:asciiTheme="minorEastAsia" w:hAnsiTheme="minorEastAsia" w:cstheme="minorEastAsia"/>
          <w:color w:val="auto"/>
          <w:sz w:val="28"/>
          <w:szCs w:val="28"/>
          <w:highlight w:val="none"/>
          <w:lang w:val="en-US" w:eastAsia="zh-CN"/>
        </w:rPr>
        <w:t>双方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</w:rPr>
        <w:t>约定的范围内合理使用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lang w:val="en-US" w:eastAsia="zh-CN"/>
        </w:rPr>
        <w:t>饮水机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</w:rPr>
        <w:t>，如饮水机设备遭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lang w:val="en-US" w:eastAsia="zh-CN"/>
        </w:rPr>
        <w:t>丢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</w:rPr>
        <w:t>失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lang w:val="en-US" w:eastAsia="zh-CN"/>
        </w:rPr>
        <w:t>或发生人为损坏，甲方负责维修、或聘请乙方维修费用由甲方支付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</w:rPr>
        <w:t>；</w:t>
      </w:r>
    </w:p>
    <w:p>
      <w:pPr>
        <w:tabs>
          <w:tab w:val="left" w:pos="3060"/>
        </w:tabs>
        <w:spacing w:line="240" w:lineRule="auto"/>
        <w:ind w:firstLine="560" w:firstLineChars="200"/>
        <w:jc w:val="left"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3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提供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>院本部、东病区、惠福分院、平洲分院、合群门诊等相应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的场地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>暂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放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>桶装水和饮水机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；</w:t>
      </w:r>
    </w:p>
    <w:p>
      <w:pPr>
        <w:tabs>
          <w:tab w:val="left" w:pos="3060"/>
        </w:tabs>
        <w:spacing w:line="240" w:lineRule="auto"/>
        <w:ind w:firstLine="560" w:firstLineChars="200"/>
        <w:jc w:val="left"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4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eastAsia="zh-CN"/>
        </w:rPr>
        <w:t>、甲方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不能自行装拆（由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eastAsia="zh-CN"/>
        </w:rPr>
        <w:t>乙方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特许装拆的部份除外）维修。因不正常使用或承租方请非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eastAsia="zh-CN"/>
        </w:rPr>
        <w:t>乙方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技术员维修，导致饮水设备损坏，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eastAsia="zh-CN"/>
        </w:rPr>
        <w:t>乙方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>可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要求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eastAsia="zh-CN"/>
        </w:rPr>
        <w:t>甲方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赔偿损失；</w:t>
      </w:r>
    </w:p>
    <w:p>
      <w:pPr>
        <w:tabs>
          <w:tab w:val="left" w:pos="3060"/>
        </w:tabs>
        <w:spacing w:line="240" w:lineRule="auto"/>
        <w:ind w:firstLine="560" w:firstLineChars="200"/>
        <w:jc w:val="left"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5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根据合同及时支付款项。</w:t>
      </w:r>
    </w:p>
    <w:p>
      <w:pPr>
        <w:tabs>
          <w:tab w:val="left" w:pos="3060"/>
        </w:tabs>
        <w:spacing w:line="240" w:lineRule="auto"/>
        <w:ind w:firstLine="560" w:firstLineChars="200"/>
        <w:jc w:val="left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yellow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>二）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eastAsia="zh-CN"/>
        </w:rPr>
        <w:t>乙方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>权利与义务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</w:rPr>
        <w:t>：</w:t>
      </w:r>
    </w:p>
    <w:p>
      <w:pPr>
        <w:tabs>
          <w:tab w:val="left" w:pos="3060"/>
        </w:tabs>
        <w:spacing w:line="240" w:lineRule="auto"/>
        <w:ind w:firstLine="560" w:firstLineChars="200"/>
        <w:jc w:val="left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</w:rPr>
        <w:t>1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</w:rPr>
        <w:t>为一家依法设立并合法存续的企业，有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签署以及履行本合同的资质、资格，拥有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自有桶装水生产基地（或生产厂）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并承担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>供应服务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的风险负担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>；</w:t>
      </w:r>
    </w:p>
    <w:p>
      <w:pPr>
        <w:tabs>
          <w:tab w:val="left" w:pos="3060"/>
        </w:tabs>
        <w:spacing w:line="240" w:lineRule="auto"/>
        <w:ind w:firstLine="560" w:firstLineChars="200"/>
        <w:jc w:val="left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2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依合同向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eastAsia="zh-CN"/>
        </w:rPr>
        <w:t>甲方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计收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>供应桶装水实际数量的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费用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8" w:line="240" w:lineRule="auto"/>
        <w:ind w:right="154" w:firstLine="56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highlight w:val="yellow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3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为确保甲方的正常饮水，乙方必须做好配送计划，保证医院每一个科室及病区的正常供水；按医院使用电梯的时间合理调配送货时间，及时送水上门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至科室（或部门）指定位置，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甲方提供桶装水周转存放地方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保证不影响医院医务工作的正常运行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；</w:t>
      </w:r>
    </w:p>
    <w:p>
      <w:pPr>
        <w:widowControl/>
        <w:spacing w:after="29" w:line="240" w:lineRule="auto"/>
        <w:ind w:left="431" w:hanging="10"/>
        <w:jc w:val="left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</w:rPr>
        <w:t>、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lang w:val="en-US" w:eastAsia="zh-CN"/>
        </w:rPr>
        <w:t>乙方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应无偿提供以下服务： </w:t>
      </w:r>
    </w:p>
    <w:p>
      <w:pPr>
        <w:widowControl/>
        <w:spacing w:after="26" w:line="240" w:lineRule="auto"/>
        <w:ind w:left="-10" w:firstLine="406"/>
        <w:jc w:val="left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4.1服务期间提供免费的消毒、维修或换机等饮水机服务，消毒周期为每两个月内对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全院在用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饮水机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 xml:space="preserve">约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00 台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进行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清洗消毒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维护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一次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特殊科室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一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个月清洗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一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次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），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每次清洗消毒后，须粘贴清洗日期和工作人员姓名标签，并做好记录备查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维护情况在相应结算期书面汇报给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甲方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监督考核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，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>对有故障或安全隐患的饮水机进行及时维修，如故障不能及时排除的需更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换新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饮水机，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确保饮水机正常使用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；</w:t>
      </w:r>
    </w:p>
    <w:p>
      <w:pPr>
        <w:widowControl/>
        <w:spacing w:after="5" w:line="240" w:lineRule="auto"/>
        <w:ind w:right="248" w:firstLine="560" w:firstLineChars="200"/>
        <w:jc w:val="left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4.2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提供新增加科室的配套饮水机；配套提供或更换的饮水机必须按照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甲方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确认认可，且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符合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国家3C安全标准认证的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u w:val="single"/>
          <w:lang w:val="en-US" w:eastAsia="zh-CN"/>
        </w:rPr>
        <w:t xml:space="preserve"> 品牌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（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参考品牌有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u w:val="single"/>
        </w:rPr>
        <w:t>美的、乐氏、容声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u w:val="single"/>
          <w:lang w:val="en-US" w:eastAsia="zh-CN"/>
        </w:rPr>
        <w:t>的其中1至2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个品牌）饮水机（配备立式和台式两种），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合同中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桶装水价格已含更换、新增饮用水机〈温热型〉及售后服务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6" w:line="240" w:lineRule="auto"/>
        <w:ind w:firstLine="56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highlight w:val="yellow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4.3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</w:rPr>
        <w:t>乙方为甲方配套提供的饮水机（含新增加的饮水机），合同期满后无条件归甲方所有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lang w:val="en-US" w:eastAsia="zh-CN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6" w:line="240" w:lineRule="auto"/>
        <w:ind w:left="-10" w:firstLine="476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>5、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乙方向甲方提供使用及可周转量的水瓶，具体数量以送水卡由科室相关人员签名、填写工号并确认过的实数为准，甲方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有义务妥善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保管好水瓶，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合同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解除后，甲方于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30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个工作日内归还乙方全部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桶装水空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水瓶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6" w:line="240" w:lineRule="auto"/>
        <w:ind w:left="-10" w:firstLine="476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>6、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乙方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需按要求向甲方提供最近3个月内的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市级或以上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第三方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检测机构出具的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供货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产品质量合格检验报告及生产商每批次自检报告，防止劣质桶装水进入院区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配合和接受甲方院感部门的检测和监督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；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6" w:line="240" w:lineRule="auto"/>
        <w:ind w:left="-10" w:firstLine="476"/>
        <w:jc w:val="lef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7、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>乙方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提供方便、快捷、满意的售后服务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乙方在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供应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服务中，须服从医院的规章制度和管理工作，不得做出有损甲方形象的行为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无条件接受甲方主管部门监督和考评。</w:t>
      </w:r>
    </w:p>
    <w:p>
      <w:pPr>
        <w:tabs>
          <w:tab w:val="left" w:pos="3060"/>
        </w:tabs>
        <w:spacing w:line="240" w:lineRule="auto"/>
        <w:jc w:val="left"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  <w:lang w:val="en-US" w:eastAsia="zh-CN"/>
        </w:rPr>
        <w:t>六、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</w:rPr>
        <w:t>违约责任</w:t>
      </w:r>
    </w:p>
    <w:p>
      <w:pPr>
        <w:tabs>
          <w:tab w:val="left" w:pos="3060"/>
        </w:tabs>
        <w:spacing w:line="240" w:lineRule="auto"/>
        <w:ind w:firstLine="560" w:firstLineChars="200"/>
        <w:jc w:val="left"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1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eastAsia="zh-CN"/>
        </w:rPr>
        <w:t>、乙方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>需按约定时间、需求供货和服务，如发生质量、供应或服务等存在问题较轻的，按附件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《桶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装水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供应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服务质量考评表》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考评，扣罚在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>当期桶装水结算费中扣除；</w:t>
      </w:r>
    </w:p>
    <w:p>
      <w:pPr>
        <w:widowControl/>
        <w:spacing w:after="5" w:line="240" w:lineRule="auto"/>
        <w:ind w:left="-10" w:firstLine="421"/>
        <w:jc w:val="left"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2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>乙方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运输车辆、运输包装必须符合《中华人民共和国食品安全法》的卫生要求，运输方式必须保证产品质量，防止产品发生污染。桶表面保持洁净无垢，商标清晰、规范，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eastAsia="zh-CN"/>
        </w:rPr>
        <w:t>桶装饮用山（矿）泉水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有外包装袋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>完好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，凡因水或桶的质量问题出现用户投诉，经查证后属实扣罚人民币200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>元到10000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元/次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>不等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 xml:space="preserve">。 </w:t>
      </w:r>
    </w:p>
    <w:p>
      <w:pPr>
        <w:tabs>
          <w:tab w:val="left" w:pos="3060"/>
        </w:tabs>
        <w:spacing w:line="240" w:lineRule="auto"/>
        <w:ind w:firstLine="560" w:firstLineChars="200"/>
        <w:jc w:val="left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yellow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>乙方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提供给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>甲方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的产品因本身质量问题引起客户（医院职工或患者）投诉及责任纠纷的，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>乙方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应接到通知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>后60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分钟内响应，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>并在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8小时内到达医院现场处理相关事宜，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>发生的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</w:rPr>
        <w:t>工作或质量问题造成甲方或第三方人身或财产损害的，乙方应承担全部责任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>；</w:t>
      </w:r>
    </w:p>
    <w:p>
      <w:pPr>
        <w:pStyle w:val="3"/>
        <w:spacing w:line="240" w:lineRule="auto"/>
        <w:ind w:firstLine="560" w:firstLineChars="200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color w:val="auto"/>
          <w:sz w:val="28"/>
          <w:szCs w:val="28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、除非双方协议合同终止，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>否则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违约方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>需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承担违约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>相关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责任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>及赔偿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后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>再协商合同是否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继续。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>若因客观原因合同无法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履行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>无法履约方应提前1个月书面向守约方申请，方可中止或解除合同，否则违约方需赔偿守约方合同总额的</w:t>
      </w:r>
      <w:r>
        <w:rPr>
          <w:rFonts w:hint="eastAsia" w:asciiTheme="minorEastAsia" w:hAnsiTheme="minorEastAsia" w:cstheme="minorEastAsia"/>
          <w:color w:val="auto"/>
          <w:sz w:val="28"/>
          <w:szCs w:val="28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>%违约金。</w:t>
      </w:r>
    </w:p>
    <w:p>
      <w:pPr>
        <w:tabs>
          <w:tab w:val="left" w:pos="3060"/>
        </w:tabs>
        <w:spacing w:line="240" w:lineRule="auto"/>
        <w:ind w:firstLine="560" w:firstLineChars="200"/>
        <w:jc w:val="left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kern w:val="0"/>
          <w:sz w:val="28"/>
          <w:szCs w:val="28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如有以下情况之一，甲方有权单方面解除合同，且不支付本项目的未结款项，并承担违约责任：</w:t>
      </w:r>
    </w:p>
    <w:p>
      <w:pPr>
        <w:pStyle w:val="3"/>
        <w:spacing w:line="240" w:lineRule="auto"/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  <w:lang w:val="en-US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.1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乙方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有分包、转包、挂靠的；</w:t>
      </w:r>
    </w:p>
    <w:p>
      <w:pPr>
        <w:pStyle w:val="3"/>
        <w:spacing w:line="240" w:lineRule="auto"/>
        <w:ind w:firstLine="560" w:firstLineChars="200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color w:val="auto"/>
          <w:sz w:val="28"/>
          <w:szCs w:val="28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>.2乙方提供的桶装水及饮水机有质量安全问题的；</w:t>
      </w:r>
    </w:p>
    <w:p>
      <w:pPr>
        <w:pStyle w:val="3"/>
        <w:spacing w:line="240" w:lineRule="auto"/>
        <w:ind w:firstLine="560" w:firstLineChars="200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color w:val="auto"/>
          <w:sz w:val="28"/>
          <w:szCs w:val="28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>.3乙方连续六个月未提供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市级或以上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第三方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检测机构出具的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供货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产品质量合格检验报告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>的；</w:t>
      </w:r>
    </w:p>
    <w:p>
      <w:pPr>
        <w:pStyle w:val="3"/>
        <w:spacing w:line="240" w:lineRule="auto"/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color w:val="auto"/>
          <w:sz w:val="28"/>
          <w:szCs w:val="28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>.4乙方未按约定时间完成服务整改5次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eastAsia="zh-CN"/>
        </w:rPr>
        <w:t>。</w:t>
      </w:r>
    </w:p>
    <w:p>
      <w:pPr>
        <w:pStyle w:val="4"/>
        <w:spacing w:line="240" w:lineRule="auto"/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6、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遇不可抗力事由，导致一方无法按合同及附件要求执行，无法执行一方应在不可抗力事由发生后24小时内书面通知对方，双方均不承担责任。</w:t>
      </w:r>
    </w:p>
    <w:p>
      <w:pPr>
        <w:spacing w:line="240" w:lineRule="auto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val="en-US" w:eastAsia="zh-CN"/>
        </w:rPr>
        <w:t>七、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>合同生效及其他规定：</w:t>
      </w:r>
    </w:p>
    <w:p>
      <w:pPr>
        <w:spacing w:line="240" w:lineRule="auto"/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1、乙方在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合同履行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的安全责任由乙方自行负责，并遵守甲方的文明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作业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和作息时间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如因乙方过失造成甲方的经济损失，乙方应当照价向甲方赔偿。</w:t>
      </w:r>
    </w:p>
    <w:p>
      <w:pPr>
        <w:spacing w:line="240" w:lineRule="auto"/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本合同履行过程中若有争议，应由双方协商解决。经协商仍无法解决纠纷的，双方均有权向甲方所在地有管辖权的人民法院提起诉讼。</w:t>
      </w:r>
    </w:p>
    <w:p>
      <w:pPr>
        <w:spacing w:line="240" w:lineRule="auto"/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</w:rPr>
        <w:t>、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本合同签字盖章后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15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个工作日内向甲方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交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付合同总金额的5%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履约保函，保函有效期应在合同结束时间后的三个月。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如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履约保函金额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发生违约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扣罚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（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月度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考评扣罚金额直接在当期结算款扣减，不在保函中扣罚），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乙方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需在10个工作日重新交付原额保函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</w:rPr>
        <w:t>。</w:t>
      </w:r>
    </w:p>
    <w:p>
      <w:pPr>
        <w:spacing w:line="240" w:lineRule="auto"/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、附件视同本合同的不可分割的一部分，与本合同具同等法律效力。附件包括但不限于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供应服务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方案、执行方案、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设备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物料清单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等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。</w:t>
      </w:r>
    </w:p>
    <w:p>
      <w:pPr>
        <w:spacing w:line="240" w:lineRule="auto"/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、本合同一式肆份，甲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乙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双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方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各执两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份，具有同等法律效力。</w:t>
      </w:r>
    </w:p>
    <w:p>
      <w:pPr>
        <w:spacing w:line="240" w:lineRule="auto"/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、本合同自甲乙双方签字并加盖公章之日起生效。</w:t>
      </w:r>
    </w:p>
    <w:p>
      <w:pPr>
        <w:pStyle w:val="4"/>
        <w:spacing w:line="272" w:lineRule="auto"/>
      </w:pPr>
    </w:p>
    <w:p>
      <w:pPr>
        <w:pStyle w:val="10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>
      <w:pPr>
        <w:pStyle w:val="10"/>
        <w:ind w:left="6925" w:hanging="6925" w:hangingChars="2300"/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 w:val="0"/>
          <w:sz w:val="28"/>
          <w:szCs w:val="28"/>
        </w:rPr>
        <w:t>甲   方：</w:t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</w:rPr>
        <w:t xml:space="preserve">（盖章）广东省人民医院 </w:t>
      </w:r>
      <w:r>
        <w:rPr>
          <w:rFonts w:hint="eastAsia" w:asciiTheme="minorEastAsia" w:hAnsiTheme="minorEastAsia" w:eastAsiaTheme="minorEastAsia" w:cstheme="minorEastAsia"/>
          <w:b/>
          <w:bCs w:val="0"/>
          <w:sz w:val="28"/>
          <w:szCs w:val="28"/>
        </w:rPr>
        <w:t>乙    方：</w:t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</w:rPr>
        <w:t xml:space="preserve">（盖章） </w:t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  <w:lang w:val="en-US" w:eastAsia="zh-CN"/>
        </w:rPr>
        <w:t xml:space="preserve">   公</w:t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</w:rPr>
        <w:t xml:space="preserve">司 </w:t>
      </w:r>
    </w:p>
    <w:p>
      <w:pPr>
        <w:spacing w:line="500" w:lineRule="exact"/>
        <w:ind w:left="7449" w:hanging="7449" w:hangingChars="2650"/>
        <w:rPr>
          <w:rFonts w:hint="eastAsia" w:asciiTheme="minorEastAsia" w:hAnsiTheme="minorEastAsia" w:eastAsiaTheme="minorEastAsia" w:cstheme="minorEastAsia"/>
          <w:b/>
          <w:bCs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 w:val="0"/>
          <w:sz w:val="28"/>
          <w:szCs w:val="28"/>
        </w:rPr>
        <w:t>法定代表人：                       法定代表人：</w:t>
      </w:r>
    </w:p>
    <w:p>
      <w:pPr>
        <w:tabs>
          <w:tab w:val="left" w:pos="525"/>
          <w:tab w:val="left" w:pos="1155"/>
        </w:tabs>
        <w:spacing w:line="500" w:lineRule="exact"/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 w:val="0"/>
          <w:sz w:val="28"/>
          <w:szCs w:val="28"/>
        </w:rPr>
        <w:t>委托代理人：                       委托代理人：</w:t>
      </w:r>
    </w:p>
    <w:p>
      <w:pPr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 w:val="0"/>
          <w:sz w:val="28"/>
          <w:szCs w:val="28"/>
        </w:rPr>
        <w:t>地    址：</w:t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</w:rPr>
        <w:t>广州市越秀区</w:t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b/>
          <w:bCs w:val="0"/>
          <w:sz w:val="28"/>
          <w:szCs w:val="28"/>
        </w:rPr>
        <w:t>地  址：</w:t>
      </w:r>
    </w:p>
    <w:p>
      <w:pPr>
        <w:pStyle w:val="10"/>
        <w:ind w:left="7182" w:leftChars="563" w:hanging="6000" w:hangingChars="2000"/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</w:rPr>
        <w:t xml:space="preserve">中山二路106号                </w:t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  <w:lang w:val="en-US" w:eastAsia="zh-CN"/>
        </w:rPr>
        <w:t xml:space="preserve"> </w:t>
      </w:r>
    </w:p>
    <w:p>
      <w:pPr>
        <w:pStyle w:val="10"/>
        <w:ind w:left="6925" w:hanging="6925" w:hangingChars="2300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>电    话：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020-83827812     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   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>电  话：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 </w:t>
      </w:r>
    </w:p>
    <w:p>
      <w:pPr>
        <w:ind w:left="6325" w:hanging="6325" w:hangingChars="2250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>开户银行：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 xml:space="preserve">广州市工商银行白云路支行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>开户银行：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 </w:t>
      </w:r>
    </w:p>
    <w:p>
      <w:pPr>
        <w:rPr>
          <w:rFonts w:hint="eastAsia" w:asciiTheme="minorEastAsia" w:hAnsiTheme="minorEastAsia" w:eastAsiaTheme="minorEastAsia" w:cstheme="minorEastAsia"/>
          <w:bCs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>帐   号：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 xml:space="preserve">3602004409001385770      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>帐    号：</w:t>
      </w:r>
      <w:r>
        <w:rPr>
          <w:rFonts w:hint="eastAsia" w:asciiTheme="minorEastAsia" w:hAnsiTheme="minorEastAsia" w:eastAsiaTheme="minorEastAsia" w:cstheme="minorEastAsia"/>
          <w:bCs/>
          <w:sz w:val="28"/>
          <w:szCs w:val="28"/>
          <w:lang w:val="en-US" w:eastAsia="zh-CN"/>
        </w:rPr>
        <w:t xml:space="preserve"> </w:t>
      </w:r>
    </w:p>
    <w:p>
      <w:pPr>
        <w:pStyle w:val="10"/>
        <w:rPr>
          <w:rFonts w:hint="eastAsia" w:asciiTheme="minorEastAsia" w:hAnsiTheme="minorEastAsia" w:eastAsiaTheme="minorEastAsia" w:cstheme="minorEastAsia"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Cs/>
          <w:sz w:val="28"/>
          <w:szCs w:val="28"/>
        </w:rPr>
        <w:t>签订日期：202</w:t>
      </w:r>
      <w:r>
        <w:rPr>
          <w:rFonts w:hint="eastAsia" w:asciiTheme="minorEastAsia" w:hAnsiTheme="minorEastAsia" w:cstheme="minorEastAsia"/>
          <w:bCs/>
          <w:sz w:val="28"/>
          <w:szCs w:val="28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bCs/>
          <w:sz w:val="28"/>
          <w:szCs w:val="28"/>
        </w:rPr>
        <w:t>年  月   日</w:t>
      </w:r>
    </w:p>
    <w:p>
      <w:pPr>
        <w:pStyle w:val="10"/>
        <w:rPr>
          <w:rFonts w:hint="eastAsia" w:asciiTheme="minorEastAsia" w:hAnsiTheme="minorEastAsia" w:eastAsiaTheme="minorEastAsia" w:cstheme="minorEastAsia"/>
          <w:bCs/>
          <w:sz w:val="28"/>
          <w:szCs w:val="28"/>
        </w:rPr>
        <w:sectPr>
          <w:pgSz w:w="11906" w:h="16838"/>
          <w:pgMar w:top="1270" w:right="1026" w:bottom="1157" w:left="1026" w:header="851" w:footer="992" w:gutter="0"/>
          <w:cols w:space="425" w:num="1"/>
          <w:docGrid w:type="lines" w:linePitch="312" w:charSpace="0"/>
        </w:sectPr>
      </w:pPr>
      <w:bookmarkStart w:id="7" w:name="_GoBack"/>
      <w:bookmarkEnd w:id="7"/>
    </w:p>
    <w:p>
      <w:pPr>
        <w:rPr>
          <w:rFonts w:hint="eastAsia" w:ascii="宋体" w:hAnsi="宋体"/>
          <w:color w:val="auto"/>
          <w:sz w:val="28"/>
          <w:szCs w:val="28"/>
        </w:rPr>
      </w:pPr>
      <w:bookmarkStart w:id="0" w:name="_Toc202817000"/>
      <w:bookmarkStart w:id="1" w:name="_Toc202254108"/>
      <w:bookmarkStart w:id="2" w:name="_Toc202820355"/>
      <w:bookmarkStart w:id="3" w:name="_Toc202819882"/>
      <w:bookmarkStart w:id="4" w:name="_Toc202251078"/>
      <w:bookmarkStart w:id="5" w:name="_Toc202252037"/>
      <w:bookmarkStart w:id="6" w:name="_Toc202251703"/>
      <w:r>
        <w:rPr>
          <w:rFonts w:hint="eastAsia" w:ascii="宋体" w:hAnsi="宋体"/>
          <w:b/>
          <w:color w:val="auto"/>
          <w:sz w:val="28"/>
          <w:szCs w:val="28"/>
        </w:rPr>
        <w:t>附件：</w:t>
      </w:r>
      <w:r>
        <w:rPr>
          <w:rFonts w:hint="eastAsia" w:ascii="宋体" w:hAnsi="宋体"/>
          <w:b/>
          <w:color w:val="auto"/>
          <w:sz w:val="28"/>
          <w:szCs w:val="28"/>
          <w:lang w:val="en-US" w:eastAsia="zh-CN"/>
        </w:rPr>
        <w:t xml:space="preserve">                            </w:t>
      </w:r>
      <w:r>
        <w:rPr>
          <w:rFonts w:hint="eastAsia" w:ascii="宋体" w:hAnsi="宋体"/>
          <w:b/>
          <w:bCs/>
          <w:color w:val="auto"/>
          <w:sz w:val="28"/>
          <w:szCs w:val="28"/>
        </w:rPr>
        <w:t>桶装水</w:t>
      </w:r>
      <w:r>
        <w:rPr>
          <w:rFonts w:hint="eastAsia" w:ascii="宋体" w:hAnsi="宋体"/>
          <w:b/>
          <w:bCs/>
          <w:color w:val="auto"/>
          <w:sz w:val="28"/>
          <w:szCs w:val="28"/>
          <w:lang w:val="en-US" w:eastAsia="zh-CN"/>
        </w:rPr>
        <w:t>供应</w:t>
      </w:r>
      <w:r>
        <w:rPr>
          <w:rFonts w:hint="eastAsia" w:ascii="宋体" w:hAnsi="宋体"/>
          <w:b/>
          <w:bCs/>
          <w:color w:val="auto"/>
          <w:sz w:val="28"/>
          <w:szCs w:val="28"/>
        </w:rPr>
        <w:t>服务质量考评表</w:t>
      </w:r>
    </w:p>
    <w:tbl>
      <w:tblPr>
        <w:tblStyle w:val="6"/>
        <w:tblW w:w="14965" w:type="dxa"/>
        <w:tblInd w:w="9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0"/>
        <w:gridCol w:w="756"/>
        <w:gridCol w:w="10256"/>
        <w:gridCol w:w="1385"/>
        <w:gridCol w:w="133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考核项目</w:t>
            </w:r>
          </w:p>
        </w:tc>
        <w:tc>
          <w:tcPr>
            <w:tcW w:w="7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02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具体的要求和标准</w:t>
            </w:r>
          </w:p>
        </w:tc>
        <w:tc>
          <w:tcPr>
            <w:tcW w:w="13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扣款金额</w:t>
            </w:r>
          </w:p>
        </w:tc>
        <w:tc>
          <w:tcPr>
            <w:tcW w:w="13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123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桶装水质量评价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每季度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提供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书面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第三方水质检验报告，证明当期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桶装水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水质量合格。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否则扣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当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季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货款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00元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/季度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。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</w:trPr>
        <w:tc>
          <w:tcPr>
            <w:tcW w:w="123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0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ind w:leftChars="0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供应的桶装水剩余有效期不得少于标注有效期的50%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如有违反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即令更换并扣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当月货款100元/次。半年内超过三次，甲方有权要求终止合同并全额扣除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履约保函金额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。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123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0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ind w:leftChars="0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每两个月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为甲方免费清洗与消毒饮水机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一次并上报记录（特殊科室每月一次），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未按要求做清洗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消毒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的，扣当月货款50元/次。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每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月内累计超3次以上的，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则追加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扣当月货款300元。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</w:trPr>
        <w:tc>
          <w:tcPr>
            <w:tcW w:w="123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0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ind w:leftChars="0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供应的桶装水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必须符合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院方院感部门日常抽检桶装水水质培养菌落标准。未开封桶装水水质培养菌落未达标扣当月货款200元/宗，经饮水机取样水质培养菌落超标的扣当月货款100元/宗。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</w:trPr>
        <w:tc>
          <w:tcPr>
            <w:tcW w:w="123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0256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ind w:leftChars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在饮用水过程中发生食品质量安全问题，经第三方检测属于质量安全问题的，乙方应赔偿甲方一切损失，甲方有权要求终止合同并全额扣除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履约保函金额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。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123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供应服务质量评价</w:t>
            </w:r>
          </w:p>
        </w:tc>
        <w:tc>
          <w:tcPr>
            <w:tcW w:w="7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02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需按甲方指定区域存放桶装水及空桶；如乱存放并影响甲方正常秩序及安全的，扣罚当月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货款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100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元/次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每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月内累计超3次以上的，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则追加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扣当月货款300元。</w:t>
            </w:r>
          </w:p>
        </w:tc>
        <w:tc>
          <w:tcPr>
            <w:tcW w:w="13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123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02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按要求提供2小时内应急响应供水服务；延缓1小时扣罚当月货款50元/次，延缓2小时扣罚当月货款100元/次；每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月内累计超3次以上的，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则追加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扣当月货款300元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/次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。</w:t>
            </w:r>
          </w:p>
        </w:tc>
        <w:tc>
          <w:tcPr>
            <w:tcW w:w="13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123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02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供应及清洗消毒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服务人员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服务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态度好，送水数量交接清晰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如收到使用部门投诉的，每次扣罚当月货款50元/次；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每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月内累计超3次以上的，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则追加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扣当月货款300元。</w:t>
            </w:r>
          </w:p>
        </w:tc>
        <w:tc>
          <w:tcPr>
            <w:tcW w:w="13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123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02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当有故障维修需要时，乙方应即时做出响应，2 小时内到达甲方所在地进行维修处理，若5小时内无法维修完成，需提供更换全新的饮水机，否则视同第7款“应急响应供水服务”执行扣罚。</w:t>
            </w:r>
          </w:p>
        </w:tc>
        <w:tc>
          <w:tcPr>
            <w:tcW w:w="13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rPr>
          <w:rFonts w:hint="eastAsia" w:asciiTheme="minorEastAsia" w:hAnsiTheme="minorEastAsia" w:eastAsiaTheme="minorEastAsia" w:cstheme="minorEastAsia"/>
          <w:bCs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/>
        </w:rPr>
        <w:t>注：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桶装水在饮用过程中被人为破坏、储存不当（如：放置阳光下、污物旁边等）、饮用时间过长等，造成饮用水质量安全问题的，不属于乙方责任。</w:t>
      </w:r>
      <w:bookmarkEnd w:id="0"/>
      <w:bookmarkEnd w:id="1"/>
      <w:bookmarkEnd w:id="2"/>
      <w:bookmarkEnd w:id="3"/>
      <w:bookmarkEnd w:id="4"/>
      <w:bookmarkEnd w:id="5"/>
      <w:bookmarkEnd w:id="6"/>
    </w:p>
    <w:sectPr>
      <w:headerReference r:id="rId3" w:type="default"/>
      <w:footerReference r:id="rId4" w:type="default"/>
      <w:pgSz w:w="16838" w:h="11906" w:orient="landscape"/>
      <w:pgMar w:top="720" w:right="720" w:bottom="720" w:left="720" w:header="624" w:footer="595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rPr>
        <w:rStyle w:val="9"/>
      </w:rPr>
      <w:t>3</w:t>
    </w:r>
    <w:r>
      <w:fldChar w:fldCharType="end"/>
    </w:r>
  </w:p>
  <w:p>
    <w:pPr>
      <w:pStyle w:val="5"/>
      <w:ind w:right="360"/>
    </w:pPr>
    <w:r>
      <w:rPr>
        <w:kern w:val="0"/>
        <w:sz w:val="20"/>
        <w:szCs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5486400</wp:posOffset>
              </wp:positionH>
              <wp:positionV relativeFrom="paragraph">
                <wp:posOffset>-53340</wp:posOffset>
              </wp:positionV>
              <wp:extent cx="1143000" cy="29718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3000" cy="2971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b/>
                              <w:bCs/>
                              <w:color w:val="FFFFFF"/>
                            </w:rPr>
                          </w:pPr>
                          <w:r>
                            <w:rPr>
                              <w:rFonts w:hint="eastAsia"/>
                              <w:b/>
                              <w:bCs/>
                              <w:color w:val="FFFFFF"/>
                              <w:kern w:val="0"/>
                              <w:szCs w:val="21"/>
                            </w:rPr>
                            <w:t xml:space="preserve">第 </w:t>
                          </w:r>
                          <w:r>
                            <w:rPr>
                              <w:b/>
                              <w:bCs/>
                              <w:color w:val="FFFFFF"/>
                              <w:kern w:val="0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FFFFFF"/>
                              <w:kern w:val="0"/>
                              <w:szCs w:val="21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bCs/>
                              <w:color w:val="FFFFFF"/>
                              <w:kern w:val="0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FFFFFF"/>
                              <w:kern w:val="0"/>
                              <w:szCs w:val="21"/>
                            </w:rPr>
                            <w:t>3</w:t>
                          </w:r>
                          <w:r>
                            <w:rPr>
                              <w:b/>
                              <w:bCs/>
                              <w:color w:val="FFFFFF"/>
                              <w:kern w:val="0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b/>
                              <w:bCs/>
                              <w:color w:val="FFFFFF"/>
                              <w:kern w:val="0"/>
                              <w:szCs w:val="21"/>
                            </w:rPr>
                            <w:t xml:space="preserve"> 页 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32pt;margin-top:-4.2pt;height:23.4pt;width:90pt;z-index:251659264;mso-width-relative:page;mso-height-relative:page;" filled="f" stroked="f" coordsize="21600,21600" o:gfxdata="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">
              <v:fill on="f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rPr>
                        <w:b/>
                        <w:bCs/>
                        <w:color w:val="FFFFFF"/>
                      </w:rPr>
                    </w:pPr>
                    <w:r>
                      <w:rPr>
                        <w:rFonts w:hint="eastAsia"/>
                        <w:b/>
                        <w:bCs/>
                        <w:color w:val="FFFFFF"/>
                        <w:kern w:val="0"/>
                        <w:szCs w:val="21"/>
                      </w:rPr>
                      <w:t xml:space="preserve">第 </w:t>
                    </w:r>
                    <w:r>
                      <w:rPr>
                        <w:b/>
                        <w:bCs/>
                        <w:color w:val="FFFFFF"/>
                        <w:kern w:val="0"/>
                        <w:szCs w:val="21"/>
                      </w:rPr>
                      <w:fldChar w:fldCharType="begin"/>
                    </w:r>
                    <w:r>
                      <w:rPr>
                        <w:b/>
                        <w:bCs/>
                        <w:color w:val="FFFFFF"/>
                        <w:kern w:val="0"/>
                        <w:szCs w:val="21"/>
                      </w:rPr>
                      <w:instrText xml:space="preserve"> PAGE </w:instrText>
                    </w:r>
                    <w:r>
                      <w:rPr>
                        <w:b/>
                        <w:bCs/>
                        <w:color w:val="FFFFFF"/>
                        <w:kern w:val="0"/>
                        <w:szCs w:val="21"/>
                      </w:rPr>
                      <w:fldChar w:fldCharType="separate"/>
                    </w:r>
                    <w:r>
                      <w:rPr>
                        <w:b/>
                        <w:bCs/>
                        <w:color w:val="FFFFFF"/>
                        <w:kern w:val="0"/>
                        <w:szCs w:val="21"/>
                      </w:rPr>
                      <w:t>3</w:t>
                    </w:r>
                    <w:r>
                      <w:rPr>
                        <w:b/>
                        <w:bCs/>
                        <w:color w:val="FFFFFF"/>
                        <w:kern w:val="0"/>
                        <w:szCs w:val="21"/>
                      </w:rPr>
                      <w:fldChar w:fldCharType="end"/>
                    </w:r>
                    <w:r>
                      <w:rPr>
                        <w:rFonts w:hint="eastAsia"/>
                        <w:b/>
                        <w:bCs/>
                        <w:color w:val="FFFFFF"/>
                        <w:kern w:val="0"/>
                        <w:szCs w:val="21"/>
                      </w:rPr>
                      <w:t xml:space="preserve"> 页 </w:t>
                    </w:r>
                  </w:p>
                </w:txbxContent>
              </v:textbox>
            </v:shape>
          </w:pict>
        </mc:Fallback>
      </mc:AlternateContent>
    </w:r>
    <w:r>
      <w:rPr>
        <w:sz w:val="20"/>
      </w:rPr>
      <w:t xml:space="preserve"> </w:t>
    </w:r>
  </w:p>
  <w:p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rPr>
        <w:rFonts w:hint="eastAsia"/>
      </w:rPr>
    </w:pPr>
  </w:p>
  <w:p>
    <w:pPr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9452554"/>
    <w:multiLevelType w:val="multilevel"/>
    <w:tmpl w:val="49452554"/>
    <w:lvl w:ilvl="0" w:tentative="0">
      <w:start w:val="1"/>
      <w:numFmt w:val="chineseCountingThousand"/>
      <w:pStyle w:val="2"/>
      <w:lvlText w:val="%1、"/>
      <w:lvlJc w:val="left"/>
      <w:pPr>
        <w:ind w:left="425" w:hanging="425"/>
      </w:pPr>
      <w:rPr>
        <w:rFonts w:hint="default" w:ascii="Calibri" w:hAnsi="Calibri" w:eastAsia="宋体"/>
        <w:b/>
        <w:i w:val="0"/>
        <w:sz w:val="44"/>
      </w:rPr>
    </w:lvl>
    <w:lvl w:ilvl="1" w:tentative="0">
      <w:start w:val="1"/>
      <w:numFmt w:val="decimal"/>
      <w:isLgl/>
      <w:lvlText w:val="%1.%2"/>
      <w:lvlJc w:val="left"/>
      <w:pPr>
        <w:ind w:left="907" w:hanging="907"/>
      </w:pPr>
      <w:rPr>
        <w:rFonts w:hint="default" w:ascii="Calibri" w:hAnsi="Calibri" w:eastAsia="宋体"/>
        <w:b/>
        <w:i w:val="0"/>
        <w:sz w:val="36"/>
      </w:rPr>
    </w:lvl>
    <w:lvl w:ilvl="2" w:tentative="0">
      <w:start w:val="1"/>
      <w:numFmt w:val="decimal"/>
      <w:isLgl/>
      <w:lvlText w:val="%1.%2.%3"/>
      <w:lvlJc w:val="left"/>
      <w:pPr>
        <w:ind w:left="1021" w:hanging="1021"/>
      </w:pPr>
      <w:rPr>
        <w:rFonts w:hint="default" w:ascii="Calibri" w:hAnsi="Calibri" w:eastAsia="宋体"/>
        <w:b/>
        <w:i w:val="0"/>
        <w:sz w:val="32"/>
      </w:rPr>
    </w:lvl>
    <w:lvl w:ilvl="3" w:tentative="0">
      <w:start w:val="1"/>
      <w:numFmt w:val="decimal"/>
      <w:isLgl/>
      <w:lvlText w:val="%1.%2.%3.%4"/>
      <w:lvlJc w:val="left"/>
      <w:pPr>
        <w:ind w:left="1247" w:hanging="1247"/>
      </w:pPr>
      <w:rPr>
        <w:rFonts w:hint="default" w:ascii="Calibri" w:hAnsi="Calibri" w:eastAsia="宋体"/>
        <w:b/>
        <w:i w:val="0"/>
        <w:sz w:val="30"/>
      </w:rPr>
    </w:lvl>
    <w:lvl w:ilvl="4" w:tentative="0">
      <w:start w:val="1"/>
      <w:numFmt w:val="decimal"/>
      <w:isLgl/>
      <w:lvlText w:val="%1.%2.%3.%4.%5"/>
      <w:lvlJc w:val="left"/>
      <w:pPr>
        <w:ind w:left="1588" w:hanging="1588"/>
      </w:pPr>
      <w:rPr>
        <w:rFonts w:hint="default" w:ascii="Calibri" w:hAnsi="Calibri" w:eastAsia="宋体"/>
        <w:b/>
        <w:i w:val="0"/>
        <w:sz w:val="28"/>
      </w:rPr>
    </w:lvl>
    <w:lvl w:ilvl="5" w:tentative="0">
      <w:start w:val="1"/>
      <w:numFmt w:val="decimal"/>
      <w:isLgl/>
      <w:lvlText w:val="%1.%2.%3.%4.%5.%6"/>
      <w:lvlJc w:val="left"/>
      <w:pPr>
        <w:ind w:left="2608" w:hanging="2608"/>
      </w:pPr>
      <w:rPr>
        <w:rFonts w:hint="default" w:ascii="Calibri" w:hAnsi="Calibri" w:eastAsia="宋体"/>
        <w:b/>
        <w:i w:val="0"/>
        <w:sz w:val="24"/>
      </w:rPr>
    </w:lvl>
    <w:lvl w:ilvl="6" w:tentative="0">
      <w:start w:val="1"/>
      <w:numFmt w:val="decimal"/>
      <w:isLgl/>
      <w:lvlText w:val="%1.%2.%3.%4.%5.%6.%7"/>
      <w:lvlJc w:val="left"/>
      <w:pPr>
        <w:ind w:left="1531" w:hanging="1531"/>
      </w:pPr>
      <w:rPr>
        <w:rFonts w:hint="default" w:ascii="Calibri" w:hAnsi="Calibri" w:eastAsia="宋体"/>
        <w:b/>
        <w:i w:val="0"/>
        <w:sz w:val="24"/>
      </w:rPr>
    </w:lvl>
    <w:lvl w:ilvl="7" w:tentative="0">
      <w:start w:val="1"/>
      <w:numFmt w:val="decimal"/>
      <w:isLgl/>
      <w:lvlText w:val="%1.%2.%3.%4.%5.%6.%7.%8"/>
      <w:lvlJc w:val="left"/>
      <w:pPr>
        <w:ind w:left="2722" w:hanging="2722"/>
      </w:pPr>
      <w:rPr>
        <w:rFonts w:hint="default" w:ascii="Calibri" w:hAnsi="Calibri" w:eastAsia="宋体"/>
        <w:b/>
        <w:i w:val="0"/>
        <w:sz w:val="24"/>
      </w:rPr>
    </w:lvl>
    <w:lvl w:ilvl="8" w:tentative="0">
      <w:start w:val="1"/>
      <w:numFmt w:val="decimal"/>
      <w:isLgl/>
      <w:lvlText w:val="%1.%2.%3.%4.%5.%6.%7.%8.%9"/>
      <w:lvlJc w:val="left"/>
      <w:pPr>
        <w:ind w:left="3686" w:hanging="3686"/>
      </w:pPr>
      <w:rPr>
        <w:rFonts w:hint="default" w:ascii="Calibri" w:hAnsi="Calibri" w:eastAsia="宋体"/>
        <w:b/>
        <w:i w:val="0"/>
        <w:sz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I0MmZhZjgzMTI4M2IzYTA0MjMzNjcwNzIyYjg1MTkifQ=="/>
  </w:docVars>
  <w:rsids>
    <w:rsidRoot w:val="23FE5B1E"/>
    <w:rsid w:val="0644571C"/>
    <w:rsid w:val="099A5C84"/>
    <w:rsid w:val="09BC2BE2"/>
    <w:rsid w:val="0D401414"/>
    <w:rsid w:val="151C212F"/>
    <w:rsid w:val="16915513"/>
    <w:rsid w:val="1D90356B"/>
    <w:rsid w:val="1EDE7E74"/>
    <w:rsid w:val="1FDB2A52"/>
    <w:rsid w:val="20E176E7"/>
    <w:rsid w:val="23FE5B1E"/>
    <w:rsid w:val="270E175E"/>
    <w:rsid w:val="278739E8"/>
    <w:rsid w:val="2AFD3B32"/>
    <w:rsid w:val="340D36AA"/>
    <w:rsid w:val="400A259E"/>
    <w:rsid w:val="5AF10136"/>
    <w:rsid w:val="63AE2F13"/>
    <w:rsid w:val="6B01395B"/>
    <w:rsid w:val="6D965175"/>
    <w:rsid w:val="7C3D5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99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9"/>
    <w:pPr>
      <w:keepNext/>
      <w:keepLines/>
      <w:numPr>
        <w:ilvl w:val="0"/>
        <w:numId w:val="1"/>
      </w:numPr>
      <w:spacing w:beforeLines="50" w:afterLines="50" w:line="360" w:lineRule="auto"/>
      <w:jc w:val="left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autoRedefine/>
    <w:semiHidden/>
    <w:qFormat/>
    <w:uiPriority w:val="99"/>
    <w:pPr>
      <w:jc w:val="left"/>
    </w:pPr>
  </w:style>
  <w:style w:type="paragraph" w:styleId="4">
    <w:name w:val="Body Text"/>
    <w:basedOn w:val="1"/>
    <w:autoRedefine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qFormat/>
    <w:uiPriority w:val="0"/>
  </w:style>
  <w:style w:type="paragraph" w:customStyle="1" w:styleId="10">
    <w:name w:val="表格文字"/>
    <w:basedOn w:val="1"/>
    <w:qFormat/>
    <w:uiPriority w:val="0"/>
    <w:pPr>
      <w:jc w:val="left"/>
    </w:pPr>
    <w:rPr>
      <w:spacing w:val="10"/>
      <w:kern w:val="0"/>
      <w:sz w:val="24"/>
    </w:rPr>
  </w:style>
  <w:style w:type="paragraph" w:customStyle="1" w:styleId="11">
    <w:name w:val="Table Text"/>
    <w:basedOn w:val="1"/>
    <w:autoRedefine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12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3">
    <w:name w:val="列出段落1"/>
    <w:basedOn w:val="1"/>
    <w:autoRedefine/>
    <w:qFormat/>
    <w:uiPriority w:val="34"/>
    <w:pPr>
      <w:ind w:firstLine="420" w:firstLineChars="200"/>
    </w:pPr>
  </w:style>
  <w:style w:type="paragraph" w:styleId="14">
    <w:name w:val="List Paragraph"/>
    <w:basedOn w:val="1"/>
    <w:qFormat/>
    <w:uiPriority w:val="0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21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2023-11-23T00:07:00Z</dcterms:created>
  <dc:creator>春</dc:creator>
  <cp:lastModifiedBy>春</cp:lastModifiedBy>
  <cp:lastPrinted>2024-01-17T18:15:07Z</cp:lastPrinted>
  <dcterms:modified xsi:type="dcterms:W3CDTF">2024-01-17T18:17:44Z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EF353E83AEC3494A82AFF7ED6AA4CC02_13</vt:lpwstr>
  </property>
</Properties>
</file>