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lang w:val="en-US" w:eastAsia="zh-CN"/>
        </w:rPr>
        <w:t>基于医码链的</w:t>
      </w:r>
      <w:r>
        <w:rPr>
          <w:rFonts w:hint="eastAsia" w:ascii="宋体" w:hAnsi="宋体"/>
          <w:b/>
          <w:sz w:val="44"/>
          <w:szCs w:val="30"/>
          <w:lang w:eastAsia="zh-CN"/>
        </w:rPr>
        <w:t>“</w:t>
      </w:r>
      <w:r>
        <w:rPr>
          <w:rFonts w:hint="eastAsia" w:ascii="宋体" w:hAnsi="宋体"/>
          <w:b/>
          <w:sz w:val="44"/>
          <w:szCs w:val="30"/>
          <w:lang w:val="en-US" w:eastAsia="zh-CN"/>
        </w:rPr>
        <w:t>药数链</w:t>
      </w:r>
      <w:r>
        <w:rPr>
          <w:rFonts w:hint="eastAsia" w:ascii="宋体" w:hAnsi="宋体"/>
          <w:b/>
          <w:sz w:val="44"/>
          <w:szCs w:val="30"/>
          <w:lang w:eastAsia="zh-CN"/>
        </w:rPr>
        <w:t>”</w:t>
      </w:r>
      <w:r>
        <w:rPr>
          <w:rFonts w:hint="eastAsia" w:ascii="宋体" w:hAnsi="宋体"/>
          <w:b/>
          <w:sz w:val="44"/>
          <w:szCs w:val="30"/>
          <w:lang w:val="en-US" w:eastAsia="zh-CN"/>
        </w:rPr>
        <w:t>接口合作研发</w:t>
      </w:r>
      <w:r>
        <w:rPr>
          <w:rFonts w:hint="eastAsia" w:ascii="宋体" w:hAnsi="宋体"/>
          <w:b/>
          <w:sz w:val="44"/>
          <w:szCs w:val="30"/>
        </w:rPr>
        <w:t>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w:t>
      </w:r>
      <w:r>
        <w:rPr>
          <w:rFonts w:hint="eastAsia" w:ascii="宋体" w:hAnsi="宋体"/>
          <w:sz w:val="22"/>
          <w:u w:val="single"/>
        </w:rPr>
        <w:t>基于医码链的“药数链”接口合作研发项目</w:t>
      </w:r>
    </w:p>
    <w:p>
      <w:pPr>
        <w:spacing w:line="360" w:lineRule="auto"/>
        <w:ind w:left="432"/>
        <w:rPr>
          <w:rFonts w:ascii="宋体" w:hAnsi="宋体"/>
          <w:sz w:val="22"/>
        </w:rPr>
      </w:pPr>
    </w:p>
    <w:p>
      <w:pPr>
        <w:pStyle w:val="2"/>
        <w:numPr>
          <w:ilvl w:val="0"/>
          <w:numId w:val="3"/>
        </w:numPr>
        <w:spacing w:before="0" w:after="0"/>
        <w:rPr>
          <w:rFonts w:hint="eastAsia" w:ascii="宋体" w:hAnsi="宋体"/>
          <w:sz w:val="32"/>
          <w:szCs w:val="32"/>
        </w:rPr>
      </w:pPr>
      <w:r>
        <w:rPr>
          <w:rFonts w:hint="eastAsia" w:ascii="宋体" w:hAnsi="宋体"/>
          <w:sz w:val="32"/>
          <w:szCs w:val="32"/>
          <w:lang w:val="en-US" w:eastAsia="zh-CN"/>
        </w:rPr>
        <w:t>合作研发</w:t>
      </w:r>
      <w:r>
        <w:rPr>
          <w:rFonts w:hint="eastAsia" w:ascii="宋体" w:hAnsi="宋体"/>
          <w:sz w:val="32"/>
          <w:szCs w:val="32"/>
          <w:lang w:eastAsia="zh-CN"/>
        </w:rPr>
        <w:t>内容</w:t>
      </w:r>
    </w:p>
    <w:p>
      <w:pPr>
        <w:rPr>
          <w:rFonts w:hint="eastAsia"/>
        </w:rPr>
      </w:pPr>
      <w:r>
        <w:rPr>
          <w:rFonts w:hint="eastAsia"/>
        </w:rPr>
        <w:t>项目</w:t>
      </w:r>
      <w:r>
        <w:t>功能</w:t>
      </w:r>
      <w:r>
        <w:rPr>
          <w:rFonts w:hint="eastAsia"/>
        </w:rPr>
        <w:t>如下：</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679"/>
        <w:gridCol w:w="4162"/>
        <w:gridCol w:w="2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医码链医块链项目功能简要描述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编号</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功能项</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功能描述</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区块链数据存证与共享接口模块建设细项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码链节点建设</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在省医服务器建立码链数据服务主节点，并接入超算数据中心主码链（是否接入主节点可根据实际需要决定）</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专库建设</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在省医指定服务器群中围绕重点专科专病建立对应专库，双方交流讨论制定统一数据存储结构规范与数据全球码编码规范，专库接入省医码链主节点统一通过全球码方式提供数据服务</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围绕重点专科专病，建立一套符合专病特色规范的标准化电子数据集，引导上链线路用于对接课题建设的整体“健康链”平台以及平台下主持的专病库建设，平台允许做管单的AC (Access Control) 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建立用药视频指导专库，为省医患者提供规范用药指导，同时在该链下建立侧链（健康链）为患者提供健康宣教相关视频或科普知识服务。</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链管理与数据管理：平台提供码链节点对应的管理系统，可对节点接入进行配置管理是否接入超算中主链等操作，同时可对节点内的数据进行监控管理，简单统计报表等</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数据上链</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在院内建设区块链分布式数据存储中心，原始数据通过全球码加密技术加密存储到区块链数据中心，如数据需要对外提供访问服务，可先将加密数据生成全球码，将码上链即可提供服务，服务过程中可对码进行不同访问控制，对不同用户设置不同访问密钥、访问期限等</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如果本院作为受信子节点的话，项目将需要依托区块链的建设基础，将符合指标集的专病数据进行上链存证、协同共享。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数据安全</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数据传输使用ssl协议传输，同时数据传输过程中敏感数据可使用脱敏或RSA加密传输，安全标准可根据省医标准进行改造或双方讨论进行改造。</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数据模块接入方式采用授权接入或白名单方式（主要为指定服务器接入）</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根据“基于区块链的卫生健康数据可信共享技术及示范应用”课题甲方 (中国医科大附院)要求，将相应的数据块接入模块对接系统，并能够以符合安全标准的方式输出。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数据服务API</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建立统一数据服务器，根据需要对外提供服务的业务数据生成对应的API接口，统一使用ssl方式传输数据，部分敏感数据需要使用脱敏或加密传输，传输端口可根据要求变动。</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对于以上要求对接的模块能够做到形成安全可靠 API 出网，能够对接其它端口使用。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临床科研模块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数据服务</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数据服务API中根据双方讨论制定数据上传、搜索规则等数据服务方式</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小程序模块包括了相关试验的上传，搜索，项目相关公制等功能。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数据库建设</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双方讨论需要对外提供服务的数据结构，由医码链公司设计数据库与出入的API，并与省医技术人员讨论形成最终版本。</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模块在系统内建设完整的数据库并供应相应的出入 API及完整结构表用于后期软件建设</w:t>
            </w:r>
          </w:p>
        </w:tc>
      </w:tr>
    </w:tbl>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pPr>
        <w:rPr>
          <w:sz w:val="32"/>
          <w:szCs w:val="32"/>
        </w:rPr>
      </w:pPr>
      <w:bookmarkStart w:id="0" w:name="_6.1.2、容器服务器"/>
      <w:bookmarkEnd w:id="0"/>
    </w:p>
    <w:p>
      <w:pPr>
        <w:pStyle w:val="2"/>
        <w:numPr>
          <w:ilvl w:val="0"/>
          <w:numId w:val="3"/>
        </w:numPr>
        <w:spacing w:before="0" w:after="0"/>
        <w:rPr>
          <w:rFonts w:ascii="宋体" w:hAnsi="宋体"/>
          <w:sz w:val="32"/>
          <w:szCs w:val="32"/>
          <w:lang w:eastAsia="zh-CN"/>
        </w:rPr>
      </w:pPr>
      <w:r>
        <w:rPr>
          <w:rFonts w:hint="eastAsia" w:ascii="宋体" w:hAnsi="宋体"/>
          <w:sz w:val="32"/>
          <w:szCs w:val="32"/>
          <w:lang w:val="en-US" w:eastAsia="zh-CN"/>
        </w:rPr>
        <w:t>合作研发产出</w:t>
      </w:r>
    </w:p>
    <w:p>
      <w:pPr>
        <w:tabs>
          <w:tab w:val="left" w:pos="567"/>
        </w:tabs>
        <w:spacing w:before="156" w:beforeLines="50" w:line="360" w:lineRule="auto"/>
        <w:ind w:firstLine="420" w:firstLineChars="200"/>
        <w:outlineLvl w:val="0"/>
        <w:rPr>
          <w:rFonts w:hint="eastAsia" w:ascii="宋体" w:hAnsi="宋体"/>
          <w:szCs w:val="21"/>
        </w:rPr>
      </w:pPr>
      <w:r>
        <w:rPr>
          <w:rFonts w:hint="eastAsia" w:ascii="宋体" w:hAnsi="宋体"/>
          <w:szCs w:val="21"/>
        </w:rPr>
        <w:t>合同生效起</w:t>
      </w:r>
      <w:r>
        <w:rPr>
          <w:rFonts w:hint="eastAsia" w:ascii="宋体" w:hAnsi="宋体"/>
          <w:szCs w:val="21"/>
          <w:u w:val="single"/>
          <w:lang w:val="en-US" w:eastAsia="zh-CN"/>
        </w:rPr>
        <w:t>3</w:t>
      </w:r>
      <w:r>
        <w:rPr>
          <w:rFonts w:hint="eastAsia" w:ascii="宋体" w:hAnsi="宋体"/>
          <w:szCs w:val="21"/>
        </w:rPr>
        <w:t>个月内</w:t>
      </w:r>
      <w:r>
        <w:rPr>
          <w:rFonts w:hint="eastAsia" w:ascii="宋体" w:hAnsi="宋体"/>
          <w:szCs w:val="21"/>
          <w:lang w:eastAsia="zh-CN"/>
        </w:rPr>
        <w:t>，</w:t>
      </w:r>
      <w:r>
        <w:rPr>
          <w:rFonts w:hint="eastAsia" w:ascii="宋体" w:hAnsi="宋体"/>
          <w:szCs w:val="21"/>
        </w:rPr>
        <w:t>协助医院完成1项</w:t>
      </w:r>
      <w:r>
        <w:rPr>
          <w:rFonts w:hint="eastAsia" w:ascii="宋体" w:hAnsi="宋体"/>
          <w:szCs w:val="21"/>
          <w:lang w:val="en-US" w:eastAsia="zh-CN"/>
        </w:rPr>
        <w:t>软件著作权</w:t>
      </w:r>
      <w:r>
        <w:rPr>
          <w:rFonts w:hint="eastAsia" w:ascii="宋体" w:hAnsi="宋体"/>
          <w:szCs w:val="21"/>
        </w:rPr>
        <w:t>材料编制、送审、报批等工作。项目实施产出物的知识产权归甲方主导，双方共有。双方不得以任何方式向第三方披露、转让和许可有关的技术成果、计算机软件、技术诀窍、秘密信息、技术资料和文件。</w:t>
      </w:r>
    </w:p>
    <w:p>
      <w:pPr>
        <w:pStyle w:val="2"/>
        <w:numPr>
          <w:numId w:val="0"/>
        </w:numPr>
        <w:spacing w:before="0" w:after="0"/>
        <w:ind w:leftChars="0"/>
        <w:rPr>
          <w:rFonts w:ascii="宋体" w:hAnsi="宋体"/>
          <w:sz w:val="21"/>
          <w:szCs w:val="21"/>
        </w:rPr>
      </w:pPr>
    </w:p>
    <w:p>
      <w:pPr>
        <w:pStyle w:val="2"/>
        <w:numPr>
          <w:ilvl w:val="0"/>
          <w:numId w:val="3"/>
        </w:numPr>
        <w:spacing w:before="0" w:after="0"/>
        <w:rPr>
          <w:rFonts w:ascii="宋体" w:hAnsi="宋体"/>
          <w:sz w:val="21"/>
          <w:szCs w:val="21"/>
        </w:rPr>
      </w:pPr>
      <w:r>
        <w:rPr>
          <w:rFonts w:hint="eastAsia" w:ascii="宋体" w:hAnsi="宋体"/>
          <w:sz w:val="32"/>
          <w:szCs w:val="32"/>
          <w:lang w:val="en-US" w:eastAsia="zh-CN"/>
        </w:rPr>
        <w:t>合作研发</w:t>
      </w:r>
      <w:r>
        <w:rPr>
          <w:rFonts w:hint="eastAsia" w:ascii="宋体" w:hAnsi="宋体"/>
          <w:sz w:val="32"/>
          <w:szCs w:val="32"/>
        </w:rPr>
        <w:t>工期</w:t>
      </w:r>
    </w:p>
    <w:p>
      <w:pPr>
        <w:numPr>
          <w:ilvl w:val="0"/>
          <w:numId w:val="4"/>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自合同签订日起，须在</w:t>
      </w:r>
      <w:r>
        <w:rPr>
          <w:rFonts w:hint="eastAsia" w:ascii="宋体" w:hAnsi="宋体" w:cs="宋体"/>
          <w:szCs w:val="21"/>
          <w:u w:val="single"/>
          <w:lang w:val="en-US" w:eastAsia="zh-CN"/>
        </w:rPr>
        <w:t>14</w:t>
      </w:r>
      <w:r>
        <w:rPr>
          <w:rFonts w:hint="eastAsia" w:ascii="宋体" w:hAnsi="宋体" w:cs="宋体"/>
          <w:szCs w:val="21"/>
        </w:rPr>
        <w:t>个工作日内对《用户需求说明书》进行补充、确认或提出意见。</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lang w:val="en-US" w:eastAsia="zh-CN"/>
        </w:rPr>
        <w:t>28</w:t>
      </w:r>
      <w:r>
        <w:rPr>
          <w:rFonts w:hint="eastAsia" w:ascii="宋体" w:hAnsi="宋体" w:cs="宋体"/>
          <w:szCs w:val="21"/>
        </w:rPr>
        <w:t>个工作日内确认《需求规格说明书》。</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w:t>
      </w:r>
      <w:r>
        <w:rPr>
          <w:rFonts w:hint="eastAsia" w:ascii="宋体" w:hAnsi="宋体" w:cs="宋体"/>
          <w:szCs w:val="21"/>
          <w:u w:val="single"/>
          <w:lang w:val="en-US" w:eastAsia="zh-CN"/>
        </w:rPr>
        <w:t>56</w:t>
      </w:r>
      <w:r>
        <w:rPr>
          <w:rFonts w:hint="eastAsia" w:ascii="宋体" w:hAnsi="宋体" w:cs="宋体"/>
          <w:szCs w:val="21"/>
        </w:rPr>
        <w:t>个工作日内完成实施导入和保证系统正常工作。</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完成软件实施，并根据院方提出的新需求完成修改后，系统运行</w:t>
      </w:r>
      <w:r>
        <w:rPr>
          <w:rFonts w:hint="eastAsia" w:ascii="宋体" w:hAnsi="宋体" w:cs="宋体"/>
          <w:szCs w:val="21"/>
          <w:u w:val="single"/>
          <w:lang w:val="en-US" w:eastAsia="zh-CN"/>
        </w:rPr>
        <w:t>3</w:t>
      </w:r>
      <w:r>
        <w:rPr>
          <w:rFonts w:hint="eastAsia" w:ascii="宋体" w:hAnsi="宋体" w:cs="宋体"/>
          <w:szCs w:val="21"/>
        </w:rPr>
        <w:t>个月以上无软件故障出现，则向院方申请验收。</w:t>
      </w:r>
    </w:p>
    <w:p>
      <w:pPr>
        <w:rPr>
          <w:lang w:val="zh-CN"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w:t>
      </w:r>
      <w:r>
        <w:rPr>
          <w:rFonts w:hint="eastAsia" w:ascii="宋体" w:hAnsi="宋体" w:cs="宋体"/>
          <w:szCs w:val="21"/>
          <w:u w:val="single"/>
          <w:lang w:val="en-US" w:eastAsia="zh-CN"/>
        </w:rPr>
        <w:t>1</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pPr>
        <w:rPr>
          <w:rFonts w:hint="eastAsia"/>
          <w:lang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软件免费维护期从合同标的验收合格之日算起，期限为</w:t>
      </w:r>
      <w:r>
        <w:rPr>
          <w:rFonts w:hint="eastAsia" w:ascii="宋体" w:hAnsi="宋体" w:cs="宋体"/>
          <w:szCs w:val="21"/>
          <w:u w:val="single"/>
          <w:lang w:val="en-US" w:eastAsia="zh-CN"/>
        </w:rPr>
        <w:t>24</w:t>
      </w:r>
      <w:r>
        <w:rPr>
          <w:rFonts w:hint="eastAsia" w:ascii="宋体" w:hAnsi="宋体" w:cs="宋体"/>
          <w:szCs w:val="21"/>
        </w:rPr>
        <w:t>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hint="eastAsia" w:ascii="宋体" w:hAnsi="宋体" w:cs="宋体"/>
          <w:szCs w:val="21"/>
          <w:lang w:eastAsia="zh-CN"/>
        </w:rPr>
      </w:pPr>
      <w:r>
        <w:rPr>
          <w:rFonts w:hint="eastAsia" w:ascii="宋体" w:hAnsi="宋体" w:cs="宋体"/>
          <w:szCs w:val="21"/>
        </w:rPr>
        <w:t>免费维保期内承建商为院方提供维护及服务的部门及固定的专职技术人员。承建商提供专职工程师</w:t>
      </w:r>
      <w:r>
        <w:rPr>
          <w:rFonts w:hint="eastAsia" w:ascii="宋体" w:hAnsi="宋体" w:cs="宋体"/>
          <w:szCs w:val="21"/>
          <w:u w:val="single"/>
          <w:lang w:val="en-US" w:eastAsia="zh-CN"/>
        </w:rPr>
        <w:t>1</w:t>
      </w:r>
      <w:r>
        <w:rPr>
          <w:rFonts w:hint="eastAsia" w:ascii="宋体" w:hAnsi="宋体" w:cs="宋体"/>
          <w:szCs w:val="21"/>
        </w:rPr>
        <w:t>名</w:t>
      </w:r>
      <w:r>
        <w:rPr>
          <w:rFonts w:hint="eastAsia" w:ascii="宋体" w:hAnsi="宋体" w:cs="宋体"/>
          <w:szCs w:val="21"/>
          <w:lang w:val="en-US" w:eastAsia="zh-CN"/>
        </w:rPr>
        <w:t>负责</w:t>
      </w:r>
      <w:r>
        <w:rPr>
          <w:rFonts w:hint="eastAsia" w:ascii="宋体" w:hAnsi="宋体" w:cs="宋体"/>
          <w:szCs w:val="21"/>
        </w:rPr>
        <w:t>本院</w:t>
      </w:r>
      <w:r>
        <w:rPr>
          <w:rFonts w:hint="eastAsia" w:ascii="宋体" w:hAnsi="宋体" w:cs="宋体"/>
          <w:szCs w:val="21"/>
          <w:lang w:val="en-US" w:eastAsia="zh-CN"/>
        </w:rPr>
        <w:t>工作</w:t>
      </w:r>
      <w:r>
        <w:rPr>
          <w:rFonts w:hint="eastAsia" w:ascii="宋体" w:hAnsi="宋体" w:cs="宋体"/>
          <w:szCs w:val="21"/>
          <w:lang w:eastAsia="zh-CN"/>
        </w:rPr>
        <w:t>。</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超过免费维护期的，双方另行协商签订维护合同，服务方报价不超过合同软件部分金额的8%。</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hint="eastAsia" w:ascii="宋体" w:hAnsi="宋体" w:cs="宋体"/>
          <w:szCs w:val="21"/>
        </w:rPr>
      </w:pPr>
      <w:r>
        <w:rPr>
          <w:rFonts w:hint="eastAsia" w:ascii="宋体" w:hAnsi="宋体" w:cs="宋体"/>
          <w:szCs w:val="21"/>
        </w:rPr>
        <w:t>(一)服务期开始后，在收到开具相应金额正式发票后，支付合同总金额的</w:t>
      </w: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w:t>
      </w:r>
    </w:p>
    <w:p>
      <w:pPr>
        <w:spacing w:line="360" w:lineRule="auto"/>
        <w:ind w:firstLine="630" w:firstLineChars="300"/>
        <w:rPr>
          <w:rFonts w:hint="eastAsia" w:ascii="宋体" w:hAnsi="宋体" w:cs="宋体"/>
          <w:b/>
          <w:color w:val="FF0000"/>
          <w:sz w:val="30"/>
          <w:szCs w:val="30"/>
        </w:rPr>
      </w:pPr>
      <w:r>
        <w:rPr>
          <w:rFonts w:hint="eastAsia" w:ascii="宋体" w:hAnsi="宋体" w:cs="宋体"/>
          <w:szCs w:val="21"/>
        </w:rPr>
        <w:t>(二)甲方在确认合同内服务已完成且收到乙方开具相应金额正式发票，向乙方支付合同总金额的70%。</w:t>
      </w:r>
      <w:bookmarkStart w:id="1" w:name="_GoBack"/>
      <w:bookmarkEnd w:id="1"/>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wODc3MDgyNTVmZGRkM2U0N2QwNTY3YzA3NDJmZD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42200080"/>
    <w:rsid w:val="488C513A"/>
    <w:rsid w:val="5DE55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autoRedefine/>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11">
    <w:name w:val="Normal Indent"/>
    <w:basedOn w:val="1"/>
    <w:link w:val="33"/>
    <w:autoRedefine/>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autoRedefine/>
    <w:unhideWhenUsed/>
    <w:qFormat/>
    <w:uiPriority w:val="0"/>
    <w:pPr>
      <w:jc w:val="left"/>
    </w:pPr>
    <w:rPr>
      <w:kern w:val="0"/>
      <w:sz w:val="20"/>
      <w:lang w:val="zh-CN" w:eastAsia="zh-CN"/>
    </w:rPr>
  </w:style>
  <w:style w:type="paragraph" w:styleId="13">
    <w:name w:val="Plain Text"/>
    <w:basedOn w:val="1"/>
    <w:link w:val="35"/>
    <w:autoRedefine/>
    <w:qFormat/>
    <w:uiPriority w:val="0"/>
    <w:rPr>
      <w:rFonts w:ascii="Calibri" w:hAnsi="Courier New"/>
      <w:szCs w:val="20"/>
      <w:lang w:val="zh-CN" w:eastAsia="zh-CN"/>
    </w:rPr>
  </w:style>
  <w:style w:type="paragraph" w:styleId="14">
    <w:name w:val="Balloon Text"/>
    <w:basedOn w:val="1"/>
    <w:link w:val="36"/>
    <w:autoRedefine/>
    <w:qFormat/>
    <w:uiPriority w:val="0"/>
    <w:rPr>
      <w:sz w:val="18"/>
      <w:szCs w:val="18"/>
      <w:lang w:val="zh-CN" w:eastAsia="zh-CN"/>
    </w:rPr>
  </w:style>
  <w:style w:type="paragraph" w:styleId="15">
    <w:name w:val="footer"/>
    <w:basedOn w:val="1"/>
    <w:link w:val="37"/>
    <w:autoRedefine/>
    <w:qFormat/>
    <w:uiPriority w:val="0"/>
    <w:pPr>
      <w:tabs>
        <w:tab w:val="center" w:pos="4153"/>
        <w:tab w:val="right" w:pos="8306"/>
      </w:tabs>
      <w:snapToGrid w:val="0"/>
      <w:jc w:val="left"/>
    </w:pPr>
    <w:rPr>
      <w:sz w:val="18"/>
      <w:szCs w:val="18"/>
      <w:lang w:val="zh-CN" w:eastAsia="zh-CN"/>
    </w:rPr>
  </w:style>
  <w:style w:type="paragraph" w:styleId="16">
    <w:name w:val="header"/>
    <w:basedOn w:val="1"/>
    <w:link w:val="38"/>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autoRedefine/>
    <w:qFormat/>
    <w:uiPriority w:val="0"/>
    <w:rPr>
      <w:color w:val="0563C1"/>
      <w:u w:val="single"/>
    </w:rPr>
  </w:style>
  <w:style w:type="character" w:styleId="23">
    <w:name w:val="annotation reference"/>
    <w:autoRedefine/>
    <w:unhideWhenUsed/>
    <w:qFormat/>
    <w:uiPriority w:val="99"/>
    <w:rPr>
      <w:sz w:val="21"/>
      <w:szCs w:val="21"/>
    </w:rPr>
  </w:style>
  <w:style w:type="character" w:customStyle="1" w:styleId="24">
    <w:name w:val="标题 1 Char"/>
    <w:link w:val="2"/>
    <w:autoRedefine/>
    <w:qFormat/>
    <w:uiPriority w:val="0"/>
    <w:rPr>
      <w:b/>
      <w:bCs/>
      <w:kern w:val="44"/>
      <w:sz w:val="44"/>
      <w:szCs w:val="44"/>
      <w:lang w:val="zh-CN" w:eastAsia="zh-CN"/>
    </w:rPr>
  </w:style>
  <w:style w:type="character" w:customStyle="1" w:styleId="25">
    <w:name w:val="标题 2 Char"/>
    <w:link w:val="3"/>
    <w:autoRedefine/>
    <w:qFormat/>
    <w:uiPriority w:val="0"/>
    <w:rPr>
      <w:rFonts w:ascii="等线 Light" w:hAnsi="等线 Light" w:eastAsia="等线 Light" w:cs="Times New Roman"/>
      <w:b/>
      <w:bCs/>
      <w:kern w:val="2"/>
      <w:sz w:val="32"/>
      <w:szCs w:val="32"/>
    </w:rPr>
  </w:style>
  <w:style w:type="character" w:customStyle="1" w:styleId="26">
    <w:name w:val="标题 3 Char"/>
    <w:link w:val="4"/>
    <w:autoRedefine/>
    <w:qFormat/>
    <w:uiPriority w:val="0"/>
    <w:rPr>
      <w:b/>
      <w:bCs/>
      <w:kern w:val="2"/>
      <w:sz w:val="30"/>
      <w:szCs w:val="30"/>
    </w:rPr>
  </w:style>
  <w:style w:type="character" w:customStyle="1" w:styleId="27">
    <w:name w:val="标题 4 Char"/>
    <w:link w:val="5"/>
    <w:autoRedefine/>
    <w:qFormat/>
    <w:uiPriority w:val="0"/>
    <w:rPr>
      <w:rFonts w:ascii="宋体" w:hAnsi="宋体"/>
      <w:b/>
      <w:bCs/>
      <w:kern w:val="2"/>
      <w:sz w:val="28"/>
      <w:szCs w:val="28"/>
    </w:rPr>
  </w:style>
  <w:style w:type="character" w:customStyle="1" w:styleId="28">
    <w:name w:val="标题 5 Char"/>
    <w:link w:val="6"/>
    <w:autoRedefine/>
    <w:qFormat/>
    <w:uiPriority w:val="0"/>
    <w:rPr>
      <w:b/>
      <w:bCs/>
      <w:kern w:val="2"/>
      <w:sz w:val="28"/>
      <w:szCs w:val="28"/>
    </w:rPr>
  </w:style>
  <w:style w:type="character" w:customStyle="1" w:styleId="29">
    <w:name w:val="标题 6 Char"/>
    <w:link w:val="7"/>
    <w:autoRedefine/>
    <w:semiHidden/>
    <w:qFormat/>
    <w:uiPriority w:val="0"/>
    <w:rPr>
      <w:rFonts w:ascii="等线 Light" w:hAnsi="等线 Light" w:eastAsia="等线 Light"/>
      <w:b/>
      <w:bCs/>
      <w:kern w:val="2"/>
      <w:sz w:val="24"/>
      <w:szCs w:val="24"/>
    </w:rPr>
  </w:style>
  <w:style w:type="character" w:customStyle="1" w:styleId="30">
    <w:name w:val="标题 7 Char"/>
    <w:link w:val="8"/>
    <w:autoRedefine/>
    <w:semiHidden/>
    <w:qFormat/>
    <w:uiPriority w:val="0"/>
    <w:rPr>
      <w:b/>
      <w:bCs/>
      <w:kern w:val="2"/>
      <w:sz w:val="24"/>
      <w:szCs w:val="24"/>
    </w:rPr>
  </w:style>
  <w:style w:type="character" w:customStyle="1" w:styleId="31">
    <w:name w:val="标题 8 Char"/>
    <w:link w:val="9"/>
    <w:autoRedefine/>
    <w:semiHidden/>
    <w:qFormat/>
    <w:uiPriority w:val="0"/>
    <w:rPr>
      <w:rFonts w:ascii="等线 Light" w:hAnsi="等线 Light" w:eastAsia="等线 Light"/>
      <w:kern w:val="2"/>
      <w:sz w:val="24"/>
      <w:szCs w:val="24"/>
    </w:rPr>
  </w:style>
  <w:style w:type="character" w:customStyle="1" w:styleId="32">
    <w:name w:val="标题 9 Char"/>
    <w:link w:val="10"/>
    <w:autoRedefine/>
    <w:semiHidden/>
    <w:qFormat/>
    <w:uiPriority w:val="0"/>
    <w:rPr>
      <w:rFonts w:ascii="等线 Light" w:hAnsi="等线 Light" w:eastAsia="等线 Light"/>
      <w:kern w:val="2"/>
      <w:sz w:val="21"/>
      <w:szCs w:val="21"/>
    </w:rPr>
  </w:style>
  <w:style w:type="character" w:customStyle="1" w:styleId="33">
    <w:name w:val="正文缩进 Char"/>
    <w:link w:val="11"/>
    <w:autoRedefine/>
    <w:qFormat/>
    <w:uiPriority w:val="99"/>
    <w:rPr>
      <w:spacing w:val="8"/>
      <w:kern w:val="2"/>
      <w:sz w:val="24"/>
      <w:lang w:val="en-US" w:eastAsia="zh-CN"/>
    </w:rPr>
  </w:style>
  <w:style w:type="character" w:customStyle="1" w:styleId="34">
    <w:name w:val="批注文字 Char"/>
    <w:link w:val="12"/>
    <w:autoRedefine/>
    <w:qFormat/>
    <w:uiPriority w:val="0"/>
    <w:rPr>
      <w:szCs w:val="24"/>
    </w:rPr>
  </w:style>
  <w:style w:type="character" w:customStyle="1" w:styleId="35">
    <w:name w:val="纯文本 Char"/>
    <w:link w:val="13"/>
    <w:autoRedefine/>
    <w:qFormat/>
    <w:uiPriority w:val="0"/>
    <w:rPr>
      <w:rFonts w:ascii="Calibri" w:hAnsi="Courier New"/>
      <w:kern w:val="2"/>
      <w:sz w:val="21"/>
    </w:rPr>
  </w:style>
  <w:style w:type="character" w:customStyle="1" w:styleId="36">
    <w:name w:val="批注框文本 Char"/>
    <w:link w:val="14"/>
    <w:autoRedefine/>
    <w:qFormat/>
    <w:uiPriority w:val="0"/>
    <w:rPr>
      <w:kern w:val="2"/>
      <w:sz w:val="18"/>
      <w:szCs w:val="18"/>
    </w:rPr>
  </w:style>
  <w:style w:type="character" w:customStyle="1" w:styleId="37">
    <w:name w:val="页脚 Char"/>
    <w:link w:val="15"/>
    <w:autoRedefine/>
    <w:qFormat/>
    <w:uiPriority w:val="0"/>
    <w:rPr>
      <w:kern w:val="2"/>
      <w:sz w:val="18"/>
      <w:szCs w:val="18"/>
    </w:rPr>
  </w:style>
  <w:style w:type="character" w:customStyle="1" w:styleId="38">
    <w:name w:val="页眉 Char"/>
    <w:link w:val="16"/>
    <w:autoRedefine/>
    <w:qFormat/>
    <w:uiPriority w:val="0"/>
    <w:rPr>
      <w:kern w:val="2"/>
      <w:sz w:val="18"/>
      <w:szCs w:val="18"/>
    </w:rPr>
  </w:style>
  <w:style w:type="character" w:customStyle="1" w:styleId="39">
    <w:name w:val="已访问的超链接1"/>
    <w:autoRedefine/>
    <w:qFormat/>
    <w:uiPriority w:val="0"/>
    <w:rPr>
      <w:color w:val="800080"/>
      <w:u w:val="single"/>
    </w:rPr>
  </w:style>
  <w:style w:type="character" w:customStyle="1" w:styleId="40">
    <w:name w:val="正文（首行缩进2字符） Char"/>
    <w:link w:val="41"/>
    <w:autoRedefine/>
    <w:qFormat/>
    <w:uiPriority w:val="0"/>
    <w:rPr>
      <w:kern w:val="2"/>
      <w:sz w:val="24"/>
      <w:szCs w:val="24"/>
    </w:rPr>
  </w:style>
  <w:style w:type="paragraph" w:customStyle="1" w:styleId="41">
    <w:name w:val="正文（首行缩进2字符）"/>
    <w:basedOn w:val="1"/>
    <w:link w:val="40"/>
    <w:autoRedefine/>
    <w:qFormat/>
    <w:uiPriority w:val="0"/>
    <w:pPr>
      <w:spacing w:line="360" w:lineRule="auto"/>
      <w:ind w:firstLine="480" w:firstLineChars="200"/>
    </w:pPr>
    <w:rPr>
      <w:sz w:val="24"/>
      <w:lang w:val="zh-CN" w:eastAsia="zh-CN"/>
    </w:rPr>
  </w:style>
  <w:style w:type="character" w:customStyle="1" w:styleId="42">
    <w:name w:val="段落 Char1"/>
    <w:link w:val="43"/>
    <w:autoRedefine/>
    <w:qFormat/>
    <w:uiPriority w:val="0"/>
    <w:rPr>
      <w:rFonts w:eastAsia="仿宋_GB2312"/>
      <w:sz w:val="24"/>
      <w:szCs w:val="24"/>
      <w:lang w:val="en-US" w:eastAsia="zh-CN" w:bidi="ar-SA"/>
    </w:rPr>
  </w:style>
  <w:style w:type="paragraph" w:customStyle="1" w:styleId="43">
    <w:name w:val="段落"/>
    <w:link w:val="42"/>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autoRedefine/>
    <w:qFormat/>
    <w:uiPriority w:val="0"/>
    <w:rPr>
      <w:rFonts w:ascii="Arial" w:hAnsi="Arial"/>
      <w:sz w:val="21"/>
      <w:szCs w:val="21"/>
      <w:lang w:val="en-US" w:eastAsia="zh-CN" w:bidi="ar-SA"/>
    </w:rPr>
  </w:style>
  <w:style w:type="paragraph" w:customStyle="1" w:styleId="45">
    <w:name w:val="正文（安华金和）"/>
    <w:link w:val="44"/>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autoRedefine/>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autoRedefine/>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autoRedefine/>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autoRedefine/>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autoRedefine/>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autoRedefine/>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218</Words>
  <Characters>1244</Characters>
  <Lines>10</Lines>
  <Paragraphs>2</Paragraphs>
  <TotalTime>0</TotalTime>
  <ScaleCrop>false</ScaleCrop>
  <LinksUpToDate>false</LinksUpToDate>
  <CharactersWithSpaces>1460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微信用户</cp:lastModifiedBy>
  <dcterms:modified xsi:type="dcterms:W3CDTF">2024-03-01T00:33:23Z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E6BF652D54F944798887341195E59480</vt:lpwstr>
  </property>
</Properties>
</file>