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after="312"/>
        <w:jc w:val="both"/>
        <w:rPr>
          <w:rFonts w:asciiTheme="minorEastAsia" w:hAnsiTheme="minorEastAsia" w:eastAsiaTheme="minorEastAsia"/>
          <w:sz w:val="44"/>
          <w:szCs w:val="44"/>
        </w:rPr>
      </w:pPr>
      <w:r>
        <w:rPr>
          <w:rFonts w:hint="eastAsia" w:asciiTheme="minorEastAsia" w:hAnsiTheme="minorEastAsia" w:eastAsiaTheme="minorEastAsia"/>
          <w:sz w:val="44"/>
          <w:szCs w:val="44"/>
        </w:rPr>
        <w:t>广东省人民急诊病历升级改造项目需求</w:t>
      </w:r>
    </w:p>
    <w:p>
      <w:pPr>
        <w:spacing w:after="312" w:afterLines="100"/>
        <w:rPr>
          <w:rFonts w:asciiTheme="minorEastAsia" w:hAnsiTheme="minorEastAsia"/>
        </w:rPr>
      </w:pPr>
      <w:r>
        <w:rPr>
          <w:rFonts w:hint="eastAsia" w:asciiTheme="minorEastAsia" w:hAnsiTheme="minorEastAsia"/>
          <w:b/>
          <w:bCs/>
          <w:kern w:val="44"/>
          <w:sz w:val="32"/>
          <w:szCs w:val="44"/>
        </w:rPr>
        <w:t>一、项目名称</w:t>
      </w:r>
    </w:p>
    <w:p>
      <w:pPr>
        <w:ind w:firstLine="480" w:firstLineChars="200"/>
        <w:rPr>
          <w:rFonts w:cs="宋体" w:asciiTheme="minorEastAsia" w:hAnsiTheme="minorEastAsia"/>
        </w:rPr>
      </w:pPr>
      <w:r>
        <w:rPr>
          <w:rFonts w:hint="eastAsia" w:cs="宋体" w:asciiTheme="minorEastAsia" w:hAnsiTheme="minorEastAsia"/>
        </w:rPr>
        <w:t>项目名称：广东省人民急诊病历升级改造项目</w:t>
      </w:r>
      <w:bookmarkStart w:id="5" w:name="_GoBack"/>
      <w:bookmarkEnd w:id="5"/>
    </w:p>
    <w:p>
      <w:pPr>
        <w:rPr>
          <w:rFonts w:asciiTheme="minorEastAsia" w:hAnsiTheme="minorEastAsia"/>
          <w:b/>
          <w:bCs/>
          <w:kern w:val="44"/>
          <w:sz w:val="32"/>
          <w:szCs w:val="44"/>
        </w:rPr>
      </w:pPr>
      <w:r>
        <w:rPr>
          <w:rFonts w:hint="eastAsia" w:asciiTheme="minorEastAsia" w:hAnsiTheme="minorEastAsia"/>
          <w:b/>
          <w:bCs/>
          <w:kern w:val="44"/>
          <w:sz w:val="32"/>
          <w:szCs w:val="44"/>
        </w:rPr>
        <w:t>二、采购清单</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4333"/>
        <w:gridCol w:w="2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29" w:type="dxa"/>
          </w:tcPr>
          <w:p>
            <w:pPr>
              <w:pStyle w:val="2"/>
              <w:spacing w:after="312"/>
              <w:rPr>
                <w:rFonts w:asciiTheme="majorEastAsia" w:hAnsiTheme="majorEastAsia" w:eastAsiaTheme="majorEastAsia"/>
              </w:rPr>
            </w:pPr>
            <w:r>
              <w:rPr>
                <w:rFonts w:hint="eastAsia" w:asciiTheme="majorEastAsia" w:hAnsiTheme="majorEastAsia" w:eastAsiaTheme="majorEastAsia"/>
              </w:rPr>
              <w:t>序号</w:t>
            </w:r>
          </w:p>
        </w:tc>
        <w:tc>
          <w:tcPr>
            <w:tcW w:w="4333" w:type="dxa"/>
          </w:tcPr>
          <w:p>
            <w:pPr>
              <w:pStyle w:val="2"/>
              <w:spacing w:after="312"/>
              <w:rPr>
                <w:rFonts w:asciiTheme="majorEastAsia" w:hAnsiTheme="majorEastAsia" w:eastAsiaTheme="majorEastAsia"/>
              </w:rPr>
            </w:pPr>
            <w:r>
              <w:rPr>
                <w:rFonts w:hint="eastAsia" w:asciiTheme="majorEastAsia" w:hAnsiTheme="majorEastAsia" w:eastAsiaTheme="majorEastAsia"/>
              </w:rPr>
              <w:t>模块</w:t>
            </w:r>
          </w:p>
        </w:tc>
        <w:tc>
          <w:tcPr>
            <w:tcW w:w="2731" w:type="dxa"/>
          </w:tcPr>
          <w:p>
            <w:pPr>
              <w:pStyle w:val="2"/>
              <w:spacing w:after="312"/>
              <w:rPr>
                <w:rFonts w:asciiTheme="majorEastAsia" w:hAnsiTheme="majorEastAsia" w:eastAsiaTheme="majorEastAsia"/>
              </w:rPr>
            </w:pPr>
            <w:r>
              <w:rPr>
                <w:rFonts w:hint="eastAsia" w:asciiTheme="majorEastAsia" w:hAnsiTheme="majorEastAsia" w:eastAsiaTheme="majorEastAsi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29" w:type="dxa"/>
          </w:tcPr>
          <w:p>
            <w:pPr>
              <w:pStyle w:val="2"/>
              <w:spacing w:after="312"/>
              <w:rPr>
                <w:rFonts w:asciiTheme="majorEastAsia" w:hAnsiTheme="majorEastAsia" w:eastAsiaTheme="majorEastAsia"/>
              </w:rPr>
            </w:pPr>
            <w:r>
              <w:rPr>
                <w:rFonts w:hint="eastAsia" w:asciiTheme="majorEastAsia" w:hAnsiTheme="majorEastAsia" w:eastAsiaTheme="majorEastAsia"/>
              </w:rPr>
              <w:t>1</w:t>
            </w:r>
          </w:p>
        </w:tc>
        <w:tc>
          <w:tcPr>
            <w:tcW w:w="4333" w:type="dxa"/>
          </w:tcPr>
          <w:p>
            <w:pPr>
              <w:pStyle w:val="2"/>
              <w:spacing w:after="312"/>
              <w:rPr>
                <w:rFonts w:asciiTheme="majorEastAsia" w:hAnsiTheme="majorEastAsia" w:eastAsiaTheme="majorEastAsia"/>
              </w:rPr>
            </w:pPr>
            <w:r>
              <w:rPr>
                <w:rFonts w:hint="eastAsia" w:asciiTheme="majorEastAsia" w:hAnsiTheme="majorEastAsia" w:eastAsiaTheme="majorEastAsia"/>
              </w:rPr>
              <w:t>叫号模块优化</w:t>
            </w:r>
          </w:p>
        </w:tc>
        <w:tc>
          <w:tcPr>
            <w:tcW w:w="2731" w:type="dxa"/>
          </w:tcPr>
          <w:p>
            <w:pPr>
              <w:pStyle w:val="2"/>
              <w:spacing w:after="312"/>
              <w:rPr>
                <w:rFonts w:asciiTheme="majorEastAsia" w:hAnsiTheme="majorEastAsia" w:eastAsiaTheme="majorEastAsia"/>
              </w:rPr>
            </w:pPr>
            <w:r>
              <w:rPr>
                <w:rFonts w:hint="eastAsia" w:asciiTheme="majorEastAsia" w:hAnsiTheme="majorEastAsia" w:eastAsiaTheme="major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29" w:type="dxa"/>
          </w:tcPr>
          <w:p>
            <w:pPr>
              <w:pStyle w:val="2"/>
              <w:spacing w:after="312"/>
              <w:rPr>
                <w:rFonts w:asciiTheme="majorEastAsia" w:hAnsiTheme="majorEastAsia" w:eastAsiaTheme="majorEastAsia"/>
              </w:rPr>
            </w:pPr>
            <w:r>
              <w:rPr>
                <w:rFonts w:hint="eastAsia" w:asciiTheme="majorEastAsia" w:hAnsiTheme="majorEastAsia" w:eastAsiaTheme="majorEastAsia"/>
              </w:rPr>
              <w:t>2</w:t>
            </w:r>
          </w:p>
        </w:tc>
        <w:tc>
          <w:tcPr>
            <w:tcW w:w="4333" w:type="dxa"/>
          </w:tcPr>
          <w:p>
            <w:pPr>
              <w:pStyle w:val="2"/>
              <w:spacing w:after="312"/>
              <w:rPr>
                <w:rFonts w:asciiTheme="majorEastAsia" w:hAnsiTheme="majorEastAsia" w:eastAsiaTheme="majorEastAsia"/>
              </w:rPr>
            </w:pPr>
            <w:r>
              <w:rPr>
                <w:rFonts w:hint="eastAsia" w:asciiTheme="majorEastAsia" w:hAnsiTheme="majorEastAsia" w:eastAsiaTheme="majorEastAsia"/>
              </w:rPr>
              <w:t>病历模块优化</w:t>
            </w:r>
          </w:p>
        </w:tc>
        <w:tc>
          <w:tcPr>
            <w:tcW w:w="2731" w:type="dxa"/>
          </w:tcPr>
          <w:p>
            <w:pPr>
              <w:pStyle w:val="2"/>
              <w:spacing w:after="312"/>
              <w:rPr>
                <w:rFonts w:asciiTheme="majorEastAsia" w:hAnsiTheme="majorEastAsia" w:eastAsiaTheme="majorEastAsia"/>
              </w:rPr>
            </w:pPr>
            <w:r>
              <w:rPr>
                <w:rFonts w:hint="eastAsia" w:asciiTheme="majorEastAsia" w:hAnsiTheme="majorEastAsia" w:eastAsiaTheme="major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29" w:type="dxa"/>
          </w:tcPr>
          <w:p>
            <w:pPr>
              <w:pStyle w:val="2"/>
              <w:spacing w:after="312"/>
              <w:rPr>
                <w:rFonts w:asciiTheme="majorEastAsia" w:hAnsiTheme="majorEastAsia" w:eastAsiaTheme="majorEastAsia"/>
              </w:rPr>
            </w:pPr>
            <w:r>
              <w:rPr>
                <w:rFonts w:hint="eastAsia" w:asciiTheme="majorEastAsia" w:hAnsiTheme="majorEastAsia" w:eastAsiaTheme="majorEastAsia"/>
              </w:rPr>
              <w:t>3</w:t>
            </w:r>
          </w:p>
        </w:tc>
        <w:tc>
          <w:tcPr>
            <w:tcW w:w="4333" w:type="dxa"/>
          </w:tcPr>
          <w:p>
            <w:pPr>
              <w:pStyle w:val="2"/>
              <w:spacing w:after="312"/>
              <w:rPr>
                <w:rFonts w:asciiTheme="majorEastAsia" w:hAnsiTheme="majorEastAsia" w:eastAsiaTheme="majorEastAsia"/>
              </w:rPr>
            </w:pPr>
            <w:r>
              <w:rPr>
                <w:rFonts w:hint="eastAsia" w:asciiTheme="majorEastAsia" w:hAnsiTheme="majorEastAsia" w:eastAsiaTheme="majorEastAsia"/>
              </w:rPr>
              <w:t>历史数据查看及引用模块优化</w:t>
            </w:r>
          </w:p>
        </w:tc>
        <w:tc>
          <w:tcPr>
            <w:tcW w:w="2731" w:type="dxa"/>
          </w:tcPr>
          <w:p>
            <w:pPr>
              <w:pStyle w:val="2"/>
              <w:spacing w:after="312"/>
              <w:rPr>
                <w:rFonts w:asciiTheme="majorEastAsia" w:hAnsiTheme="majorEastAsia" w:eastAsiaTheme="majorEastAsia"/>
              </w:rPr>
            </w:pPr>
            <w:r>
              <w:rPr>
                <w:rFonts w:hint="eastAsia" w:asciiTheme="majorEastAsia" w:hAnsiTheme="majorEastAsia" w:eastAsiaTheme="major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trPr>
        <w:tc>
          <w:tcPr>
            <w:tcW w:w="1129" w:type="dxa"/>
          </w:tcPr>
          <w:p>
            <w:pPr>
              <w:pStyle w:val="2"/>
              <w:spacing w:after="312"/>
              <w:rPr>
                <w:rFonts w:asciiTheme="majorEastAsia" w:hAnsiTheme="majorEastAsia" w:eastAsiaTheme="majorEastAsia"/>
              </w:rPr>
            </w:pPr>
            <w:r>
              <w:rPr>
                <w:rFonts w:hint="eastAsia" w:asciiTheme="majorEastAsia" w:hAnsiTheme="majorEastAsia" w:eastAsiaTheme="majorEastAsia"/>
              </w:rPr>
              <w:t>4</w:t>
            </w:r>
          </w:p>
        </w:tc>
        <w:tc>
          <w:tcPr>
            <w:tcW w:w="4333" w:type="dxa"/>
          </w:tcPr>
          <w:p>
            <w:pPr>
              <w:pStyle w:val="2"/>
              <w:spacing w:after="312"/>
              <w:rPr>
                <w:rFonts w:asciiTheme="majorEastAsia" w:hAnsiTheme="majorEastAsia" w:eastAsiaTheme="majorEastAsia"/>
              </w:rPr>
            </w:pPr>
            <w:r>
              <w:rPr>
                <w:rFonts w:hint="eastAsia" w:asciiTheme="majorEastAsia" w:hAnsiTheme="majorEastAsia" w:eastAsiaTheme="majorEastAsia"/>
              </w:rPr>
              <w:t>危急值模块优化</w:t>
            </w:r>
          </w:p>
        </w:tc>
        <w:tc>
          <w:tcPr>
            <w:tcW w:w="2731" w:type="dxa"/>
          </w:tcPr>
          <w:p>
            <w:pPr>
              <w:pStyle w:val="2"/>
              <w:spacing w:after="312"/>
              <w:rPr>
                <w:rFonts w:asciiTheme="majorEastAsia" w:hAnsiTheme="majorEastAsia" w:eastAsiaTheme="majorEastAsia"/>
              </w:rPr>
            </w:pPr>
            <w:r>
              <w:rPr>
                <w:rFonts w:hint="eastAsia" w:asciiTheme="majorEastAsia" w:hAnsiTheme="majorEastAsia" w:eastAsiaTheme="major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29" w:type="dxa"/>
          </w:tcPr>
          <w:p>
            <w:pPr>
              <w:pStyle w:val="2"/>
              <w:spacing w:after="312"/>
              <w:rPr>
                <w:rFonts w:asciiTheme="majorEastAsia" w:hAnsiTheme="majorEastAsia" w:eastAsiaTheme="majorEastAsia"/>
              </w:rPr>
            </w:pPr>
            <w:r>
              <w:rPr>
                <w:rFonts w:hint="eastAsia" w:asciiTheme="majorEastAsia" w:hAnsiTheme="majorEastAsia" w:eastAsiaTheme="majorEastAsia"/>
              </w:rPr>
              <w:t>5</w:t>
            </w:r>
          </w:p>
        </w:tc>
        <w:tc>
          <w:tcPr>
            <w:tcW w:w="4333" w:type="dxa"/>
          </w:tcPr>
          <w:p>
            <w:pPr>
              <w:pStyle w:val="2"/>
              <w:spacing w:after="312"/>
              <w:rPr>
                <w:rFonts w:asciiTheme="majorEastAsia" w:hAnsiTheme="majorEastAsia" w:eastAsiaTheme="majorEastAsia"/>
              </w:rPr>
            </w:pPr>
            <w:r>
              <w:rPr>
                <w:rFonts w:hint="eastAsia" w:asciiTheme="majorEastAsia" w:hAnsiTheme="majorEastAsia" w:eastAsiaTheme="majorEastAsia"/>
              </w:rPr>
              <w:t>病历书写智能提醒</w:t>
            </w:r>
          </w:p>
        </w:tc>
        <w:tc>
          <w:tcPr>
            <w:tcW w:w="2731" w:type="dxa"/>
          </w:tcPr>
          <w:p>
            <w:pPr>
              <w:pStyle w:val="2"/>
              <w:spacing w:after="312"/>
              <w:rPr>
                <w:rFonts w:asciiTheme="majorEastAsia" w:hAnsiTheme="majorEastAsia" w:eastAsiaTheme="majorEastAsia"/>
              </w:rPr>
            </w:pPr>
            <w:r>
              <w:rPr>
                <w:rFonts w:hint="eastAsia" w:asciiTheme="majorEastAsia" w:hAnsiTheme="majorEastAsia" w:eastAsiaTheme="major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29" w:type="dxa"/>
          </w:tcPr>
          <w:p>
            <w:pPr>
              <w:pStyle w:val="2"/>
              <w:spacing w:after="312"/>
              <w:rPr>
                <w:rFonts w:asciiTheme="majorEastAsia" w:hAnsiTheme="majorEastAsia" w:eastAsiaTheme="majorEastAsia"/>
              </w:rPr>
            </w:pPr>
            <w:r>
              <w:rPr>
                <w:rFonts w:hint="eastAsia" w:asciiTheme="majorEastAsia" w:hAnsiTheme="majorEastAsia" w:eastAsiaTheme="majorEastAsia"/>
              </w:rPr>
              <w:t>6</w:t>
            </w:r>
          </w:p>
        </w:tc>
        <w:tc>
          <w:tcPr>
            <w:tcW w:w="4333" w:type="dxa"/>
          </w:tcPr>
          <w:p>
            <w:pPr>
              <w:pStyle w:val="2"/>
              <w:spacing w:after="312"/>
              <w:rPr>
                <w:rFonts w:asciiTheme="majorEastAsia" w:hAnsiTheme="majorEastAsia" w:eastAsiaTheme="majorEastAsia"/>
              </w:rPr>
            </w:pPr>
            <w:r>
              <w:rPr>
                <w:rFonts w:hint="eastAsia" w:asciiTheme="majorEastAsia" w:hAnsiTheme="majorEastAsia" w:eastAsiaTheme="majorEastAsia"/>
              </w:rPr>
              <w:t>病历封存功能升级</w:t>
            </w:r>
          </w:p>
        </w:tc>
        <w:tc>
          <w:tcPr>
            <w:tcW w:w="2731" w:type="dxa"/>
          </w:tcPr>
          <w:p>
            <w:pPr>
              <w:pStyle w:val="2"/>
              <w:spacing w:after="312"/>
              <w:rPr>
                <w:rFonts w:asciiTheme="majorEastAsia" w:hAnsiTheme="majorEastAsia" w:eastAsiaTheme="majorEastAsia"/>
              </w:rPr>
            </w:pPr>
            <w:r>
              <w:rPr>
                <w:rFonts w:hint="eastAsia" w:asciiTheme="majorEastAsia" w:hAnsiTheme="majorEastAsia" w:eastAsiaTheme="major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29" w:type="dxa"/>
          </w:tcPr>
          <w:p>
            <w:pPr>
              <w:pStyle w:val="2"/>
              <w:spacing w:after="312"/>
              <w:rPr>
                <w:rFonts w:asciiTheme="majorEastAsia" w:hAnsiTheme="majorEastAsia" w:eastAsiaTheme="majorEastAsia"/>
              </w:rPr>
            </w:pPr>
            <w:r>
              <w:rPr>
                <w:rFonts w:hint="eastAsia" w:asciiTheme="majorEastAsia" w:hAnsiTheme="majorEastAsia" w:eastAsiaTheme="majorEastAsia"/>
              </w:rPr>
              <w:t>7</w:t>
            </w:r>
          </w:p>
        </w:tc>
        <w:tc>
          <w:tcPr>
            <w:tcW w:w="4333" w:type="dxa"/>
          </w:tcPr>
          <w:p>
            <w:pPr>
              <w:pStyle w:val="2"/>
              <w:spacing w:after="312"/>
              <w:rPr>
                <w:rFonts w:asciiTheme="majorEastAsia" w:hAnsiTheme="majorEastAsia" w:eastAsiaTheme="majorEastAsia"/>
              </w:rPr>
            </w:pPr>
            <w:r>
              <w:rPr>
                <w:rFonts w:hint="eastAsia" w:asciiTheme="majorEastAsia" w:hAnsiTheme="majorEastAsia" w:eastAsiaTheme="majorEastAsia"/>
              </w:rPr>
              <w:t>电子签名模块优化</w:t>
            </w:r>
          </w:p>
        </w:tc>
        <w:tc>
          <w:tcPr>
            <w:tcW w:w="2731" w:type="dxa"/>
          </w:tcPr>
          <w:p>
            <w:pPr>
              <w:pStyle w:val="2"/>
              <w:spacing w:after="312"/>
              <w:rPr>
                <w:rFonts w:asciiTheme="majorEastAsia" w:hAnsiTheme="majorEastAsia" w:eastAsiaTheme="majorEastAsia"/>
              </w:rPr>
            </w:pPr>
            <w:r>
              <w:rPr>
                <w:rFonts w:hint="eastAsia" w:asciiTheme="majorEastAsia" w:hAnsiTheme="majorEastAsia" w:eastAsiaTheme="major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29" w:type="dxa"/>
          </w:tcPr>
          <w:p>
            <w:pPr>
              <w:pStyle w:val="2"/>
              <w:spacing w:after="312"/>
              <w:rPr>
                <w:rFonts w:asciiTheme="majorEastAsia" w:hAnsiTheme="majorEastAsia" w:eastAsiaTheme="majorEastAsia"/>
              </w:rPr>
            </w:pPr>
            <w:r>
              <w:rPr>
                <w:rFonts w:hint="eastAsia" w:asciiTheme="majorEastAsia" w:hAnsiTheme="majorEastAsia" w:eastAsiaTheme="majorEastAsia"/>
              </w:rPr>
              <w:t>8</w:t>
            </w:r>
          </w:p>
        </w:tc>
        <w:tc>
          <w:tcPr>
            <w:tcW w:w="4333" w:type="dxa"/>
          </w:tcPr>
          <w:p>
            <w:pPr>
              <w:pStyle w:val="2"/>
              <w:spacing w:after="312"/>
              <w:rPr>
                <w:rFonts w:asciiTheme="majorEastAsia" w:hAnsiTheme="majorEastAsia" w:eastAsiaTheme="majorEastAsia"/>
              </w:rPr>
            </w:pPr>
            <w:r>
              <w:rPr>
                <w:rFonts w:hint="eastAsia" w:asciiTheme="majorEastAsia" w:hAnsiTheme="majorEastAsia" w:eastAsiaTheme="majorEastAsia"/>
              </w:rPr>
              <w:t>报告获取模块优化</w:t>
            </w:r>
          </w:p>
        </w:tc>
        <w:tc>
          <w:tcPr>
            <w:tcW w:w="2731" w:type="dxa"/>
          </w:tcPr>
          <w:p>
            <w:pPr>
              <w:pStyle w:val="2"/>
              <w:spacing w:after="312"/>
              <w:rPr>
                <w:rFonts w:asciiTheme="majorEastAsia" w:hAnsiTheme="majorEastAsia" w:eastAsiaTheme="majorEastAsia"/>
              </w:rPr>
            </w:pPr>
            <w:r>
              <w:rPr>
                <w:rFonts w:hint="eastAsia" w:asciiTheme="majorEastAsia" w:hAnsiTheme="majorEastAsia" w:eastAsiaTheme="major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29" w:type="dxa"/>
          </w:tcPr>
          <w:p>
            <w:pPr>
              <w:pStyle w:val="2"/>
              <w:spacing w:after="312"/>
              <w:rPr>
                <w:rFonts w:asciiTheme="majorEastAsia" w:hAnsiTheme="majorEastAsia" w:eastAsiaTheme="majorEastAsia"/>
              </w:rPr>
            </w:pPr>
            <w:r>
              <w:rPr>
                <w:rFonts w:hint="eastAsia" w:asciiTheme="majorEastAsia" w:hAnsiTheme="majorEastAsia" w:eastAsiaTheme="majorEastAsia"/>
              </w:rPr>
              <w:t>9</w:t>
            </w:r>
          </w:p>
        </w:tc>
        <w:tc>
          <w:tcPr>
            <w:tcW w:w="4333" w:type="dxa"/>
          </w:tcPr>
          <w:p>
            <w:pPr>
              <w:pStyle w:val="2"/>
              <w:spacing w:after="312"/>
              <w:rPr>
                <w:rFonts w:asciiTheme="majorEastAsia" w:hAnsiTheme="majorEastAsia" w:eastAsiaTheme="majorEastAsia"/>
              </w:rPr>
            </w:pPr>
            <w:r>
              <w:rPr>
                <w:rFonts w:hint="eastAsia" w:asciiTheme="majorEastAsia" w:hAnsiTheme="majorEastAsia" w:eastAsiaTheme="majorEastAsia"/>
              </w:rPr>
              <w:t>护理评估单、告知书等家属线上签名功能</w:t>
            </w:r>
          </w:p>
        </w:tc>
        <w:tc>
          <w:tcPr>
            <w:tcW w:w="2731" w:type="dxa"/>
          </w:tcPr>
          <w:p>
            <w:pPr>
              <w:pStyle w:val="2"/>
              <w:spacing w:after="312"/>
              <w:rPr>
                <w:rFonts w:asciiTheme="majorEastAsia" w:hAnsiTheme="majorEastAsia" w:eastAsiaTheme="majorEastAsia"/>
              </w:rPr>
            </w:pPr>
            <w:r>
              <w:rPr>
                <w:rFonts w:hint="eastAsia" w:asciiTheme="majorEastAsia" w:hAnsiTheme="majorEastAsia" w:eastAsiaTheme="major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29" w:type="dxa"/>
          </w:tcPr>
          <w:p>
            <w:pPr>
              <w:pStyle w:val="2"/>
              <w:spacing w:after="312"/>
              <w:rPr>
                <w:rFonts w:asciiTheme="majorEastAsia" w:hAnsiTheme="majorEastAsia" w:eastAsiaTheme="majorEastAsia"/>
              </w:rPr>
            </w:pPr>
            <w:r>
              <w:rPr>
                <w:rFonts w:hint="eastAsia" w:asciiTheme="majorEastAsia" w:hAnsiTheme="majorEastAsia" w:eastAsiaTheme="majorEastAsia"/>
              </w:rPr>
              <w:t>10</w:t>
            </w:r>
          </w:p>
        </w:tc>
        <w:tc>
          <w:tcPr>
            <w:tcW w:w="4333" w:type="dxa"/>
          </w:tcPr>
          <w:p>
            <w:pPr>
              <w:pStyle w:val="2"/>
              <w:spacing w:after="312"/>
              <w:rPr>
                <w:rFonts w:asciiTheme="majorEastAsia" w:hAnsiTheme="majorEastAsia" w:eastAsiaTheme="majorEastAsia"/>
              </w:rPr>
            </w:pPr>
            <w:r>
              <w:rPr>
                <w:rFonts w:hint="eastAsia" w:asciiTheme="majorEastAsia" w:hAnsiTheme="majorEastAsia" w:eastAsiaTheme="majorEastAsia"/>
              </w:rPr>
              <w:t>Braden压疮评估表结果统计功能</w:t>
            </w:r>
          </w:p>
        </w:tc>
        <w:tc>
          <w:tcPr>
            <w:tcW w:w="2731" w:type="dxa"/>
          </w:tcPr>
          <w:p>
            <w:pPr>
              <w:pStyle w:val="2"/>
              <w:spacing w:after="312"/>
              <w:rPr>
                <w:rFonts w:asciiTheme="majorEastAsia" w:hAnsiTheme="majorEastAsia" w:eastAsiaTheme="majorEastAsia"/>
              </w:rPr>
            </w:pPr>
            <w:r>
              <w:rPr>
                <w:rFonts w:hint="eastAsia" w:asciiTheme="majorEastAsia" w:hAnsiTheme="majorEastAsia" w:eastAsiaTheme="major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29" w:type="dxa"/>
          </w:tcPr>
          <w:p>
            <w:pPr>
              <w:pStyle w:val="2"/>
              <w:spacing w:after="312"/>
              <w:rPr>
                <w:rFonts w:asciiTheme="majorEastAsia" w:hAnsiTheme="majorEastAsia" w:eastAsiaTheme="majorEastAsia"/>
              </w:rPr>
            </w:pPr>
            <w:r>
              <w:rPr>
                <w:rFonts w:hint="eastAsia" w:asciiTheme="majorEastAsia" w:hAnsiTheme="majorEastAsia" w:eastAsiaTheme="majorEastAsia"/>
              </w:rPr>
              <w:t>11</w:t>
            </w:r>
          </w:p>
        </w:tc>
        <w:tc>
          <w:tcPr>
            <w:tcW w:w="4333" w:type="dxa"/>
          </w:tcPr>
          <w:p>
            <w:pPr>
              <w:pStyle w:val="2"/>
              <w:spacing w:after="312"/>
              <w:rPr>
                <w:rFonts w:asciiTheme="majorEastAsia" w:hAnsiTheme="majorEastAsia" w:eastAsiaTheme="majorEastAsia"/>
              </w:rPr>
            </w:pPr>
            <w:r>
              <w:rPr>
                <w:rFonts w:hint="eastAsia" w:asciiTheme="majorEastAsia" w:hAnsiTheme="majorEastAsia" w:eastAsiaTheme="majorEastAsia"/>
              </w:rPr>
              <w:t>跌倒坠床评估表优化</w:t>
            </w:r>
          </w:p>
        </w:tc>
        <w:tc>
          <w:tcPr>
            <w:tcW w:w="2731" w:type="dxa"/>
          </w:tcPr>
          <w:p>
            <w:pPr>
              <w:pStyle w:val="2"/>
              <w:spacing w:after="312"/>
              <w:rPr>
                <w:rFonts w:asciiTheme="majorEastAsia" w:hAnsiTheme="majorEastAsia" w:eastAsiaTheme="majorEastAsia"/>
              </w:rPr>
            </w:pPr>
            <w:r>
              <w:rPr>
                <w:rFonts w:hint="eastAsia" w:asciiTheme="majorEastAsia" w:hAnsiTheme="majorEastAsia" w:eastAsiaTheme="major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29" w:type="dxa"/>
          </w:tcPr>
          <w:p>
            <w:pPr>
              <w:pStyle w:val="2"/>
              <w:spacing w:after="312"/>
              <w:rPr>
                <w:rFonts w:asciiTheme="majorEastAsia" w:hAnsiTheme="majorEastAsia" w:eastAsiaTheme="majorEastAsia"/>
              </w:rPr>
            </w:pPr>
            <w:r>
              <w:rPr>
                <w:rFonts w:hint="eastAsia" w:asciiTheme="majorEastAsia" w:hAnsiTheme="majorEastAsia" w:eastAsiaTheme="majorEastAsia"/>
              </w:rPr>
              <w:t>1</w:t>
            </w:r>
            <w:r>
              <w:rPr>
                <w:rFonts w:asciiTheme="majorEastAsia" w:hAnsiTheme="majorEastAsia" w:eastAsiaTheme="majorEastAsia"/>
              </w:rPr>
              <w:t>2</w:t>
            </w:r>
          </w:p>
        </w:tc>
        <w:tc>
          <w:tcPr>
            <w:tcW w:w="4333" w:type="dxa"/>
          </w:tcPr>
          <w:p>
            <w:pPr>
              <w:pStyle w:val="2"/>
              <w:spacing w:after="312"/>
              <w:rPr>
                <w:rFonts w:asciiTheme="majorEastAsia" w:hAnsiTheme="majorEastAsia" w:eastAsiaTheme="majorEastAsia"/>
              </w:rPr>
            </w:pPr>
            <w:r>
              <w:rPr>
                <w:rFonts w:hint="eastAsia" w:asciiTheme="majorEastAsia" w:hAnsiTheme="majorEastAsia" w:eastAsiaTheme="majorEastAsia"/>
              </w:rPr>
              <w:t>分诊模块优化</w:t>
            </w:r>
          </w:p>
        </w:tc>
        <w:tc>
          <w:tcPr>
            <w:tcW w:w="2731" w:type="dxa"/>
          </w:tcPr>
          <w:p>
            <w:pPr>
              <w:pStyle w:val="2"/>
              <w:spacing w:after="312"/>
              <w:rPr>
                <w:rFonts w:asciiTheme="majorEastAsia" w:hAnsiTheme="majorEastAsia" w:eastAsiaTheme="majorEastAsia"/>
              </w:rPr>
            </w:pPr>
            <w:r>
              <w:rPr>
                <w:rFonts w:hint="eastAsia" w:asciiTheme="majorEastAsia" w:hAnsiTheme="majorEastAsia" w:eastAsiaTheme="major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29" w:type="dxa"/>
          </w:tcPr>
          <w:p>
            <w:pPr>
              <w:pStyle w:val="2"/>
              <w:spacing w:after="312"/>
              <w:rPr>
                <w:rFonts w:asciiTheme="majorEastAsia" w:hAnsiTheme="majorEastAsia" w:eastAsiaTheme="majorEastAsia"/>
              </w:rPr>
            </w:pPr>
            <w:r>
              <w:rPr>
                <w:rFonts w:hint="eastAsia" w:asciiTheme="majorEastAsia" w:hAnsiTheme="majorEastAsia" w:eastAsiaTheme="majorEastAsia"/>
              </w:rPr>
              <w:t>1</w:t>
            </w:r>
            <w:r>
              <w:rPr>
                <w:rFonts w:asciiTheme="majorEastAsia" w:hAnsiTheme="majorEastAsia" w:eastAsiaTheme="majorEastAsia"/>
              </w:rPr>
              <w:t>3</w:t>
            </w:r>
          </w:p>
        </w:tc>
        <w:tc>
          <w:tcPr>
            <w:tcW w:w="4333" w:type="dxa"/>
          </w:tcPr>
          <w:p>
            <w:pPr>
              <w:pStyle w:val="2"/>
              <w:spacing w:after="312"/>
              <w:rPr>
                <w:rFonts w:asciiTheme="majorEastAsia" w:hAnsiTheme="majorEastAsia" w:eastAsiaTheme="majorEastAsia"/>
              </w:rPr>
            </w:pPr>
            <w:r>
              <w:rPr>
                <w:rFonts w:hint="eastAsia" w:asciiTheme="majorEastAsia" w:hAnsiTheme="majorEastAsia" w:eastAsiaTheme="majorEastAsia"/>
              </w:rPr>
              <w:t>查询统计模块优化</w:t>
            </w:r>
          </w:p>
        </w:tc>
        <w:tc>
          <w:tcPr>
            <w:tcW w:w="2731" w:type="dxa"/>
          </w:tcPr>
          <w:p>
            <w:pPr>
              <w:pStyle w:val="2"/>
              <w:spacing w:after="312"/>
              <w:rPr>
                <w:rFonts w:asciiTheme="majorEastAsia" w:hAnsiTheme="majorEastAsia" w:eastAsiaTheme="majorEastAsia"/>
              </w:rPr>
            </w:pPr>
            <w:r>
              <w:rPr>
                <w:rFonts w:hint="eastAsia" w:asciiTheme="majorEastAsia" w:hAnsiTheme="majorEastAsia" w:eastAsiaTheme="major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29" w:type="dxa"/>
          </w:tcPr>
          <w:p>
            <w:pPr>
              <w:pStyle w:val="2"/>
              <w:spacing w:after="312"/>
              <w:rPr>
                <w:rFonts w:asciiTheme="majorEastAsia" w:hAnsiTheme="majorEastAsia" w:eastAsiaTheme="majorEastAsia"/>
              </w:rPr>
            </w:pPr>
            <w:r>
              <w:rPr>
                <w:rFonts w:hint="eastAsia" w:asciiTheme="majorEastAsia" w:hAnsiTheme="majorEastAsia" w:eastAsiaTheme="majorEastAsia"/>
              </w:rPr>
              <w:t>1</w:t>
            </w:r>
            <w:r>
              <w:rPr>
                <w:rFonts w:asciiTheme="majorEastAsia" w:hAnsiTheme="majorEastAsia" w:eastAsiaTheme="majorEastAsia"/>
              </w:rPr>
              <w:t>4</w:t>
            </w:r>
          </w:p>
        </w:tc>
        <w:tc>
          <w:tcPr>
            <w:tcW w:w="4333" w:type="dxa"/>
          </w:tcPr>
          <w:p>
            <w:pPr>
              <w:pStyle w:val="2"/>
              <w:spacing w:after="312"/>
              <w:rPr>
                <w:rFonts w:asciiTheme="majorEastAsia" w:hAnsiTheme="majorEastAsia" w:eastAsiaTheme="majorEastAsia"/>
              </w:rPr>
            </w:pPr>
            <w:r>
              <w:rPr>
                <w:rFonts w:hint="eastAsia" w:asciiTheme="majorEastAsia" w:hAnsiTheme="majorEastAsia" w:eastAsiaTheme="majorEastAsia"/>
              </w:rPr>
              <w:t>患者管理模块优化</w:t>
            </w:r>
          </w:p>
        </w:tc>
        <w:tc>
          <w:tcPr>
            <w:tcW w:w="2731" w:type="dxa"/>
          </w:tcPr>
          <w:p>
            <w:pPr>
              <w:pStyle w:val="2"/>
              <w:spacing w:after="312"/>
              <w:rPr>
                <w:rFonts w:asciiTheme="majorEastAsia" w:hAnsiTheme="majorEastAsia" w:eastAsiaTheme="majorEastAsia"/>
              </w:rPr>
            </w:pPr>
            <w:r>
              <w:rPr>
                <w:rFonts w:hint="eastAsia" w:asciiTheme="majorEastAsia" w:hAnsiTheme="majorEastAsia" w:eastAsiaTheme="majorEastAsia"/>
              </w:rPr>
              <w:t>1</w:t>
            </w:r>
          </w:p>
        </w:tc>
      </w:tr>
    </w:tbl>
    <w:p>
      <w:pPr>
        <w:rPr>
          <w:rFonts w:asciiTheme="minorEastAsia" w:hAnsiTheme="minorEastAsia"/>
          <w:b/>
          <w:bCs/>
          <w:kern w:val="44"/>
          <w:sz w:val="32"/>
          <w:szCs w:val="44"/>
        </w:rPr>
      </w:pPr>
      <w:r>
        <w:rPr>
          <w:rFonts w:hint="eastAsia" w:asciiTheme="minorEastAsia" w:hAnsiTheme="minorEastAsia"/>
          <w:b/>
          <w:bCs/>
          <w:kern w:val="44"/>
          <w:sz w:val="32"/>
          <w:szCs w:val="44"/>
        </w:rPr>
        <w:t>三、详细需求参数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418"/>
        <w:gridCol w:w="5386"/>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12"/>
            </w:pPr>
            <w:r>
              <w:rPr>
                <w:rFonts w:hint="eastAsia"/>
              </w:rPr>
              <w:t>序号</w:t>
            </w:r>
          </w:p>
        </w:tc>
        <w:tc>
          <w:tcPr>
            <w:tcW w:w="1418" w:type="dxa"/>
          </w:tcPr>
          <w:p>
            <w:pPr>
              <w:pStyle w:val="12"/>
            </w:pPr>
            <w:r>
              <w:rPr>
                <w:rFonts w:hint="eastAsia"/>
              </w:rPr>
              <w:t>模块</w:t>
            </w:r>
          </w:p>
        </w:tc>
        <w:tc>
          <w:tcPr>
            <w:tcW w:w="5386" w:type="dxa"/>
          </w:tcPr>
          <w:p>
            <w:pPr>
              <w:pStyle w:val="12"/>
            </w:pPr>
            <w:r>
              <w:rPr>
                <w:rFonts w:hint="eastAsia"/>
              </w:rPr>
              <w:t>功能需求</w:t>
            </w:r>
          </w:p>
        </w:tc>
        <w:tc>
          <w:tcPr>
            <w:tcW w:w="788" w:type="dxa"/>
          </w:tcPr>
          <w:p>
            <w:pPr>
              <w:pStyle w:val="12"/>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12"/>
            </w:pPr>
            <w:r>
              <w:rPr>
                <w:rFonts w:hint="eastAsia"/>
              </w:rPr>
              <w:t>1</w:t>
            </w:r>
          </w:p>
        </w:tc>
        <w:tc>
          <w:tcPr>
            <w:tcW w:w="1418" w:type="dxa"/>
          </w:tcPr>
          <w:p>
            <w:pPr>
              <w:snapToGrid w:val="0"/>
              <w:rPr>
                <w:rFonts w:cs="Times New Roman" w:asciiTheme="minorEastAsia" w:hAnsiTheme="minorEastAsia"/>
              </w:rPr>
            </w:pPr>
            <w:r>
              <w:rPr>
                <w:rFonts w:hint="eastAsia" w:cs="Times New Roman" w:asciiTheme="minorEastAsia" w:hAnsiTheme="minorEastAsia"/>
              </w:rPr>
              <w:t>叫号模块优化</w:t>
            </w:r>
          </w:p>
        </w:tc>
        <w:tc>
          <w:tcPr>
            <w:tcW w:w="5386" w:type="dxa"/>
          </w:tcPr>
          <w:p>
            <w:pPr>
              <w:rPr>
                <w:rFonts w:cs="Times New Roman" w:asciiTheme="minorEastAsia" w:hAnsiTheme="minorEastAsia"/>
              </w:rPr>
            </w:pPr>
            <w:r>
              <w:rPr>
                <w:rFonts w:hint="eastAsia" w:cs="Times New Roman" w:asciiTheme="minorEastAsia" w:hAnsiTheme="minorEastAsia"/>
              </w:rPr>
              <w:t>优化叫号模块，支持医生能在病历书写模块呼叫下一个患者进行就诊,需要包含顺序呼叫、选号呼叫，节省医生操作时间；增加患者查看报告结果排队插入功能（支持医生、护士）</w:t>
            </w:r>
          </w:p>
        </w:tc>
        <w:tc>
          <w:tcPr>
            <w:tcW w:w="788" w:type="dxa"/>
          </w:tcPr>
          <w:p>
            <w:pPr>
              <w:snapToGrid w:val="0"/>
              <w:rPr>
                <w:rFonts w:cs="Times New Roman"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12"/>
            </w:pPr>
            <w:r>
              <w:rPr>
                <w:rFonts w:hint="eastAsia"/>
              </w:rPr>
              <w:t>2</w:t>
            </w:r>
          </w:p>
        </w:tc>
        <w:tc>
          <w:tcPr>
            <w:tcW w:w="1418" w:type="dxa"/>
          </w:tcPr>
          <w:p>
            <w:pPr>
              <w:rPr>
                <w:rFonts w:cs="Times New Roman" w:asciiTheme="minorEastAsia" w:hAnsiTheme="minorEastAsia"/>
              </w:rPr>
            </w:pPr>
            <w:r>
              <w:rPr>
                <w:rFonts w:hint="eastAsia" w:cs="Times New Roman" w:asciiTheme="minorEastAsia" w:hAnsiTheme="minorEastAsia"/>
              </w:rPr>
              <w:t>病历模块优化</w:t>
            </w:r>
          </w:p>
        </w:tc>
        <w:tc>
          <w:tcPr>
            <w:tcW w:w="5386" w:type="dxa"/>
          </w:tcPr>
          <w:p>
            <w:pPr>
              <w:rPr>
                <w:rFonts w:asciiTheme="minorEastAsia" w:hAnsiTheme="minorEastAsia"/>
              </w:rPr>
            </w:pPr>
            <w:r>
              <w:rPr>
                <w:rFonts w:hint="eastAsia" w:cs="Times New Roman" w:asciiTheme="minorEastAsia" w:hAnsiTheme="minorEastAsia"/>
              </w:rPr>
              <w:t>优化病历模块，支持按医院现有HIS系统定制病历模版，急诊病历、急诊留观病历、抢救记录单、会诊记录单等，统一病历文书格式。</w:t>
            </w:r>
          </w:p>
        </w:tc>
        <w:tc>
          <w:tcPr>
            <w:tcW w:w="788" w:type="dxa"/>
          </w:tcPr>
          <w:p>
            <w:pPr>
              <w:rPr>
                <w:rFonts w:cs="Times New Roman"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12"/>
            </w:pPr>
            <w:r>
              <w:rPr>
                <w:rFonts w:hint="eastAsia"/>
              </w:rPr>
              <w:t>3</w:t>
            </w:r>
          </w:p>
        </w:tc>
        <w:tc>
          <w:tcPr>
            <w:tcW w:w="1418" w:type="dxa"/>
          </w:tcPr>
          <w:p>
            <w:pPr>
              <w:rPr>
                <w:rFonts w:cs="Times New Roman" w:asciiTheme="minorEastAsia" w:hAnsiTheme="minorEastAsia"/>
              </w:rPr>
            </w:pPr>
            <w:r>
              <w:rPr>
                <w:rFonts w:hint="eastAsia" w:asciiTheme="majorEastAsia" w:hAnsiTheme="majorEastAsia" w:eastAsiaTheme="majorEastAsia"/>
              </w:rPr>
              <w:t>历史数据查看及引用模块优化</w:t>
            </w:r>
          </w:p>
        </w:tc>
        <w:tc>
          <w:tcPr>
            <w:tcW w:w="5386" w:type="dxa"/>
          </w:tcPr>
          <w:p>
            <w:pPr>
              <w:rPr>
                <w:rFonts w:cs="Times New Roman" w:asciiTheme="minorEastAsia" w:hAnsiTheme="minorEastAsia"/>
              </w:rPr>
            </w:pPr>
            <w:r>
              <w:rPr>
                <w:rFonts w:hint="eastAsia" w:cs="Times New Roman" w:asciiTheme="minorEastAsia" w:hAnsiTheme="minorEastAsia"/>
              </w:rPr>
              <w:t>优化患者就诊数据查询及引用，支持在病历书写界面直接展示历史数据，在病历模块直接引用检查检验结果并支持检查结果内容片段自定义摘取。</w:t>
            </w:r>
          </w:p>
        </w:tc>
        <w:tc>
          <w:tcPr>
            <w:tcW w:w="788" w:type="dxa"/>
          </w:tcPr>
          <w:p>
            <w:pPr>
              <w:rPr>
                <w:rFonts w:cs="Times New Roman"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tcPr>
          <w:p>
            <w:pPr>
              <w:pStyle w:val="12"/>
              <w:jc w:val="center"/>
            </w:pPr>
            <w:r>
              <w:t>4</w:t>
            </w:r>
          </w:p>
        </w:tc>
        <w:tc>
          <w:tcPr>
            <w:tcW w:w="1418" w:type="dxa"/>
            <w:vMerge w:val="restart"/>
          </w:tcPr>
          <w:p>
            <w:pPr>
              <w:rPr>
                <w:rFonts w:cs="Times New Roman" w:asciiTheme="minorEastAsia" w:hAnsiTheme="minorEastAsia"/>
              </w:rPr>
            </w:pPr>
            <w:r>
              <w:rPr>
                <w:rFonts w:hint="eastAsia" w:asciiTheme="majorEastAsia" w:hAnsiTheme="majorEastAsia" w:eastAsiaTheme="majorEastAsia"/>
              </w:rPr>
              <w:t>危急值模块优化</w:t>
            </w:r>
          </w:p>
        </w:tc>
        <w:tc>
          <w:tcPr>
            <w:tcW w:w="5386" w:type="dxa"/>
          </w:tcPr>
          <w:p>
            <w:pPr>
              <w:rPr>
                <w:rFonts w:asciiTheme="minorEastAsia" w:hAnsiTheme="minorEastAsia"/>
              </w:rPr>
            </w:pPr>
            <w:r>
              <w:rPr>
                <w:rFonts w:hint="eastAsia" w:cs="Times New Roman" w:asciiTheme="minorEastAsia" w:hAnsiTheme="minorEastAsia"/>
              </w:rPr>
              <w:t>优化危机值提醒功能，支持危急值处理内容及措施填写。</w:t>
            </w:r>
          </w:p>
        </w:tc>
        <w:tc>
          <w:tcPr>
            <w:tcW w:w="788" w:type="dxa"/>
          </w:tcPr>
          <w:p>
            <w:pPr>
              <w:rPr>
                <w:rFonts w:cs="Times New Roman"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pStyle w:val="12"/>
            </w:pPr>
          </w:p>
        </w:tc>
        <w:tc>
          <w:tcPr>
            <w:tcW w:w="1418" w:type="dxa"/>
            <w:vMerge w:val="continue"/>
          </w:tcPr>
          <w:p>
            <w:pPr>
              <w:pStyle w:val="12"/>
            </w:pPr>
          </w:p>
        </w:tc>
        <w:tc>
          <w:tcPr>
            <w:tcW w:w="5386" w:type="dxa"/>
          </w:tcPr>
          <w:p>
            <w:pPr>
              <w:pStyle w:val="12"/>
            </w:pPr>
            <w:r>
              <w:rPr>
                <w:rFonts w:hint="eastAsia"/>
              </w:rPr>
              <w:t>在病历界面展示历史数据，在病历模块直接引用危机值信息。</w:t>
            </w:r>
          </w:p>
        </w:tc>
        <w:tc>
          <w:tcPr>
            <w:tcW w:w="788" w:type="dxa"/>
          </w:tcPr>
          <w:p>
            <w:pPr>
              <w:pStyle w:val="1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pStyle w:val="12"/>
            </w:pPr>
          </w:p>
        </w:tc>
        <w:tc>
          <w:tcPr>
            <w:tcW w:w="1418" w:type="dxa"/>
            <w:vMerge w:val="continue"/>
          </w:tcPr>
          <w:p>
            <w:pPr>
              <w:pStyle w:val="12"/>
            </w:pPr>
          </w:p>
        </w:tc>
        <w:tc>
          <w:tcPr>
            <w:tcW w:w="5386" w:type="dxa"/>
          </w:tcPr>
          <w:p>
            <w:pPr>
              <w:pStyle w:val="12"/>
            </w:pPr>
            <w:r>
              <w:rPr>
                <w:rFonts w:hint="eastAsia"/>
              </w:rPr>
              <w:t>增加危急值查询报表，并上传危急值处理信息到医院信息平台。</w:t>
            </w:r>
          </w:p>
        </w:tc>
        <w:tc>
          <w:tcPr>
            <w:tcW w:w="788" w:type="dxa"/>
          </w:tcPr>
          <w:p>
            <w:pPr>
              <w:pStyle w:val="1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tcPr>
          <w:p>
            <w:pPr>
              <w:pStyle w:val="12"/>
            </w:pPr>
            <w:r>
              <w:t>5</w:t>
            </w:r>
          </w:p>
        </w:tc>
        <w:tc>
          <w:tcPr>
            <w:tcW w:w="1418" w:type="dxa"/>
          </w:tcPr>
          <w:p>
            <w:pPr>
              <w:rPr>
                <w:rFonts w:cs="Times New Roman" w:asciiTheme="minorEastAsia" w:hAnsiTheme="minorEastAsia"/>
              </w:rPr>
            </w:pPr>
            <w:r>
              <w:rPr>
                <w:rFonts w:hint="eastAsia" w:asciiTheme="majorEastAsia" w:hAnsiTheme="majorEastAsia" w:eastAsiaTheme="majorEastAsia"/>
              </w:rPr>
              <w:t>病历书写智能提醒</w:t>
            </w:r>
          </w:p>
        </w:tc>
        <w:tc>
          <w:tcPr>
            <w:tcW w:w="5386" w:type="dxa"/>
          </w:tcPr>
          <w:p>
            <w:pPr>
              <w:rPr>
                <w:rFonts w:cs="Times New Roman" w:asciiTheme="minorEastAsia" w:hAnsiTheme="minorEastAsia"/>
              </w:rPr>
            </w:pPr>
            <w:r>
              <w:rPr>
                <w:rFonts w:hint="eastAsia" w:cs="Times New Roman" w:asciiTheme="minorEastAsia" w:hAnsiTheme="minorEastAsia"/>
              </w:rPr>
              <w:t>优化病历书写功能，支持在书写病历时自动提醒患者有既往病历，并支持一键导入功能，如有多份既往病历，支持选择性导入。</w:t>
            </w:r>
          </w:p>
        </w:tc>
        <w:tc>
          <w:tcPr>
            <w:tcW w:w="788" w:type="dxa"/>
          </w:tcPr>
          <w:p>
            <w:pPr>
              <w:rPr>
                <w:rFonts w:cs="Times New Roman"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12"/>
            </w:pPr>
            <w:r>
              <w:t>6</w:t>
            </w:r>
          </w:p>
        </w:tc>
        <w:tc>
          <w:tcPr>
            <w:tcW w:w="1418" w:type="dxa"/>
          </w:tcPr>
          <w:p>
            <w:pPr>
              <w:pStyle w:val="12"/>
              <w:rPr>
                <w:rFonts w:cs="Times New Roman"/>
              </w:rPr>
            </w:pPr>
            <w:r>
              <w:rPr>
                <w:rFonts w:hint="eastAsia"/>
              </w:rPr>
              <w:t>病历封存功能升级</w:t>
            </w:r>
          </w:p>
        </w:tc>
        <w:tc>
          <w:tcPr>
            <w:tcW w:w="5386" w:type="dxa"/>
          </w:tcPr>
          <w:p>
            <w:pPr>
              <w:pStyle w:val="12"/>
            </w:pPr>
            <w:r>
              <w:rPr>
                <w:rFonts w:hint="eastAsia"/>
              </w:rPr>
              <w:t>新增病历封存功能，支持病历一键封存归档并生成pdf。封存时间可自定义，归档后不可取消，增加封存病历解封授权管理，如需取消或修改需要单独授权。</w:t>
            </w:r>
          </w:p>
        </w:tc>
        <w:tc>
          <w:tcPr>
            <w:tcW w:w="788" w:type="dxa"/>
          </w:tcPr>
          <w:p>
            <w:pPr>
              <w:pStyle w:val="1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tcPr>
          <w:p>
            <w:pPr>
              <w:pStyle w:val="12"/>
            </w:pPr>
            <w:r>
              <w:t>7</w:t>
            </w:r>
          </w:p>
        </w:tc>
        <w:tc>
          <w:tcPr>
            <w:tcW w:w="1418" w:type="dxa"/>
            <w:vMerge w:val="restart"/>
          </w:tcPr>
          <w:p>
            <w:pPr>
              <w:pStyle w:val="12"/>
              <w:rPr>
                <w:rFonts w:cs="Times New Roman"/>
              </w:rPr>
            </w:pPr>
            <w:r>
              <w:rPr>
                <w:rFonts w:hint="eastAsia"/>
              </w:rPr>
              <w:t>电子签名模块优化</w:t>
            </w:r>
          </w:p>
        </w:tc>
        <w:tc>
          <w:tcPr>
            <w:tcW w:w="5386" w:type="dxa"/>
          </w:tcPr>
          <w:p>
            <w:pPr>
              <w:pStyle w:val="12"/>
            </w:pPr>
            <w:r>
              <w:rPr>
                <w:rFonts w:hint="eastAsia"/>
              </w:rPr>
              <w:t>优化签名流程，支持病历保存时自动签署当前登录医生名字的电子签名。</w:t>
            </w:r>
          </w:p>
        </w:tc>
        <w:tc>
          <w:tcPr>
            <w:tcW w:w="788" w:type="dxa"/>
          </w:tcPr>
          <w:p>
            <w:pPr>
              <w:pStyle w:val="1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pStyle w:val="12"/>
            </w:pPr>
          </w:p>
        </w:tc>
        <w:tc>
          <w:tcPr>
            <w:tcW w:w="1418" w:type="dxa"/>
            <w:vMerge w:val="continue"/>
          </w:tcPr>
          <w:p>
            <w:pPr>
              <w:pStyle w:val="12"/>
            </w:pPr>
          </w:p>
        </w:tc>
        <w:tc>
          <w:tcPr>
            <w:tcW w:w="5386" w:type="dxa"/>
          </w:tcPr>
          <w:p>
            <w:pPr>
              <w:pStyle w:val="12"/>
            </w:pPr>
            <w:r>
              <w:rPr>
                <w:rFonts w:hint="eastAsia"/>
              </w:rPr>
              <w:t>支持急诊系统发起会诊后记录会诊报到医生及电子签名</w:t>
            </w:r>
          </w:p>
        </w:tc>
        <w:tc>
          <w:tcPr>
            <w:tcW w:w="788" w:type="dxa"/>
          </w:tcPr>
          <w:p>
            <w:pPr>
              <w:pStyle w:val="1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pStyle w:val="12"/>
            </w:pPr>
          </w:p>
        </w:tc>
        <w:tc>
          <w:tcPr>
            <w:tcW w:w="1418" w:type="dxa"/>
            <w:vMerge w:val="continue"/>
          </w:tcPr>
          <w:p>
            <w:pPr>
              <w:pStyle w:val="12"/>
            </w:pPr>
          </w:p>
        </w:tc>
        <w:tc>
          <w:tcPr>
            <w:tcW w:w="5386" w:type="dxa"/>
          </w:tcPr>
          <w:p>
            <w:pPr>
              <w:pStyle w:val="12"/>
            </w:pPr>
            <w:r>
              <w:rPr>
                <w:rFonts w:hint="eastAsia"/>
              </w:rPr>
              <w:t>新增知情同意书电子签名功能，支持与ca签名系统对接，推送签名信息到患者手机进行电子签名，支持医生调阅查看签名情况。</w:t>
            </w:r>
          </w:p>
        </w:tc>
        <w:tc>
          <w:tcPr>
            <w:tcW w:w="788" w:type="dxa"/>
          </w:tcPr>
          <w:p>
            <w:pPr>
              <w:pStyle w:val="1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pStyle w:val="12"/>
            </w:pPr>
          </w:p>
        </w:tc>
        <w:tc>
          <w:tcPr>
            <w:tcW w:w="1418" w:type="dxa"/>
            <w:vMerge w:val="continue"/>
          </w:tcPr>
          <w:p>
            <w:pPr>
              <w:pStyle w:val="12"/>
            </w:pPr>
          </w:p>
        </w:tc>
        <w:tc>
          <w:tcPr>
            <w:tcW w:w="5386" w:type="dxa"/>
          </w:tcPr>
          <w:p>
            <w:pPr>
              <w:pStyle w:val="12"/>
            </w:pPr>
            <w:r>
              <w:rPr>
                <w:rFonts w:hint="eastAsia"/>
              </w:rPr>
              <w:t>增加急诊相关病历文书上传功能，支持已签名及未签名的HIS知情同意书查询。</w:t>
            </w:r>
          </w:p>
        </w:tc>
        <w:tc>
          <w:tcPr>
            <w:tcW w:w="788" w:type="dxa"/>
          </w:tcPr>
          <w:p>
            <w:pPr>
              <w:pStyle w:val="1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12"/>
            </w:pPr>
            <w:r>
              <w:t>8</w:t>
            </w:r>
          </w:p>
        </w:tc>
        <w:tc>
          <w:tcPr>
            <w:tcW w:w="1418" w:type="dxa"/>
          </w:tcPr>
          <w:p>
            <w:pPr>
              <w:pStyle w:val="12"/>
            </w:pPr>
            <w:r>
              <w:rPr>
                <w:rFonts w:hint="eastAsia" w:asciiTheme="majorEastAsia" w:hAnsiTheme="majorEastAsia" w:eastAsiaTheme="majorEastAsia"/>
              </w:rPr>
              <w:t>报告获取模块优化</w:t>
            </w:r>
          </w:p>
        </w:tc>
        <w:tc>
          <w:tcPr>
            <w:tcW w:w="5386" w:type="dxa"/>
          </w:tcPr>
          <w:p>
            <w:pPr>
              <w:pStyle w:val="12"/>
            </w:pPr>
            <w:r>
              <w:rPr>
                <w:rFonts w:hint="eastAsia"/>
              </w:rPr>
              <w:t>新增报告查询功能，支持检验申请项目明细获取、检验报告结果获取、检查申请项目明细获取、检查报告结果获取。</w:t>
            </w:r>
          </w:p>
        </w:tc>
        <w:tc>
          <w:tcPr>
            <w:tcW w:w="788" w:type="dxa"/>
          </w:tcPr>
          <w:p>
            <w:pPr>
              <w:pStyle w:val="1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12"/>
            </w:pPr>
            <w:r>
              <w:t>9</w:t>
            </w:r>
          </w:p>
        </w:tc>
        <w:tc>
          <w:tcPr>
            <w:tcW w:w="1418" w:type="dxa"/>
          </w:tcPr>
          <w:p>
            <w:pPr>
              <w:pStyle w:val="12"/>
              <w:rPr>
                <w:rFonts w:asciiTheme="majorEastAsia" w:hAnsiTheme="majorEastAsia" w:eastAsiaTheme="majorEastAsia"/>
              </w:rPr>
            </w:pPr>
            <w:r>
              <w:rPr>
                <w:rFonts w:hint="eastAsia" w:asciiTheme="majorEastAsia" w:hAnsiTheme="majorEastAsia" w:eastAsiaTheme="majorEastAsia"/>
              </w:rPr>
              <w:t>护理评估单、告知书等家属线上签名功能</w:t>
            </w:r>
          </w:p>
        </w:tc>
        <w:tc>
          <w:tcPr>
            <w:tcW w:w="5386" w:type="dxa"/>
          </w:tcPr>
          <w:p>
            <w:pPr>
              <w:pStyle w:val="12"/>
            </w:pPr>
            <w:r>
              <w:rPr>
                <w:rFonts w:hint="eastAsia"/>
              </w:rPr>
              <w:t>病重（病危）告知书、压疮评估表、跌倒/坠床评估表、患者告知书等，患者或家属线上签名。</w:t>
            </w:r>
          </w:p>
        </w:tc>
        <w:tc>
          <w:tcPr>
            <w:tcW w:w="788" w:type="dxa"/>
          </w:tcPr>
          <w:p>
            <w:pPr>
              <w:pStyle w:val="1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12"/>
            </w:pPr>
            <w:r>
              <w:rPr>
                <w:rFonts w:hint="eastAsia"/>
              </w:rPr>
              <w:t>1</w:t>
            </w:r>
            <w:r>
              <w:t>0</w:t>
            </w:r>
          </w:p>
        </w:tc>
        <w:tc>
          <w:tcPr>
            <w:tcW w:w="1418" w:type="dxa"/>
          </w:tcPr>
          <w:p>
            <w:pPr>
              <w:pStyle w:val="12"/>
              <w:rPr>
                <w:rFonts w:asciiTheme="majorEastAsia" w:hAnsiTheme="majorEastAsia" w:eastAsiaTheme="majorEastAsia"/>
              </w:rPr>
            </w:pPr>
            <w:r>
              <w:rPr>
                <w:rFonts w:hint="eastAsia" w:asciiTheme="majorEastAsia" w:hAnsiTheme="majorEastAsia" w:eastAsiaTheme="majorEastAsia"/>
              </w:rPr>
              <w:t>Braden压疮评估表</w:t>
            </w:r>
          </w:p>
        </w:tc>
        <w:tc>
          <w:tcPr>
            <w:tcW w:w="5386" w:type="dxa"/>
          </w:tcPr>
          <w:p>
            <w:pPr>
              <w:pStyle w:val="12"/>
            </w:pPr>
            <w:r>
              <w:rPr>
                <w:rFonts w:hint="eastAsia"/>
              </w:rPr>
              <w:t>统计高危患者数量、每满三天复评提醒</w:t>
            </w:r>
          </w:p>
          <w:p>
            <w:pPr>
              <w:pStyle w:val="12"/>
            </w:pPr>
            <w:r>
              <w:rPr>
                <w:rFonts w:hint="eastAsia"/>
              </w:rPr>
              <w:t>统计中低危患者数量、每满7天提醒</w:t>
            </w:r>
          </w:p>
          <w:p>
            <w:pPr>
              <w:pStyle w:val="12"/>
            </w:pPr>
          </w:p>
        </w:tc>
        <w:tc>
          <w:tcPr>
            <w:tcW w:w="788" w:type="dxa"/>
          </w:tcPr>
          <w:p>
            <w:pPr>
              <w:pStyle w:val="1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12"/>
            </w:pPr>
            <w:r>
              <w:rPr>
                <w:rFonts w:hint="eastAsia"/>
              </w:rPr>
              <w:t>1</w:t>
            </w:r>
            <w:r>
              <w:t>1</w:t>
            </w:r>
          </w:p>
        </w:tc>
        <w:tc>
          <w:tcPr>
            <w:tcW w:w="1418" w:type="dxa"/>
          </w:tcPr>
          <w:p>
            <w:pPr>
              <w:pStyle w:val="12"/>
              <w:rPr>
                <w:rFonts w:asciiTheme="majorEastAsia" w:hAnsiTheme="majorEastAsia" w:eastAsiaTheme="majorEastAsia"/>
              </w:rPr>
            </w:pPr>
            <w:r>
              <w:rPr>
                <w:rFonts w:hint="eastAsia" w:asciiTheme="majorEastAsia" w:hAnsiTheme="majorEastAsia" w:eastAsiaTheme="majorEastAsia"/>
              </w:rPr>
              <w:t>跌倒坠床评估表优化</w:t>
            </w:r>
          </w:p>
        </w:tc>
        <w:tc>
          <w:tcPr>
            <w:tcW w:w="5386" w:type="dxa"/>
          </w:tcPr>
          <w:p>
            <w:pPr>
              <w:pStyle w:val="12"/>
            </w:pPr>
            <w:r>
              <w:rPr>
                <w:rFonts w:hint="eastAsia"/>
              </w:rPr>
              <w:t>参考智慧护理系统优化跌倒/坠床评估表方便护士评估</w:t>
            </w:r>
          </w:p>
        </w:tc>
        <w:tc>
          <w:tcPr>
            <w:tcW w:w="788" w:type="dxa"/>
          </w:tcPr>
          <w:p>
            <w:pPr>
              <w:pStyle w:val="1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12"/>
            </w:pPr>
            <w:r>
              <w:rPr>
                <w:rFonts w:hint="eastAsia"/>
              </w:rPr>
              <w:t>1</w:t>
            </w:r>
            <w:r>
              <w:t>2</w:t>
            </w:r>
          </w:p>
        </w:tc>
        <w:tc>
          <w:tcPr>
            <w:tcW w:w="1418" w:type="dxa"/>
          </w:tcPr>
          <w:p>
            <w:pPr>
              <w:pStyle w:val="12"/>
              <w:rPr>
                <w:rFonts w:asciiTheme="majorEastAsia" w:hAnsiTheme="majorEastAsia" w:eastAsiaTheme="majorEastAsia"/>
              </w:rPr>
            </w:pPr>
            <w:r>
              <w:rPr>
                <w:rFonts w:hint="eastAsia" w:asciiTheme="majorEastAsia" w:hAnsiTheme="majorEastAsia" w:eastAsiaTheme="majorEastAsia"/>
              </w:rPr>
              <w:t>分诊模块优化</w:t>
            </w:r>
          </w:p>
        </w:tc>
        <w:tc>
          <w:tcPr>
            <w:tcW w:w="5386" w:type="dxa"/>
          </w:tcPr>
          <w:p>
            <w:pPr>
              <w:pStyle w:val="12"/>
            </w:pPr>
            <w:r>
              <w:rPr>
                <w:rFonts w:hint="eastAsia"/>
              </w:rPr>
              <w:t>1.群体事件、无名氏等分诊信息在后期更新患者信息时，对同一个身份证号码，既往在我院HIS系统中有患者信息的能够实现自动合并统一，以免产生多个有效ID号。</w:t>
            </w:r>
          </w:p>
          <w:p>
            <w:pPr>
              <w:pStyle w:val="12"/>
            </w:pPr>
            <w:r>
              <w:rPr>
                <w:rFonts w:hint="eastAsia"/>
              </w:rPr>
              <w:t>2.在分诊级别三级中增加一个亚级（设定5个号码），分别插入在目前3级排队患者的第2、4、6、8、10位，以便后续开展VIP分诊或反向分诊。或者通过增加VIP分诊级别进行设定。</w:t>
            </w:r>
          </w:p>
          <w:p>
            <w:pPr>
              <w:pStyle w:val="12"/>
            </w:pPr>
            <w:r>
              <w:rPr>
                <w:rFonts w:hint="eastAsia"/>
              </w:rPr>
              <w:t>3.增加扫码获取生命体征数据功能（机器测量生命体征生成记录结果和二维码）。</w:t>
            </w:r>
          </w:p>
          <w:p>
            <w:pPr>
              <w:pStyle w:val="12"/>
            </w:pPr>
            <w:r>
              <w:rPr>
                <w:rFonts w:hint="eastAsia"/>
              </w:rPr>
              <w:t>4.“来院方式”将“120”改为“广州120”，增加“外院”、“本院120”、“院内急救”。</w:t>
            </w:r>
          </w:p>
          <w:p>
            <w:pPr>
              <w:pStyle w:val="12"/>
            </w:pPr>
            <w:r>
              <w:rPr>
                <w:rFonts w:hint="eastAsia"/>
              </w:rPr>
              <w:t>5.除生命体征自动评分外，增加“MEWS”评分结果。</w:t>
            </w:r>
          </w:p>
        </w:tc>
        <w:tc>
          <w:tcPr>
            <w:tcW w:w="788" w:type="dxa"/>
          </w:tcPr>
          <w:p>
            <w:pPr>
              <w:pStyle w:val="1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12"/>
            </w:pPr>
            <w:r>
              <w:rPr>
                <w:rFonts w:hint="eastAsia"/>
              </w:rPr>
              <w:t>1</w:t>
            </w:r>
            <w:r>
              <w:t>3</w:t>
            </w:r>
          </w:p>
        </w:tc>
        <w:tc>
          <w:tcPr>
            <w:tcW w:w="1418" w:type="dxa"/>
          </w:tcPr>
          <w:p>
            <w:pPr>
              <w:pStyle w:val="12"/>
              <w:rPr>
                <w:rFonts w:asciiTheme="majorEastAsia" w:hAnsiTheme="majorEastAsia" w:eastAsiaTheme="majorEastAsia"/>
              </w:rPr>
            </w:pPr>
            <w:r>
              <w:rPr>
                <w:rFonts w:hint="eastAsia" w:asciiTheme="majorEastAsia" w:hAnsiTheme="majorEastAsia" w:eastAsiaTheme="majorEastAsia"/>
              </w:rPr>
              <w:t>查询统计模块</w:t>
            </w:r>
          </w:p>
        </w:tc>
        <w:tc>
          <w:tcPr>
            <w:tcW w:w="5386" w:type="dxa"/>
          </w:tcPr>
          <w:p>
            <w:pPr>
              <w:pStyle w:val="12"/>
            </w:pPr>
            <w:r>
              <w:rPr>
                <w:rFonts w:hint="eastAsia"/>
              </w:rPr>
              <w:t>1.能够按照具体时间点对每一位医生的接诊量、接诊患者级别、病历是否完善进行统计。</w:t>
            </w:r>
          </w:p>
          <w:p>
            <w:pPr>
              <w:pStyle w:val="12"/>
            </w:pPr>
            <w:r>
              <w:rPr>
                <w:rFonts w:hint="eastAsia"/>
              </w:rPr>
              <w:t>2.能够按照具体时间点对每一位医生的输液患者占比、药占比、耗占比、次均费用等。</w:t>
            </w:r>
          </w:p>
          <w:p>
            <w:pPr>
              <w:pStyle w:val="12"/>
            </w:pPr>
            <w:r>
              <w:rPr>
                <w:rFonts w:hint="eastAsia"/>
              </w:rPr>
              <w:t>3.能够按照具体时间点对医嘱中各项目收费种类及次数。</w:t>
            </w:r>
          </w:p>
          <w:p>
            <w:pPr>
              <w:pStyle w:val="12"/>
            </w:pPr>
            <w:r>
              <w:rPr>
                <w:rFonts w:hint="eastAsia"/>
              </w:rPr>
              <w:t>4.分诊结果查询，包括分诊级别调整、自动生命体征结果&amp;MEWS评分结果和实际分级结果不一致等。</w:t>
            </w:r>
          </w:p>
        </w:tc>
        <w:tc>
          <w:tcPr>
            <w:tcW w:w="788" w:type="dxa"/>
          </w:tcPr>
          <w:p>
            <w:pPr>
              <w:pStyle w:val="1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12"/>
            </w:pPr>
            <w:r>
              <w:t>14</w:t>
            </w:r>
          </w:p>
        </w:tc>
        <w:tc>
          <w:tcPr>
            <w:tcW w:w="1418" w:type="dxa"/>
          </w:tcPr>
          <w:p>
            <w:pPr>
              <w:pStyle w:val="12"/>
              <w:rPr>
                <w:rFonts w:asciiTheme="majorEastAsia" w:hAnsiTheme="majorEastAsia" w:eastAsiaTheme="majorEastAsia"/>
              </w:rPr>
            </w:pPr>
            <w:r>
              <w:rPr>
                <w:rFonts w:hint="eastAsia" w:asciiTheme="majorEastAsia" w:hAnsiTheme="majorEastAsia" w:eastAsiaTheme="majorEastAsia"/>
              </w:rPr>
              <w:t>患者管理模块优化</w:t>
            </w:r>
          </w:p>
        </w:tc>
        <w:tc>
          <w:tcPr>
            <w:tcW w:w="5386" w:type="dxa"/>
          </w:tcPr>
          <w:p>
            <w:pPr>
              <w:pStyle w:val="12"/>
            </w:pPr>
            <w:r>
              <w:rPr>
                <w:rFonts w:hint="eastAsia"/>
              </w:rPr>
              <w:t>1.对抢救室和留观室患者增加安全告知书（内容参考HIS系统，后续有需要再进一步修订）、谈话医生和家属签名、家属告知/知情同意电子签名。</w:t>
            </w:r>
          </w:p>
          <w:p>
            <w:pPr>
              <w:pStyle w:val="12"/>
            </w:pPr>
            <w:r>
              <w:rPr>
                <w:rFonts w:hint="eastAsia"/>
              </w:rPr>
              <w:t>2.设立缓冲床位号。用于患者出室后，等待质控，但不计入急诊留观时间统计。缓冲床位号本身的停留时间需要能够统计。</w:t>
            </w:r>
          </w:p>
        </w:tc>
        <w:tc>
          <w:tcPr>
            <w:tcW w:w="788" w:type="dxa"/>
          </w:tcPr>
          <w:p>
            <w:pPr>
              <w:pStyle w:val="12"/>
            </w:pPr>
          </w:p>
        </w:tc>
      </w:tr>
    </w:tbl>
    <w:p>
      <w:pPr>
        <w:pStyle w:val="12"/>
      </w:pPr>
    </w:p>
    <w:p>
      <w:pPr>
        <w:spacing w:after="312" w:afterLines="100"/>
        <w:rPr>
          <w:rFonts w:asciiTheme="minorEastAsia" w:hAnsiTheme="minorEastAsia"/>
          <w:b/>
          <w:bCs/>
          <w:kern w:val="44"/>
          <w:sz w:val="32"/>
          <w:szCs w:val="44"/>
        </w:rPr>
      </w:pPr>
      <w:r>
        <w:rPr>
          <w:rFonts w:hint="eastAsia" w:asciiTheme="minorEastAsia" w:hAnsiTheme="minorEastAsia"/>
          <w:b/>
          <w:bCs/>
          <w:kern w:val="44"/>
          <w:sz w:val="32"/>
          <w:szCs w:val="44"/>
        </w:rPr>
        <w:t>四、项目工期及实施要求</w:t>
      </w:r>
    </w:p>
    <w:p>
      <w:pPr>
        <w:ind w:firstLine="420"/>
        <w:rPr>
          <w:rFonts w:ascii="宋体" w:hAnsi="宋体" w:eastAsia="宋体" w:cs="宋体"/>
        </w:rPr>
      </w:pPr>
      <w:r>
        <w:rPr>
          <w:rFonts w:hint="eastAsia" w:ascii="宋体" w:hAnsi="宋体" w:eastAsia="宋体" w:cs="宋体"/>
        </w:rPr>
        <w:t>建设周期6个月。</w:t>
      </w:r>
    </w:p>
    <w:p>
      <w:pPr>
        <w:rPr>
          <w:rFonts w:asciiTheme="minorEastAsia" w:hAnsiTheme="minorEastAsia"/>
          <w:b/>
          <w:bCs/>
          <w:kern w:val="44"/>
          <w:sz w:val="32"/>
          <w:szCs w:val="44"/>
        </w:rPr>
      </w:pPr>
      <w:r>
        <w:rPr>
          <w:rFonts w:hint="eastAsia" w:asciiTheme="minorEastAsia" w:hAnsiTheme="minorEastAsia"/>
          <w:b/>
          <w:bCs/>
          <w:kern w:val="44"/>
          <w:sz w:val="32"/>
          <w:szCs w:val="44"/>
        </w:rPr>
        <w:t>五、集成技术及实施服务要求</w:t>
      </w:r>
    </w:p>
    <w:p>
      <w:pPr>
        <w:pStyle w:val="4"/>
        <w:spacing w:after="312" w:line="360" w:lineRule="auto"/>
        <w:ind w:firstLine="482" w:firstLineChars="200"/>
        <w:rPr>
          <w:rFonts w:ascii="宋体" w:hAnsi="宋体" w:eastAsia="宋体" w:cs="宋体"/>
          <w:sz w:val="24"/>
          <w:szCs w:val="24"/>
        </w:rPr>
      </w:pPr>
      <w:bookmarkStart w:id="0" w:name="_Toc477162361"/>
      <w:bookmarkStart w:id="1" w:name="_Toc25334920"/>
      <w:r>
        <w:rPr>
          <w:rFonts w:hint="eastAsia" w:ascii="宋体" w:hAnsi="宋体" w:eastAsia="宋体" w:cs="宋体"/>
          <w:sz w:val="24"/>
          <w:szCs w:val="24"/>
        </w:rPr>
        <w:t>5.1设计原则</w:t>
      </w:r>
      <w:bookmarkEnd w:id="0"/>
      <w:bookmarkEnd w:id="1"/>
    </w:p>
    <w:p>
      <w:pPr>
        <w:ind w:firstLine="480" w:firstLineChars="200"/>
        <w:rPr>
          <w:rFonts w:ascii="宋体" w:hAnsi="宋体" w:eastAsia="宋体" w:cs="宋体"/>
        </w:rPr>
      </w:pPr>
      <w:r>
        <w:rPr>
          <w:rFonts w:hint="eastAsia" w:ascii="宋体" w:hAnsi="宋体" w:eastAsia="宋体" w:cs="宋体"/>
        </w:rPr>
        <w:t>应遵循全面规划、统一设计、分步实施、兼顾现有系统的原则。设计应全面、周到，注意预留余量，以适应未来发展的需要，并充分响应以下要求。</w:t>
      </w:r>
    </w:p>
    <w:p>
      <w:pPr>
        <w:ind w:firstLine="480" w:firstLineChars="200"/>
        <w:rPr>
          <w:rFonts w:ascii="宋体" w:hAnsi="宋体" w:eastAsia="宋体" w:cs="宋体"/>
        </w:rPr>
      </w:pPr>
      <w:r>
        <w:rPr>
          <w:rFonts w:hint="eastAsia" w:ascii="宋体" w:hAnsi="宋体" w:eastAsia="宋体" w:cs="宋体"/>
        </w:rPr>
        <w:t>1.先进性</w:t>
      </w:r>
    </w:p>
    <w:p>
      <w:pPr>
        <w:ind w:firstLine="480" w:firstLineChars="200"/>
        <w:rPr>
          <w:rFonts w:ascii="宋体" w:hAnsi="宋体" w:eastAsia="宋体" w:cs="宋体"/>
        </w:rPr>
      </w:pPr>
      <w:r>
        <w:rPr>
          <w:rFonts w:hint="eastAsia" w:ascii="宋体" w:hAnsi="宋体" w:eastAsia="宋体" w:cs="宋体"/>
        </w:rPr>
        <w:t>采用当前国际先进成熟的主流技术，从而保证整个系统在技术上处于领先地位，系统在建成后一段时间内不会因技术落后而大规模调整，并能够通过升级保持系统的先进性，延长其生命周期，同时又要保证先进的技术是稳定的、成熟的，紧跟技术趋势，符合当今世界技术发展的方向。</w:t>
      </w:r>
    </w:p>
    <w:p>
      <w:pPr>
        <w:ind w:firstLine="480" w:firstLineChars="200"/>
        <w:rPr>
          <w:rFonts w:ascii="宋体" w:hAnsi="宋体" w:eastAsia="宋体" w:cs="宋体"/>
        </w:rPr>
      </w:pPr>
      <w:r>
        <w:rPr>
          <w:rFonts w:hint="eastAsia" w:ascii="宋体" w:hAnsi="宋体" w:eastAsia="宋体" w:cs="宋体"/>
        </w:rPr>
        <w:t>2.可靠性</w:t>
      </w:r>
    </w:p>
    <w:p>
      <w:pPr>
        <w:ind w:firstLine="480" w:firstLineChars="200"/>
        <w:rPr>
          <w:rFonts w:ascii="宋体" w:hAnsi="宋体" w:eastAsia="宋体" w:cs="宋体"/>
        </w:rPr>
      </w:pPr>
      <w:r>
        <w:rPr>
          <w:rFonts w:hint="eastAsia" w:ascii="宋体" w:hAnsi="宋体" w:eastAsia="宋体" w:cs="宋体"/>
        </w:rPr>
        <w:t>系统需具有较强的容错能力和良好的恢复能力，支持7*24小时不间断工作，并能在不影响系统运转的情况下做到模块在线测试、更新、加载，应采取成熟可靠的技术和体系结构，采用具有质量保证体系的产品。</w:t>
      </w:r>
    </w:p>
    <w:p>
      <w:pPr>
        <w:ind w:firstLine="480" w:firstLineChars="200"/>
        <w:rPr>
          <w:rFonts w:ascii="宋体" w:hAnsi="宋体" w:eastAsia="宋体" w:cs="宋体"/>
        </w:rPr>
      </w:pPr>
      <w:r>
        <w:rPr>
          <w:rFonts w:hint="eastAsia" w:ascii="宋体" w:hAnsi="宋体" w:eastAsia="宋体" w:cs="宋体"/>
        </w:rPr>
        <w:t>3.实用性</w:t>
      </w:r>
    </w:p>
    <w:p>
      <w:pPr>
        <w:ind w:firstLine="480" w:firstLineChars="200"/>
        <w:rPr>
          <w:rFonts w:ascii="宋体" w:hAnsi="宋体" w:eastAsia="宋体" w:cs="宋体"/>
        </w:rPr>
      </w:pPr>
      <w:r>
        <w:rPr>
          <w:rFonts w:hint="eastAsia" w:ascii="宋体" w:hAnsi="宋体" w:eastAsia="宋体" w:cs="宋体"/>
        </w:rPr>
        <w:t>符合国内外有关规范的要求，结合实际业务需求和现有业务系统的情况，投资和运行费用低，具备实用价值，易操作、易管理。</w:t>
      </w:r>
    </w:p>
    <w:p>
      <w:pPr>
        <w:ind w:firstLine="480" w:firstLineChars="200"/>
        <w:rPr>
          <w:rFonts w:ascii="宋体" w:hAnsi="宋体" w:eastAsia="宋体" w:cs="宋体"/>
        </w:rPr>
      </w:pPr>
      <w:r>
        <w:rPr>
          <w:rFonts w:hint="eastAsia" w:ascii="宋体" w:hAnsi="宋体" w:eastAsia="宋体" w:cs="宋体"/>
        </w:rPr>
        <w:t>4.统一性</w:t>
      </w:r>
    </w:p>
    <w:p>
      <w:pPr>
        <w:ind w:firstLine="480" w:firstLineChars="200"/>
        <w:rPr>
          <w:rFonts w:ascii="宋体" w:hAnsi="宋体" w:eastAsia="宋体" w:cs="宋体"/>
        </w:rPr>
      </w:pPr>
      <w:r>
        <w:rPr>
          <w:rFonts w:hint="eastAsia" w:ascii="宋体" w:hAnsi="宋体" w:eastAsia="宋体" w:cs="宋体"/>
        </w:rPr>
        <w:t>遵循统一性的原则，保证业务、功能、界面、内容的统一化和标准化，从而达到服务的规范化和管理的高效性。</w:t>
      </w:r>
    </w:p>
    <w:p>
      <w:pPr>
        <w:ind w:firstLine="480" w:firstLineChars="200"/>
        <w:rPr>
          <w:rFonts w:ascii="宋体" w:hAnsi="宋体" w:eastAsia="宋体" w:cs="宋体"/>
        </w:rPr>
      </w:pPr>
      <w:r>
        <w:rPr>
          <w:rFonts w:hint="eastAsia" w:ascii="宋体" w:hAnsi="宋体" w:eastAsia="宋体" w:cs="宋体"/>
        </w:rPr>
        <w:t>5.灵活性</w:t>
      </w:r>
    </w:p>
    <w:p>
      <w:pPr>
        <w:ind w:firstLine="480" w:firstLineChars="200"/>
        <w:rPr>
          <w:rFonts w:ascii="宋体" w:hAnsi="宋体" w:eastAsia="宋体" w:cs="宋体"/>
        </w:rPr>
      </w:pPr>
      <w:r>
        <w:rPr>
          <w:rFonts w:hint="eastAsia" w:ascii="宋体" w:hAnsi="宋体" w:eastAsia="宋体" w:cs="宋体"/>
        </w:rPr>
        <w:t>系统要能与以后业务的变动相适应。业务流程和信息分类应可自定义，当业务变动时，无需修改系统或只需极少修改即可。</w:t>
      </w:r>
    </w:p>
    <w:p>
      <w:pPr>
        <w:ind w:firstLine="480" w:firstLineChars="200"/>
        <w:rPr>
          <w:rFonts w:ascii="宋体" w:hAnsi="宋体" w:eastAsia="宋体" w:cs="宋体"/>
        </w:rPr>
      </w:pPr>
      <w:r>
        <w:rPr>
          <w:rFonts w:hint="eastAsia" w:ascii="宋体" w:hAnsi="宋体" w:eastAsia="宋体" w:cs="宋体"/>
        </w:rPr>
        <w:t>6.开放性</w:t>
      </w:r>
    </w:p>
    <w:p>
      <w:pPr>
        <w:ind w:firstLine="480" w:firstLineChars="200"/>
        <w:rPr>
          <w:rFonts w:ascii="宋体" w:hAnsi="宋体" w:eastAsia="宋体" w:cs="宋体"/>
        </w:rPr>
      </w:pPr>
      <w:r>
        <w:rPr>
          <w:rFonts w:hint="eastAsia" w:ascii="宋体" w:hAnsi="宋体" w:eastAsia="宋体" w:cs="宋体"/>
        </w:rPr>
        <w:t>系统架构、代码以及采用的第三方应用均应遵循开放性原则。支持多种数据库及平台，如MPP、传统关系数据库等，支持多厂商的硬件设备，且不依赖于某种设备；广泛的数据源支持，支持异构数据源系统的数据抽取、支持多种数据抽取接口。各种主流的关系型数据库(如Mysql、Oracle、MSSQL等)、文本文件、任意格式XML文件、MQ等；提供开发API，支持对第三软件或者产品的集成。建立统一开放的系统接口，使系统具备良好的兼容性、扩展性和可移植性。</w:t>
      </w:r>
    </w:p>
    <w:p>
      <w:pPr>
        <w:ind w:firstLine="480" w:firstLineChars="200"/>
        <w:rPr>
          <w:rFonts w:ascii="宋体" w:hAnsi="宋体" w:eastAsia="宋体" w:cs="宋体"/>
        </w:rPr>
      </w:pPr>
      <w:r>
        <w:rPr>
          <w:rFonts w:hint="eastAsia" w:ascii="宋体" w:hAnsi="宋体" w:eastAsia="宋体" w:cs="宋体"/>
        </w:rPr>
        <w:t>7.规范性</w:t>
      </w:r>
    </w:p>
    <w:p>
      <w:pPr>
        <w:ind w:firstLine="480" w:firstLineChars="200"/>
        <w:rPr>
          <w:rFonts w:ascii="宋体" w:hAnsi="宋体" w:eastAsia="宋体" w:cs="宋体"/>
        </w:rPr>
      </w:pPr>
      <w:r>
        <w:rPr>
          <w:rFonts w:hint="eastAsia" w:ascii="宋体" w:hAnsi="宋体" w:eastAsia="宋体" w:cs="宋体"/>
        </w:rPr>
        <w:t>严格遵循甲方提供的相关技术规范、业务规范、工作规范的要求，执行甲方既定工作流程，开发工作由甲方进行整体规划与统一安排。</w:t>
      </w:r>
    </w:p>
    <w:p>
      <w:pPr>
        <w:ind w:firstLine="480" w:firstLineChars="200"/>
        <w:rPr>
          <w:rFonts w:ascii="宋体" w:hAnsi="宋体" w:eastAsia="宋体" w:cs="宋体"/>
        </w:rPr>
      </w:pPr>
      <w:r>
        <w:rPr>
          <w:rFonts w:hint="eastAsia" w:ascii="宋体" w:hAnsi="宋体" w:eastAsia="宋体" w:cs="宋体"/>
        </w:rPr>
        <w:t>8.安全保密性</w:t>
      </w:r>
    </w:p>
    <w:p>
      <w:pPr>
        <w:ind w:firstLine="480" w:firstLineChars="200"/>
        <w:rPr>
          <w:rFonts w:ascii="宋体" w:hAnsi="宋体" w:eastAsia="宋体" w:cs="宋体"/>
        </w:rPr>
      </w:pPr>
      <w:r>
        <w:rPr>
          <w:rFonts w:hint="eastAsia" w:ascii="宋体" w:hAnsi="宋体" w:eastAsia="宋体" w:cs="宋体"/>
        </w:rPr>
        <w:t>乙方对甲方提出的设计方案有对第三方保密的义务，未经甲方许可乙方不得向第三方透露甲方技术细节，不得违反甲方信息系统安全规定和数据信息内容安全保密等相关规定。</w:t>
      </w:r>
    </w:p>
    <w:p>
      <w:pPr>
        <w:pStyle w:val="4"/>
        <w:spacing w:before="0" w:after="312" w:line="360" w:lineRule="auto"/>
        <w:ind w:firstLine="482" w:firstLineChars="200"/>
        <w:rPr>
          <w:rFonts w:ascii="宋体" w:hAnsi="宋体" w:eastAsia="宋体" w:cs="宋体"/>
          <w:sz w:val="24"/>
          <w:szCs w:val="24"/>
        </w:rPr>
      </w:pPr>
      <w:bookmarkStart w:id="2" w:name="_Toc477162363"/>
      <w:bookmarkStart w:id="3" w:name="_Toc25334922"/>
      <w:r>
        <w:rPr>
          <w:rFonts w:hint="eastAsia" w:ascii="宋体" w:hAnsi="宋体" w:eastAsia="宋体" w:cs="宋体"/>
          <w:sz w:val="24"/>
          <w:szCs w:val="24"/>
        </w:rPr>
        <w:t>5.2技术标准</w:t>
      </w:r>
      <w:bookmarkEnd w:id="2"/>
      <w:bookmarkEnd w:id="3"/>
    </w:p>
    <w:p>
      <w:pPr>
        <w:ind w:firstLine="480" w:firstLineChars="200"/>
        <w:rPr>
          <w:rFonts w:ascii="宋体" w:hAnsi="宋体" w:eastAsia="宋体" w:cs="宋体"/>
        </w:rPr>
      </w:pPr>
      <w:r>
        <w:rPr>
          <w:rFonts w:hint="eastAsia" w:ascii="宋体" w:hAnsi="宋体" w:eastAsia="宋体" w:cs="宋体"/>
        </w:rPr>
        <w:t>系统实施所涉及的技术标准和规范，产品标准和规范，工程标准和规范，验收标准和规范等必须符合国际、国家和广东省有关条例及规范，包括但不限于：</w:t>
      </w:r>
    </w:p>
    <w:p>
      <w:pPr>
        <w:pStyle w:val="18"/>
        <w:numPr>
          <w:ilvl w:val="0"/>
          <w:numId w:val="1"/>
        </w:numPr>
        <w:ind w:left="0" w:firstLine="480"/>
        <w:rPr>
          <w:rFonts w:ascii="宋体" w:hAnsi="宋体" w:eastAsia="宋体" w:cs="宋体"/>
          <w:szCs w:val="24"/>
        </w:rPr>
      </w:pPr>
      <w:r>
        <w:rPr>
          <w:rFonts w:hint="eastAsia" w:ascii="宋体" w:hAnsi="宋体" w:eastAsia="宋体" w:cs="宋体"/>
          <w:szCs w:val="24"/>
        </w:rPr>
        <w:t>GB8566-88《计算机软件开发规范》</w:t>
      </w:r>
    </w:p>
    <w:p>
      <w:pPr>
        <w:pStyle w:val="18"/>
        <w:numPr>
          <w:ilvl w:val="0"/>
          <w:numId w:val="1"/>
        </w:numPr>
        <w:ind w:left="0" w:firstLine="480"/>
        <w:rPr>
          <w:rFonts w:ascii="宋体" w:hAnsi="宋体" w:eastAsia="宋体" w:cs="宋体"/>
          <w:szCs w:val="24"/>
        </w:rPr>
      </w:pPr>
      <w:r>
        <w:rPr>
          <w:rFonts w:hint="eastAsia" w:ascii="宋体" w:hAnsi="宋体" w:eastAsia="宋体" w:cs="宋体"/>
          <w:szCs w:val="24"/>
        </w:rPr>
        <w:t>GB8567-88《计算机软件产品开发文件编制指南》</w:t>
      </w:r>
    </w:p>
    <w:p>
      <w:pPr>
        <w:pStyle w:val="18"/>
        <w:numPr>
          <w:ilvl w:val="0"/>
          <w:numId w:val="1"/>
        </w:numPr>
        <w:ind w:left="0" w:firstLine="480"/>
        <w:rPr>
          <w:rFonts w:ascii="宋体" w:hAnsi="宋体" w:eastAsia="宋体" w:cs="宋体"/>
          <w:szCs w:val="24"/>
        </w:rPr>
      </w:pPr>
      <w:r>
        <w:rPr>
          <w:rFonts w:hint="eastAsia" w:ascii="宋体" w:hAnsi="宋体" w:eastAsia="宋体" w:cs="宋体"/>
          <w:szCs w:val="24"/>
        </w:rPr>
        <w:t>GB/T 12504《计算机软件质量保证计划规范》</w:t>
      </w:r>
    </w:p>
    <w:p>
      <w:pPr>
        <w:pStyle w:val="18"/>
        <w:numPr>
          <w:ilvl w:val="0"/>
          <w:numId w:val="1"/>
        </w:numPr>
        <w:ind w:left="0" w:firstLine="480"/>
        <w:rPr>
          <w:rFonts w:ascii="宋体" w:hAnsi="宋体" w:eastAsia="宋体" w:cs="宋体"/>
          <w:szCs w:val="24"/>
        </w:rPr>
      </w:pPr>
      <w:r>
        <w:rPr>
          <w:rFonts w:hint="eastAsia" w:ascii="宋体" w:hAnsi="宋体" w:eastAsia="宋体" w:cs="宋体"/>
          <w:szCs w:val="24"/>
        </w:rPr>
        <w:t>GB/T 11457《软件工程术语》</w:t>
      </w:r>
    </w:p>
    <w:p>
      <w:pPr>
        <w:pStyle w:val="18"/>
        <w:numPr>
          <w:ilvl w:val="0"/>
          <w:numId w:val="1"/>
        </w:numPr>
        <w:ind w:left="0" w:firstLine="480"/>
        <w:rPr>
          <w:rFonts w:ascii="宋体" w:hAnsi="宋体" w:eastAsia="宋体" w:cs="宋体"/>
          <w:szCs w:val="24"/>
        </w:rPr>
      </w:pPr>
      <w:r>
        <w:rPr>
          <w:rFonts w:hint="eastAsia" w:ascii="宋体" w:hAnsi="宋体" w:eastAsia="宋体" w:cs="宋体"/>
          <w:szCs w:val="24"/>
        </w:rPr>
        <w:t>GB/T 15538《软件工程标准分类法》</w:t>
      </w:r>
    </w:p>
    <w:p>
      <w:pPr>
        <w:pStyle w:val="18"/>
        <w:numPr>
          <w:ilvl w:val="0"/>
          <w:numId w:val="1"/>
        </w:numPr>
        <w:ind w:left="0" w:firstLine="480"/>
        <w:rPr>
          <w:rFonts w:ascii="宋体" w:hAnsi="宋体" w:eastAsia="宋体" w:cs="宋体"/>
          <w:szCs w:val="24"/>
        </w:rPr>
      </w:pPr>
      <w:r>
        <w:rPr>
          <w:rFonts w:hint="eastAsia" w:ascii="宋体" w:hAnsi="宋体" w:eastAsia="宋体" w:cs="宋体"/>
          <w:szCs w:val="24"/>
        </w:rPr>
        <w:t>GB/T 14079《软件维护指南》</w:t>
      </w:r>
    </w:p>
    <w:p>
      <w:pPr>
        <w:pStyle w:val="18"/>
        <w:numPr>
          <w:ilvl w:val="0"/>
          <w:numId w:val="1"/>
        </w:numPr>
        <w:ind w:left="0" w:firstLine="480"/>
        <w:rPr>
          <w:rFonts w:ascii="宋体" w:hAnsi="宋体" w:eastAsia="宋体" w:cs="宋体"/>
          <w:szCs w:val="24"/>
        </w:rPr>
      </w:pPr>
      <w:r>
        <w:rPr>
          <w:rFonts w:hint="eastAsia" w:ascii="宋体" w:hAnsi="宋体" w:eastAsia="宋体" w:cs="宋体"/>
          <w:szCs w:val="24"/>
        </w:rPr>
        <w:t>GB9385-88《计算机软件需求说明编制指南》</w:t>
      </w:r>
    </w:p>
    <w:p>
      <w:pPr>
        <w:pStyle w:val="18"/>
        <w:numPr>
          <w:ilvl w:val="0"/>
          <w:numId w:val="1"/>
        </w:numPr>
        <w:ind w:left="0" w:firstLine="480"/>
        <w:rPr>
          <w:rFonts w:ascii="宋体" w:hAnsi="宋体" w:eastAsia="宋体" w:cs="宋体"/>
          <w:szCs w:val="24"/>
        </w:rPr>
      </w:pPr>
      <w:r>
        <w:rPr>
          <w:rFonts w:hint="eastAsia" w:ascii="宋体" w:hAnsi="宋体" w:eastAsia="宋体" w:cs="宋体"/>
          <w:szCs w:val="24"/>
        </w:rPr>
        <w:t>GB 9386-88《计算机软件测试文件编制指南》</w:t>
      </w:r>
    </w:p>
    <w:p>
      <w:pPr>
        <w:pStyle w:val="18"/>
        <w:numPr>
          <w:ilvl w:val="0"/>
          <w:numId w:val="1"/>
        </w:numPr>
        <w:ind w:left="0" w:firstLine="480"/>
        <w:rPr>
          <w:rFonts w:ascii="宋体" w:hAnsi="宋体" w:eastAsia="宋体" w:cs="宋体"/>
          <w:szCs w:val="24"/>
        </w:rPr>
      </w:pPr>
      <w:r>
        <w:rPr>
          <w:rFonts w:hint="eastAsia" w:ascii="宋体" w:hAnsi="宋体" w:eastAsia="宋体" w:cs="宋体"/>
          <w:szCs w:val="24"/>
        </w:rPr>
        <w:t>GB/T 12505-90《计算机软件配置管理计划规范》</w:t>
      </w:r>
    </w:p>
    <w:p>
      <w:pPr>
        <w:pStyle w:val="18"/>
        <w:numPr>
          <w:ilvl w:val="0"/>
          <w:numId w:val="1"/>
        </w:numPr>
        <w:ind w:left="0" w:firstLine="480"/>
        <w:rPr>
          <w:rFonts w:ascii="宋体" w:hAnsi="宋体" w:eastAsia="宋体" w:cs="宋体"/>
          <w:szCs w:val="24"/>
        </w:rPr>
      </w:pPr>
      <w:r>
        <w:rPr>
          <w:rFonts w:hint="eastAsia" w:ascii="宋体" w:hAnsi="宋体" w:eastAsia="宋体" w:cs="宋体"/>
          <w:szCs w:val="24"/>
        </w:rPr>
        <w:t>GB/T 12394《计算机软件可靠性和可维护性管理》</w:t>
      </w:r>
    </w:p>
    <w:p>
      <w:pPr>
        <w:pStyle w:val="18"/>
        <w:numPr>
          <w:ilvl w:val="0"/>
          <w:numId w:val="1"/>
        </w:numPr>
        <w:ind w:left="0" w:firstLine="480"/>
        <w:rPr>
          <w:rFonts w:ascii="宋体" w:hAnsi="宋体" w:eastAsia="宋体" w:cs="宋体"/>
          <w:szCs w:val="24"/>
        </w:rPr>
      </w:pPr>
      <w:r>
        <w:rPr>
          <w:rFonts w:hint="eastAsia" w:ascii="宋体" w:hAnsi="宋体" w:eastAsia="宋体" w:cs="宋体"/>
          <w:szCs w:val="24"/>
        </w:rPr>
        <w:t>《国家卫生信息化标准基础框架》</w:t>
      </w:r>
    </w:p>
    <w:p>
      <w:pPr>
        <w:pStyle w:val="18"/>
        <w:numPr>
          <w:ilvl w:val="0"/>
          <w:numId w:val="1"/>
        </w:numPr>
        <w:ind w:left="0" w:firstLine="480"/>
        <w:rPr>
          <w:rFonts w:ascii="宋体" w:hAnsi="宋体" w:eastAsia="宋体" w:cs="宋体"/>
          <w:szCs w:val="24"/>
        </w:rPr>
      </w:pPr>
      <w:r>
        <w:rPr>
          <w:rFonts w:hint="eastAsia" w:ascii="宋体" w:hAnsi="宋体" w:eastAsia="宋体" w:cs="宋体"/>
          <w:szCs w:val="24"/>
        </w:rPr>
        <w:t>《中国卫生信息标准基础数据集》</w:t>
      </w:r>
    </w:p>
    <w:p>
      <w:pPr>
        <w:pStyle w:val="18"/>
        <w:numPr>
          <w:ilvl w:val="0"/>
          <w:numId w:val="1"/>
        </w:numPr>
        <w:ind w:left="0" w:firstLine="480"/>
        <w:rPr>
          <w:rFonts w:ascii="宋体" w:hAnsi="宋体" w:eastAsia="宋体" w:cs="宋体"/>
          <w:szCs w:val="24"/>
        </w:rPr>
      </w:pPr>
      <w:r>
        <w:rPr>
          <w:rFonts w:hint="eastAsia" w:ascii="宋体" w:hAnsi="宋体" w:eastAsia="宋体" w:cs="宋体"/>
          <w:szCs w:val="24"/>
        </w:rPr>
        <w:t>《卫生信息数据规范指南》</w:t>
      </w:r>
    </w:p>
    <w:p>
      <w:pPr>
        <w:pStyle w:val="18"/>
        <w:numPr>
          <w:ilvl w:val="0"/>
          <w:numId w:val="1"/>
        </w:numPr>
        <w:ind w:left="0" w:firstLine="480"/>
        <w:rPr>
          <w:rFonts w:ascii="宋体" w:hAnsi="宋体" w:eastAsia="宋体" w:cs="宋体"/>
          <w:szCs w:val="24"/>
        </w:rPr>
      </w:pPr>
      <w:r>
        <w:rPr>
          <w:rFonts w:hint="eastAsia" w:ascii="宋体" w:hAnsi="宋体" w:eastAsia="宋体" w:cs="宋体"/>
          <w:szCs w:val="24"/>
        </w:rPr>
        <w:t>《电子病历基本架构与数据标准》</w:t>
      </w:r>
    </w:p>
    <w:p>
      <w:pPr>
        <w:pStyle w:val="18"/>
        <w:numPr>
          <w:ilvl w:val="0"/>
          <w:numId w:val="1"/>
        </w:numPr>
        <w:ind w:left="0" w:firstLine="480"/>
        <w:rPr>
          <w:rFonts w:ascii="宋体" w:hAnsi="宋体" w:eastAsia="宋体" w:cs="宋体"/>
          <w:szCs w:val="24"/>
        </w:rPr>
      </w:pPr>
      <w:r>
        <w:rPr>
          <w:rFonts w:hint="eastAsia" w:ascii="宋体" w:hAnsi="宋体" w:eastAsia="宋体" w:cs="宋体"/>
          <w:szCs w:val="24"/>
        </w:rPr>
        <w:t>《国际疾病分类ICD-9和ICD-10》</w:t>
      </w:r>
    </w:p>
    <w:p>
      <w:pPr>
        <w:pStyle w:val="18"/>
        <w:numPr>
          <w:ilvl w:val="0"/>
          <w:numId w:val="1"/>
        </w:numPr>
        <w:ind w:left="0" w:firstLine="480"/>
        <w:rPr>
          <w:rFonts w:ascii="宋体" w:hAnsi="宋体" w:eastAsia="宋体" w:cs="宋体"/>
          <w:szCs w:val="24"/>
        </w:rPr>
      </w:pPr>
      <w:r>
        <w:rPr>
          <w:rFonts w:hint="eastAsia" w:ascii="宋体" w:hAnsi="宋体" w:eastAsia="宋体" w:cs="宋体"/>
          <w:szCs w:val="24"/>
        </w:rPr>
        <w:t>《临床术语标准——SNOMED CT》</w:t>
      </w:r>
    </w:p>
    <w:p>
      <w:pPr>
        <w:pStyle w:val="18"/>
        <w:numPr>
          <w:ilvl w:val="0"/>
          <w:numId w:val="1"/>
        </w:numPr>
        <w:ind w:left="0" w:firstLine="480"/>
        <w:rPr>
          <w:rFonts w:ascii="宋体" w:hAnsi="宋体" w:eastAsia="宋体" w:cs="宋体"/>
          <w:szCs w:val="24"/>
        </w:rPr>
      </w:pPr>
      <w:r>
        <w:rPr>
          <w:rFonts w:hint="eastAsia" w:ascii="宋体" w:hAnsi="宋体" w:eastAsia="宋体" w:cs="宋体"/>
          <w:szCs w:val="24"/>
        </w:rPr>
        <w:t>《医疗卫生领域信息交换标准——HL7 V3》</w:t>
      </w:r>
    </w:p>
    <w:p>
      <w:pPr>
        <w:ind w:firstLine="480" w:firstLineChars="200"/>
        <w:rPr>
          <w:rFonts w:ascii="宋体" w:hAnsi="宋体" w:eastAsia="宋体" w:cs="宋体"/>
        </w:rPr>
      </w:pPr>
      <w:r>
        <w:rPr>
          <w:rFonts w:hint="eastAsia" w:ascii="宋体" w:hAnsi="宋体" w:eastAsia="宋体" w:cs="宋体"/>
        </w:rPr>
        <w:t>代码体系的设计，如果有国家标准的就使用国家标准代码；没有国标代码的，遵循相关行业标准代码；没有行业标准代码的，遵循约定俗成的规定；没有约定俗成的规定代码，按照实际情况设计既能满足业务需求也可扩充的代码。系统的设计实现，则尽量采用灵活的代码设计方式，保证软件能够适应代码变更的需求。</w:t>
      </w:r>
    </w:p>
    <w:p>
      <w:pPr>
        <w:pStyle w:val="4"/>
        <w:spacing w:before="0" w:after="312" w:line="360" w:lineRule="auto"/>
        <w:ind w:firstLine="482" w:firstLineChars="200"/>
        <w:rPr>
          <w:rFonts w:ascii="宋体" w:hAnsi="宋体" w:eastAsia="宋体" w:cs="宋体"/>
          <w:sz w:val="24"/>
          <w:szCs w:val="24"/>
        </w:rPr>
      </w:pPr>
      <w:r>
        <w:rPr>
          <w:rFonts w:hint="eastAsia" w:ascii="宋体" w:hAnsi="宋体" w:eastAsia="宋体" w:cs="宋体"/>
          <w:sz w:val="24"/>
          <w:szCs w:val="24"/>
        </w:rPr>
        <w:t>5.3运行环境要求</w:t>
      </w:r>
    </w:p>
    <w:p>
      <w:pPr>
        <w:ind w:firstLine="480" w:firstLineChars="200"/>
        <w:rPr>
          <w:rFonts w:ascii="宋体" w:hAnsi="宋体" w:eastAsia="宋体" w:cs="宋体"/>
        </w:rPr>
      </w:pPr>
      <w:r>
        <w:rPr>
          <w:rFonts w:hint="eastAsia" w:ascii="宋体" w:hAnsi="宋体" w:eastAsia="宋体" w:cs="宋体"/>
        </w:rPr>
        <w:t>1.服务器环境</w:t>
      </w:r>
    </w:p>
    <w:p>
      <w:pPr>
        <w:ind w:firstLine="480" w:firstLineChars="200"/>
        <w:rPr>
          <w:rFonts w:ascii="宋体" w:hAnsi="宋体" w:eastAsia="宋体" w:cs="宋体"/>
        </w:rPr>
      </w:pPr>
      <w:r>
        <w:rPr>
          <w:rFonts w:hint="eastAsia" w:ascii="宋体" w:hAnsi="宋体" w:eastAsia="宋体" w:cs="宋体"/>
        </w:rPr>
        <w:t>系统服务器由医院提供，支持虚拟化部署，支持以下任一常用操作系统，如：Windows Server、Cent OS、Linux等。数据库支持行业主流产品，如：MSSQL Server、Oracle、MySQL等。</w:t>
      </w:r>
    </w:p>
    <w:p>
      <w:pPr>
        <w:ind w:firstLine="480" w:firstLineChars="200"/>
        <w:rPr>
          <w:rFonts w:ascii="宋体" w:hAnsi="宋体" w:eastAsia="宋体" w:cs="宋体"/>
        </w:rPr>
      </w:pPr>
      <w:r>
        <w:rPr>
          <w:rFonts w:hint="eastAsia" w:ascii="宋体" w:hAnsi="宋体" w:eastAsia="宋体" w:cs="宋体"/>
        </w:rPr>
        <w:t>2.客户端环境</w:t>
      </w:r>
    </w:p>
    <w:p>
      <w:pPr>
        <w:ind w:firstLine="480" w:firstLineChars="200"/>
        <w:rPr>
          <w:rFonts w:ascii="宋体" w:hAnsi="宋体" w:eastAsia="宋体" w:cs="宋体"/>
        </w:rPr>
      </w:pPr>
      <w:r>
        <w:rPr>
          <w:rFonts w:hint="eastAsia" w:ascii="宋体" w:hAnsi="宋体" w:eastAsia="宋体" w:cs="宋体"/>
        </w:rPr>
        <w:t>可支持最低2核8G内存的客户端电脑访问，系统性能不受影响。</w:t>
      </w:r>
    </w:p>
    <w:p>
      <w:pPr>
        <w:pStyle w:val="4"/>
        <w:spacing w:before="0" w:after="312" w:line="360" w:lineRule="auto"/>
        <w:ind w:firstLine="482" w:firstLineChars="200"/>
        <w:rPr>
          <w:rFonts w:ascii="宋体" w:hAnsi="宋体" w:eastAsia="宋体" w:cs="宋体"/>
          <w:sz w:val="24"/>
          <w:szCs w:val="24"/>
        </w:rPr>
      </w:pPr>
      <w:r>
        <w:rPr>
          <w:rFonts w:hint="eastAsia" w:ascii="宋体" w:hAnsi="宋体" w:eastAsia="宋体" w:cs="宋体"/>
          <w:sz w:val="24"/>
          <w:szCs w:val="24"/>
        </w:rPr>
        <w:t>5.4实施人员要求</w:t>
      </w:r>
    </w:p>
    <w:p>
      <w:pPr>
        <w:ind w:firstLine="480" w:firstLineChars="200"/>
        <w:rPr>
          <w:rFonts w:ascii="宋体" w:hAnsi="宋体" w:eastAsia="宋体" w:cs="宋体"/>
        </w:rPr>
      </w:pPr>
      <w:r>
        <w:rPr>
          <w:rFonts w:hint="eastAsia" w:ascii="宋体" w:hAnsi="宋体" w:eastAsia="宋体" w:cs="宋体"/>
        </w:rPr>
        <w:t>团队人员要求具备两年或两年以上的系统开发或维护工作经验，能较快处理系统在运行中的故障问题。乙方提供驻场运维人员素质达不到甲方工作要求时，应及时在1个月内安排更换。驻场服务人员服务时间：正常工作日早上8:00—下午18:00。</w:t>
      </w:r>
    </w:p>
    <w:p>
      <w:pPr>
        <w:rPr>
          <w:rFonts w:asciiTheme="minorEastAsia" w:hAnsiTheme="minorEastAsia"/>
          <w:b/>
          <w:bCs/>
          <w:kern w:val="44"/>
          <w:sz w:val="32"/>
          <w:szCs w:val="44"/>
        </w:rPr>
      </w:pPr>
      <w:bookmarkStart w:id="4" w:name="_5.4实施与培训服务要求"/>
      <w:bookmarkEnd w:id="4"/>
      <w:r>
        <w:rPr>
          <w:rFonts w:hint="eastAsia" w:asciiTheme="minorEastAsia" w:hAnsiTheme="minorEastAsia"/>
          <w:b/>
          <w:bCs/>
          <w:kern w:val="44"/>
          <w:sz w:val="32"/>
          <w:szCs w:val="44"/>
        </w:rPr>
        <w:t>六、保修要求</w:t>
      </w:r>
    </w:p>
    <w:p>
      <w:pPr>
        <w:ind w:firstLine="480" w:firstLineChars="200"/>
        <w:rPr>
          <w:rFonts w:ascii="宋体" w:hAnsi="宋体" w:eastAsia="宋体" w:cs="宋体"/>
        </w:rPr>
      </w:pPr>
      <w:r>
        <w:rPr>
          <w:rFonts w:hint="eastAsia" w:ascii="宋体" w:hAnsi="宋体" w:eastAsia="宋体" w:cs="宋体"/>
        </w:rPr>
        <w:t>1.项目验收通过后，承建商提供至少2年的免费升级维护服务。免费维护期内，承建商必须根据用户要求负责进行售后技术支持和服务，不再收取合同规定外任何额外费用。</w:t>
      </w:r>
    </w:p>
    <w:p>
      <w:pPr>
        <w:ind w:firstLine="480" w:firstLineChars="200"/>
        <w:rPr>
          <w:rFonts w:ascii="宋体" w:hAnsi="宋体" w:eastAsia="宋体" w:cs="宋体"/>
        </w:rPr>
      </w:pPr>
      <w:r>
        <w:rPr>
          <w:rFonts w:hint="eastAsia" w:ascii="宋体" w:hAnsi="宋体" w:eastAsia="宋体" w:cs="宋体"/>
        </w:rPr>
        <w:t>2.项目承建商要长期建立完善的技术支持和售后服务管理体系和服务队伍，为配合用户使用提供全方位的技术支持工作，并对如何实施服务提出承诺。</w:t>
      </w:r>
    </w:p>
    <w:p>
      <w:pPr>
        <w:ind w:firstLine="480" w:firstLineChars="200"/>
        <w:rPr>
          <w:rFonts w:ascii="宋体" w:hAnsi="宋体" w:eastAsia="宋体" w:cs="宋体"/>
        </w:rPr>
      </w:pPr>
      <w:r>
        <w:rPr>
          <w:rFonts w:hint="eastAsia" w:ascii="宋体" w:hAnsi="宋体" w:eastAsia="宋体" w:cs="宋体"/>
        </w:rPr>
        <w:t>3.对本需求文档中标明的内容，项目承建商需提供售后服务和系统维护服务，并且要保证质量、保证工期，承建商承诺提供后续业务系统的升级服务、数据共享、开放接口等内容。</w:t>
      </w:r>
    </w:p>
    <w:p>
      <w:pPr>
        <w:ind w:firstLine="480" w:firstLineChars="200"/>
        <w:rPr>
          <w:rFonts w:ascii="宋体" w:hAnsi="宋体" w:eastAsia="宋体" w:cs="宋体"/>
        </w:rPr>
      </w:pPr>
      <w:r>
        <w:rPr>
          <w:rFonts w:hint="eastAsia" w:ascii="宋体" w:hAnsi="宋体" w:eastAsia="宋体" w:cs="宋体"/>
        </w:rPr>
        <w:t>4.承建商需派专人负责协调项目的整体进度，收集整理相关的业务需求，并严格按时间节点完成相关功能的开发。</w:t>
      </w:r>
    </w:p>
    <w:p>
      <w:pPr>
        <w:ind w:firstLine="480" w:firstLineChars="200"/>
        <w:rPr>
          <w:rFonts w:ascii="宋体" w:hAnsi="宋体" w:eastAsia="宋体" w:cs="宋体"/>
        </w:rPr>
      </w:pPr>
      <w:r>
        <w:rPr>
          <w:rFonts w:hint="eastAsia" w:ascii="宋体" w:hAnsi="宋体" w:eastAsia="宋体" w:cs="宋体"/>
        </w:rPr>
        <w:t>5.对于紧急情况要求当日解决问题；非紧急情况需要当日给出解决方案，3-7天解决；主要功能的修改需要在2周内完成。</w:t>
      </w:r>
    </w:p>
    <w:p>
      <w:pPr>
        <w:ind w:firstLine="480" w:firstLineChars="200"/>
        <w:rPr>
          <w:rFonts w:asciiTheme="minorEastAsia" w:hAnsiTheme="minorEastAsia"/>
        </w:rPr>
      </w:pPr>
      <w:r>
        <w:rPr>
          <w:rFonts w:hint="eastAsia" w:ascii="宋体" w:hAnsi="宋体" w:eastAsia="宋体" w:cs="宋体"/>
        </w:rPr>
        <w:t>6.维护期间，要提供多方面维护内容：各个系统软件服务、应用软件服务和咨询服务、重要安全保障</w:t>
      </w:r>
      <w:r>
        <w:rPr>
          <w:rFonts w:hint="eastAsia" w:ascii="宋体" w:hAnsi="宋体" w:eastAsia="宋体" w:cs="宋体"/>
          <w:sz w:val="22"/>
        </w:rPr>
        <w:t>时期技术支持。</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614C29"/>
    <w:multiLevelType w:val="multilevel"/>
    <w:tmpl w:val="2F614C29"/>
    <w:lvl w:ilvl="0" w:tentative="0">
      <w:start w:val="1"/>
      <w:numFmt w:val="bullet"/>
      <w:lvlText w:val=""/>
      <w:lvlJc w:val="left"/>
      <w:pPr>
        <w:ind w:left="1291" w:hanging="420"/>
      </w:pPr>
      <w:rPr>
        <w:rFonts w:hint="default" w:ascii="Wingdings" w:hAnsi="Wingdings"/>
      </w:rPr>
    </w:lvl>
    <w:lvl w:ilvl="1" w:tentative="0">
      <w:start w:val="1"/>
      <w:numFmt w:val="bullet"/>
      <w:lvlText w:val=""/>
      <w:lvlJc w:val="left"/>
      <w:pPr>
        <w:ind w:left="1711" w:hanging="420"/>
      </w:pPr>
      <w:rPr>
        <w:rFonts w:hint="default" w:ascii="Wingdings" w:hAnsi="Wingdings"/>
      </w:rPr>
    </w:lvl>
    <w:lvl w:ilvl="2" w:tentative="0">
      <w:start w:val="1"/>
      <w:numFmt w:val="bullet"/>
      <w:lvlText w:val=""/>
      <w:lvlJc w:val="left"/>
      <w:pPr>
        <w:ind w:left="2131" w:hanging="420"/>
      </w:pPr>
      <w:rPr>
        <w:rFonts w:hint="default" w:ascii="Wingdings" w:hAnsi="Wingdings"/>
      </w:rPr>
    </w:lvl>
    <w:lvl w:ilvl="3" w:tentative="0">
      <w:start w:val="1"/>
      <w:numFmt w:val="bullet"/>
      <w:lvlText w:val=""/>
      <w:lvlJc w:val="left"/>
      <w:pPr>
        <w:ind w:left="2551" w:hanging="420"/>
      </w:pPr>
      <w:rPr>
        <w:rFonts w:hint="default" w:ascii="Wingdings" w:hAnsi="Wingdings"/>
      </w:rPr>
    </w:lvl>
    <w:lvl w:ilvl="4" w:tentative="0">
      <w:start w:val="1"/>
      <w:numFmt w:val="bullet"/>
      <w:lvlText w:val=""/>
      <w:lvlJc w:val="left"/>
      <w:pPr>
        <w:ind w:left="2971" w:hanging="420"/>
      </w:pPr>
      <w:rPr>
        <w:rFonts w:hint="default" w:ascii="Wingdings" w:hAnsi="Wingdings"/>
      </w:rPr>
    </w:lvl>
    <w:lvl w:ilvl="5" w:tentative="0">
      <w:start w:val="1"/>
      <w:numFmt w:val="bullet"/>
      <w:lvlText w:val=""/>
      <w:lvlJc w:val="left"/>
      <w:pPr>
        <w:ind w:left="3391" w:hanging="420"/>
      </w:pPr>
      <w:rPr>
        <w:rFonts w:hint="default" w:ascii="Wingdings" w:hAnsi="Wingdings"/>
      </w:rPr>
    </w:lvl>
    <w:lvl w:ilvl="6" w:tentative="0">
      <w:start w:val="1"/>
      <w:numFmt w:val="bullet"/>
      <w:lvlText w:val=""/>
      <w:lvlJc w:val="left"/>
      <w:pPr>
        <w:ind w:left="3811" w:hanging="420"/>
      </w:pPr>
      <w:rPr>
        <w:rFonts w:hint="default" w:ascii="Wingdings" w:hAnsi="Wingdings"/>
      </w:rPr>
    </w:lvl>
    <w:lvl w:ilvl="7" w:tentative="0">
      <w:start w:val="1"/>
      <w:numFmt w:val="bullet"/>
      <w:lvlText w:val=""/>
      <w:lvlJc w:val="left"/>
      <w:pPr>
        <w:ind w:left="4231" w:hanging="420"/>
      </w:pPr>
      <w:rPr>
        <w:rFonts w:hint="default" w:ascii="Wingdings" w:hAnsi="Wingdings"/>
      </w:rPr>
    </w:lvl>
    <w:lvl w:ilvl="8" w:tentative="0">
      <w:start w:val="1"/>
      <w:numFmt w:val="bullet"/>
      <w:lvlText w:val=""/>
      <w:lvlJc w:val="left"/>
      <w:pPr>
        <w:ind w:left="4651"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mZWQ4ZDMyMDU2MTY4ZmY4YjFhYjNkNzYxMTI0OWEifQ=="/>
  </w:docVars>
  <w:rsids>
    <w:rsidRoot w:val="001B7014"/>
    <w:rsid w:val="0001661A"/>
    <w:rsid w:val="00023A5D"/>
    <w:rsid w:val="000559EE"/>
    <w:rsid w:val="000814F6"/>
    <w:rsid w:val="000B11D2"/>
    <w:rsid w:val="000C0A6C"/>
    <w:rsid w:val="000F3C7C"/>
    <w:rsid w:val="0012478F"/>
    <w:rsid w:val="00157087"/>
    <w:rsid w:val="00165324"/>
    <w:rsid w:val="001A0475"/>
    <w:rsid w:val="001B7014"/>
    <w:rsid w:val="00370ECC"/>
    <w:rsid w:val="003A1D15"/>
    <w:rsid w:val="003C3D1D"/>
    <w:rsid w:val="00452C19"/>
    <w:rsid w:val="00481976"/>
    <w:rsid w:val="005A475F"/>
    <w:rsid w:val="005C3EDC"/>
    <w:rsid w:val="005F2A43"/>
    <w:rsid w:val="0063474A"/>
    <w:rsid w:val="0067449D"/>
    <w:rsid w:val="006B2E2F"/>
    <w:rsid w:val="006C7E7F"/>
    <w:rsid w:val="00725CBD"/>
    <w:rsid w:val="007809F2"/>
    <w:rsid w:val="007A2E23"/>
    <w:rsid w:val="0082129B"/>
    <w:rsid w:val="008C1912"/>
    <w:rsid w:val="008C56CB"/>
    <w:rsid w:val="008D4EDF"/>
    <w:rsid w:val="00940FC1"/>
    <w:rsid w:val="00947F03"/>
    <w:rsid w:val="009A1662"/>
    <w:rsid w:val="009E1D34"/>
    <w:rsid w:val="00A06143"/>
    <w:rsid w:val="00A708B3"/>
    <w:rsid w:val="00A846A6"/>
    <w:rsid w:val="00AA7068"/>
    <w:rsid w:val="00AC2F36"/>
    <w:rsid w:val="00AD2A04"/>
    <w:rsid w:val="00AD417F"/>
    <w:rsid w:val="00B74741"/>
    <w:rsid w:val="00BA57E8"/>
    <w:rsid w:val="00C05D2E"/>
    <w:rsid w:val="00C36917"/>
    <w:rsid w:val="00C552E5"/>
    <w:rsid w:val="00C71F42"/>
    <w:rsid w:val="00C86B37"/>
    <w:rsid w:val="00CC2484"/>
    <w:rsid w:val="00D01996"/>
    <w:rsid w:val="00D73559"/>
    <w:rsid w:val="00DB0527"/>
    <w:rsid w:val="00DD0B68"/>
    <w:rsid w:val="00DF5981"/>
    <w:rsid w:val="00E63F30"/>
    <w:rsid w:val="00F030A1"/>
    <w:rsid w:val="03850758"/>
    <w:rsid w:val="06F362A1"/>
    <w:rsid w:val="0DA512E8"/>
    <w:rsid w:val="11442E30"/>
    <w:rsid w:val="18F17CF1"/>
    <w:rsid w:val="1942653F"/>
    <w:rsid w:val="1AB529A2"/>
    <w:rsid w:val="220B1BC2"/>
    <w:rsid w:val="234B480E"/>
    <w:rsid w:val="27FD1F46"/>
    <w:rsid w:val="298734E1"/>
    <w:rsid w:val="2B7B7266"/>
    <w:rsid w:val="3412246D"/>
    <w:rsid w:val="37D627D8"/>
    <w:rsid w:val="3B196768"/>
    <w:rsid w:val="3BBC6703"/>
    <w:rsid w:val="3E992D87"/>
    <w:rsid w:val="4484402C"/>
    <w:rsid w:val="4AB14A1E"/>
    <w:rsid w:val="4AC61104"/>
    <w:rsid w:val="5A096E02"/>
    <w:rsid w:val="6CDE66A8"/>
    <w:rsid w:val="76D46B5C"/>
    <w:rsid w:val="7A603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jc w:val="both"/>
    </w:pPr>
    <w:rPr>
      <w:rFonts w:asciiTheme="minorHAnsi" w:hAnsiTheme="minorHAnsi" w:eastAsiaTheme="minorEastAsia" w:cstheme="minorBidi"/>
      <w:kern w:val="2"/>
      <w:sz w:val="24"/>
      <w:szCs w:val="24"/>
      <w:lang w:val="en-US" w:eastAsia="zh-CN" w:bidi="ar-SA"/>
    </w:rPr>
  </w:style>
  <w:style w:type="paragraph" w:styleId="3">
    <w:name w:val="heading 1"/>
    <w:basedOn w:val="1"/>
    <w:next w:val="1"/>
    <w:autoRedefine/>
    <w:qFormat/>
    <w:uiPriority w:val="9"/>
    <w:pPr>
      <w:keepNext/>
      <w:keepLines/>
      <w:spacing w:before="340" w:after="330"/>
      <w:outlineLvl w:val="0"/>
    </w:pPr>
    <w:rPr>
      <w:rFonts w:ascii="仿宋" w:hAnsi="仿宋" w:eastAsia="仿宋"/>
      <w:b/>
      <w:bCs/>
      <w:kern w:val="44"/>
      <w:sz w:val="32"/>
      <w:szCs w:val="44"/>
    </w:rPr>
  </w:style>
  <w:style w:type="paragraph" w:styleId="4">
    <w:name w:val="heading 2"/>
    <w:basedOn w:val="1"/>
    <w:next w:val="1"/>
    <w:link w:val="16"/>
    <w:autoRedefine/>
    <w:qFormat/>
    <w:uiPriority w:val="0"/>
    <w:pPr>
      <w:keepNext/>
      <w:keepLines/>
      <w:spacing w:before="260" w:after="260" w:line="416" w:lineRule="auto"/>
      <w:outlineLvl w:val="1"/>
    </w:pPr>
    <w:rPr>
      <w:rFonts w:ascii="等线 Light" w:hAnsi="等线 Light" w:eastAsia="等线 Light" w:cs="等线"/>
      <w:b/>
      <w:bCs/>
      <w:sz w:val="32"/>
      <w:szCs w:val="32"/>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autoRedefine/>
    <w:unhideWhenUsed/>
    <w:qFormat/>
    <w:uiPriority w:val="99"/>
    <w:pPr>
      <w:spacing w:after="120"/>
    </w:pPr>
  </w:style>
  <w:style w:type="paragraph" w:styleId="5">
    <w:name w:val="footer"/>
    <w:basedOn w:val="1"/>
    <w:link w:val="14"/>
    <w:uiPriority w:val="0"/>
    <w:pPr>
      <w:tabs>
        <w:tab w:val="center" w:pos="4153"/>
        <w:tab w:val="right" w:pos="8306"/>
      </w:tabs>
      <w:snapToGrid w:val="0"/>
      <w:jc w:val="left"/>
    </w:pPr>
    <w:rPr>
      <w:sz w:val="18"/>
      <w:szCs w:val="18"/>
    </w:rPr>
  </w:style>
  <w:style w:type="paragraph" w:styleId="6">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5"/>
    <w:autoRedefine/>
    <w:qFormat/>
    <w:uiPriority w:val="10"/>
    <w:pPr>
      <w:spacing w:before="240" w:after="60"/>
      <w:jc w:val="center"/>
      <w:outlineLvl w:val="0"/>
    </w:pPr>
    <w:rPr>
      <w:rFonts w:asciiTheme="majorHAnsi" w:hAnsiTheme="majorHAnsi" w:eastAsiaTheme="majorEastAsia" w:cstheme="majorBidi"/>
      <w:b/>
      <w:bCs/>
      <w:sz w:val="32"/>
      <w:szCs w:val="32"/>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列出段落1"/>
    <w:basedOn w:val="1"/>
    <w:autoRedefine/>
    <w:qFormat/>
    <w:uiPriority w:val="99"/>
    <w:pPr>
      <w:ind w:firstLine="200" w:firstLineChars="200"/>
    </w:pPr>
    <w:rPr>
      <w:rFonts w:ascii="Calibri" w:hAnsi="Calibri" w:eastAsia="宋体" w:cs="Times New Roman"/>
    </w:rPr>
  </w:style>
  <w:style w:type="paragraph" w:styleId="12">
    <w:name w:val="List Paragraph"/>
    <w:basedOn w:val="1"/>
    <w:link w:val="17"/>
    <w:autoRedefine/>
    <w:unhideWhenUsed/>
    <w:qFormat/>
    <w:uiPriority w:val="99"/>
    <w:rPr>
      <w:rFonts w:asciiTheme="minorEastAsia" w:hAnsiTheme="minorEastAsia"/>
    </w:rPr>
  </w:style>
  <w:style w:type="character" w:customStyle="1" w:styleId="13">
    <w:name w:val="页眉 字符"/>
    <w:basedOn w:val="10"/>
    <w:link w:val="6"/>
    <w:autoRedefine/>
    <w:qFormat/>
    <w:uiPriority w:val="0"/>
    <w:rPr>
      <w:kern w:val="2"/>
      <w:sz w:val="18"/>
      <w:szCs w:val="18"/>
    </w:rPr>
  </w:style>
  <w:style w:type="character" w:customStyle="1" w:styleId="14">
    <w:name w:val="页脚 字符"/>
    <w:basedOn w:val="10"/>
    <w:link w:val="5"/>
    <w:autoRedefine/>
    <w:qFormat/>
    <w:uiPriority w:val="0"/>
    <w:rPr>
      <w:kern w:val="2"/>
      <w:sz w:val="18"/>
      <w:szCs w:val="18"/>
    </w:rPr>
  </w:style>
  <w:style w:type="character" w:customStyle="1" w:styleId="15">
    <w:name w:val="标题 字符"/>
    <w:basedOn w:val="10"/>
    <w:link w:val="7"/>
    <w:autoRedefine/>
    <w:qFormat/>
    <w:uiPriority w:val="10"/>
    <w:rPr>
      <w:rFonts w:asciiTheme="majorHAnsi" w:hAnsiTheme="majorHAnsi" w:eastAsiaTheme="majorEastAsia" w:cstheme="majorBidi"/>
      <w:b/>
      <w:bCs/>
      <w:kern w:val="2"/>
      <w:sz w:val="32"/>
      <w:szCs w:val="32"/>
    </w:rPr>
  </w:style>
  <w:style w:type="character" w:customStyle="1" w:styleId="16">
    <w:name w:val="标题 2 字符"/>
    <w:basedOn w:val="10"/>
    <w:link w:val="4"/>
    <w:autoRedefine/>
    <w:qFormat/>
    <w:uiPriority w:val="0"/>
    <w:rPr>
      <w:rFonts w:ascii="等线 Light" w:hAnsi="等线 Light" w:eastAsia="等线 Light" w:cs="等线"/>
      <w:b/>
      <w:bCs/>
      <w:kern w:val="2"/>
      <w:sz w:val="32"/>
      <w:szCs w:val="32"/>
    </w:rPr>
  </w:style>
  <w:style w:type="character" w:customStyle="1" w:styleId="17">
    <w:name w:val="列出段落 字符"/>
    <w:link w:val="12"/>
    <w:autoRedefine/>
    <w:qFormat/>
    <w:uiPriority w:val="99"/>
    <w:rPr>
      <w:rFonts w:asciiTheme="minorEastAsia" w:hAnsiTheme="minorEastAsia"/>
      <w:kern w:val="2"/>
      <w:sz w:val="24"/>
      <w:szCs w:val="24"/>
    </w:rPr>
  </w:style>
  <w:style w:type="paragraph" w:customStyle="1" w:styleId="18">
    <w:name w:val="_Style 17"/>
    <w:basedOn w:val="1"/>
    <w:next w:val="12"/>
    <w:autoRedefine/>
    <w:qFormat/>
    <w:uiPriority w:val="34"/>
    <w:pPr>
      <w:ind w:firstLine="420" w:firstLineChars="200"/>
    </w:pPr>
    <w:rPr>
      <w:rFonts w:ascii="等线" w:hAnsi="等线" w:eastAsia="等线" w:cs="等线"/>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593</Words>
  <Characters>3382</Characters>
  <Lines>28</Lines>
  <Paragraphs>7</Paragraphs>
  <TotalTime>3</TotalTime>
  <ScaleCrop>false</ScaleCrop>
  <LinksUpToDate>false</LinksUpToDate>
  <CharactersWithSpaces>3968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2024-03-14T07:48:00Z</dcterms:created>
  <dc:creator>19371</dc:creator>
  <cp:lastModifiedBy>赵杰</cp:lastModifiedBy>
  <dcterms:modified xsi:type="dcterms:W3CDTF">2024-03-20T09:35:21Z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03DBAF9DDC9741D2B854B6B98D10026E_13</vt:lpwstr>
  </property>
</Properties>
</file>