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惠福、院本部保温餐车报废更新采购项目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70"/>
        <w:gridCol w:w="1395"/>
        <w:gridCol w:w="743"/>
        <w:gridCol w:w="1050"/>
        <w:gridCol w:w="1282"/>
        <w:gridCol w:w="1275"/>
        <w:gridCol w:w="12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1"/>
                <w:szCs w:val="21"/>
                <w:lang w:val="en-US" w:eastAsia="zh-CN" w:bidi="ar-SA"/>
              </w:rPr>
              <w:t>保温餐车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报价中，采购方无须再支付总报价之外的任何费用。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>
            <w:pPr>
              <w:numPr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24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2024-03-21T02:37:31Z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8DCA9057FFE74859B09553E2187B05D0_13</vt:lpwstr>
  </property>
</Properties>
</file>