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rPr>
        <w:t>核心负载均衡设备升级项目（2024年）需求书</w:t>
      </w:r>
    </w:p>
    <w:p>
      <w:pPr>
        <w:pStyle w:val="4"/>
        <w:numPr>
          <w:ilvl w:val="0"/>
          <w:numId w:val="3"/>
        </w:numPr>
        <w:rPr>
          <w:rFonts w:ascii="宋体" w:hAnsi="宋体"/>
        </w:rPr>
      </w:pPr>
      <w:r>
        <w:rPr>
          <w:rFonts w:hint="eastAsia" w:ascii="宋体" w:hAnsi="宋体"/>
        </w:rPr>
        <w:t>项目名称</w:t>
      </w:r>
    </w:p>
    <w:p>
      <w:pPr>
        <w:spacing w:line="360" w:lineRule="auto"/>
        <w:ind w:left="432"/>
        <w:rPr>
          <w:rFonts w:ascii="宋体" w:hAnsi="宋体"/>
          <w:sz w:val="22"/>
        </w:rPr>
      </w:pPr>
      <w:r>
        <w:rPr>
          <w:rFonts w:hint="eastAsia" w:ascii="宋体" w:hAnsi="宋体"/>
          <w:sz w:val="22"/>
        </w:rPr>
        <w:t>项目名称：核心负载均衡设备升级项目（2024年）</w:t>
      </w:r>
    </w:p>
    <w:p>
      <w:pPr>
        <w:pStyle w:val="4"/>
        <w:numPr>
          <w:ilvl w:val="0"/>
          <w:numId w:val="3"/>
        </w:numPr>
        <w:rPr>
          <w:rFonts w:hint="eastAsia" w:ascii="宋体" w:hAnsi="宋体"/>
        </w:rPr>
      </w:pPr>
      <w:r>
        <w:rPr>
          <w:rFonts w:hint="eastAsia" w:ascii="宋体" w:hAnsi="宋体"/>
        </w:rPr>
        <w:t>采购清单</w:t>
      </w:r>
    </w:p>
    <w:p>
      <w:pPr>
        <w:rPr>
          <w:rFonts w:hint="eastAsia"/>
        </w:rPr>
      </w:pPr>
      <w:r>
        <w:rPr>
          <w:rFonts w:hint="eastAsia"/>
        </w:rPr>
        <w:t>采购设备及数量如下：</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8"/>
        <w:gridCol w:w="2162"/>
        <w:gridCol w:w="5954"/>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 w:type="pct"/>
            <w:noWrap w:val="0"/>
            <w:vAlign w:val="center"/>
          </w:tcPr>
          <w:p>
            <w:pPr>
              <w:jc w:val="center"/>
            </w:pPr>
            <w:r>
              <w:rPr>
                <w:rFonts w:hint="eastAsia"/>
              </w:rPr>
              <w:t>序号</w:t>
            </w:r>
          </w:p>
        </w:tc>
        <w:tc>
          <w:tcPr>
            <w:tcW w:w="1164" w:type="pct"/>
            <w:noWrap w:val="0"/>
            <w:vAlign w:val="center"/>
          </w:tcPr>
          <w:p>
            <w:pPr>
              <w:jc w:val="center"/>
            </w:pPr>
            <w:r>
              <w:rPr>
                <w:rFonts w:hint="eastAsia"/>
              </w:rPr>
              <w:t>名称</w:t>
            </w:r>
          </w:p>
        </w:tc>
        <w:tc>
          <w:tcPr>
            <w:tcW w:w="3206" w:type="pct"/>
            <w:noWrap w:val="0"/>
            <w:vAlign w:val="center"/>
          </w:tcPr>
          <w:p>
            <w:pPr>
              <w:jc w:val="center"/>
            </w:pPr>
            <w:r>
              <w:rPr>
                <w:rFonts w:hint="eastAsia"/>
              </w:rPr>
              <w:t>配置描述</w:t>
            </w:r>
          </w:p>
        </w:tc>
        <w:tc>
          <w:tcPr>
            <w:tcW w:w="362" w:type="pct"/>
            <w:noWrap w:val="0"/>
            <w:vAlign w:val="center"/>
          </w:tcPr>
          <w:p>
            <w:pPr>
              <w:jc w:val="center"/>
            </w:pPr>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 w:type="pct"/>
            <w:noWrap w:val="0"/>
            <w:vAlign w:val="center"/>
          </w:tcPr>
          <w:p>
            <w:pPr>
              <w:jc w:val="center"/>
            </w:pPr>
            <w:r>
              <w:t>1</w:t>
            </w:r>
          </w:p>
        </w:tc>
        <w:tc>
          <w:tcPr>
            <w:tcW w:w="1164" w:type="pct"/>
            <w:noWrap w:val="0"/>
            <w:vAlign w:val="center"/>
          </w:tcPr>
          <w:p>
            <w:pPr>
              <w:jc w:val="center"/>
            </w:pPr>
            <w:r>
              <w:rPr>
                <w:rFonts w:hint="eastAsia"/>
              </w:rPr>
              <w:t>应用负载均衡设备</w:t>
            </w:r>
          </w:p>
        </w:tc>
        <w:tc>
          <w:tcPr>
            <w:tcW w:w="3206" w:type="pct"/>
            <w:noWrap w:val="0"/>
            <w:vAlign w:val="top"/>
          </w:tcPr>
          <w:p>
            <w:pPr>
              <w:pStyle w:val="2"/>
              <w:rPr>
                <w:rFonts w:hint="eastAsia"/>
              </w:rPr>
            </w:pPr>
            <w:r>
              <w:rPr>
                <w:rFonts w:hint="eastAsia"/>
              </w:rPr>
              <w:t>详看3.1</w:t>
            </w:r>
          </w:p>
        </w:tc>
        <w:tc>
          <w:tcPr>
            <w:tcW w:w="362" w:type="pct"/>
            <w:noWrap w:val="0"/>
            <w:vAlign w:val="center"/>
          </w:tcPr>
          <w:p>
            <w:pPr>
              <w:jc w:val="center"/>
              <w:rPr>
                <w:color w:val="000000"/>
                <w:sz w:val="24"/>
              </w:rPr>
            </w:pPr>
            <w:r>
              <w:rPr>
                <w:rFonts w:hint="eastAsia"/>
                <w:color w:val="000000"/>
              </w:rPr>
              <w:t>2台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 w:type="pct"/>
            <w:noWrap w:val="0"/>
            <w:vAlign w:val="center"/>
          </w:tcPr>
          <w:p>
            <w:pPr>
              <w:jc w:val="center"/>
              <w:rPr>
                <w:rFonts w:hint="eastAsia"/>
              </w:rPr>
            </w:pPr>
            <w:r>
              <w:rPr>
                <w:rFonts w:hint="eastAsia"/>
              </w:rPr>
              <w:t>2</w:t>
            </w:r>
          </w:p>
        </w:tc>
        <w:tc>
          <w:tcPr>
            <w:tcW w:w="1164" w:type="pct"/>
            <w:noWrap w:val="0"/>
            <w:vAlign w:val="center"/>
          </w:tcPr>
          <w:p>
            <w:pPr>
              <w:jc w:val="center"/>
              <w:rPr>
                <w:rFonts w:hint="eastAsia" w:eastAsia="宋体"/>
                <w:lang w:val="en-US" w:eastAsia="zh-CN"/>
              </w:rPr>
            </w:pPr>
            <w:r>
              <w:rPr>
                <w:rFonts w:hint="eastAsia"/>
              </w:rPr>
              <w:t>链路负载升级</w:t>
            </w:r>
            <w:r>
              <w:rPr>
                <w:rFonts w:hint="eastAsia"/>
                <w:lang w:val="en-US" w:eastAsia="zh-CN"/>
              </w:rPr>
              <w:t>许可</w:t>
            </w:r>
          </w:p>
        </w:tc>
        <w:tc>
          <w:tcPr>
            <w:tcW w:w="3206" w:type="pct"/>
            <w:noWrap w:val="0"/>
            <w:vAlign w:val="top"/>
          </w:tcPr>
          <w:p>
            <w:pPr>
              <w:pStyle w:val="2"/>
            </w:pPr>
            <w:r>
              <w:rPr>
                <w:rFonts w:hint="eastAsia"/>
              </w:rPr>
              <w:t>详看3.2</w:t>
            </w:r>
          </w:p>
        </w:tc>
        <w:tc>
          <w:tcPr>
            <w:tcW w:w="362" w:type="pct"/>
            <w:noWrap w:val="0"/>
            <w:vAlign w:val="center"/>
          </w:tcPr>
          <w:p>
            <w:pPr>
              <w:jc w:val="center"/>
              <w:rPr>
                <w:color w:val="000000"/>
              </w:rPr>
            </w:pPr>
            <w:r>
              <w:rPr>
                <w:rFonts w:hint="eastAsia"/>
                <w:color w:val="000000"/>
              </w:rPr>
              <w:t>2套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8" w:type="pct"/>
            <w:noWrap w:val="0"/>
            <w:vAlign w:val="center"/>
          </w:tcPr>
          <w:p>
            <w:pPr>
              <w:jc w:val="center"/>
              <w:rPr>
                <w:rFonts w:hint="eastAsia"/>
              </w:rPr>
            </w:pPr>
            <w:r>
              <w:rPr>
                <w:rFonts w:hint="eastAsia"/>
              </w:rPr>
              <w:t>3</w:t>
            </w:r>
          </w:p>
        </w:tc>
        <w:tc>
          <w:tcPr>
            <w:tcW w:w="2162" w:type="dxa"/>
            <w:noWrap w:val="0"/>
            <w:vAlign w:val="center"/>
          </w:tcPr>
          <w:p>
            <w:pPr>
              <w:jc w:val="center"/>
              <w:rPr>
                <w:rFonts w:hint="eastAsia"/>
              </w:rPr>
            </w:pPr>
            <w:r>
              <w:rPr>
                <w:rFonts w:hint="eastAsia"/>
              </w:rPr>
              <w:t>集成服务</w:t>
            </w:r>
          </w:p>
        </w:tc>
        <w:tc>
          <w:tcPr>
            <w:tcW w:w="5954" w:type="dxa"/>
            <w:noWrap w:val="0"/>
            <w:vAlign w:val="center"/>
          </w:tcPr>
          <w:p>
            <w:pPr>
              <w:jc w:val="left"/>
              <w:rPr>
                <w:rFonts w:hint="eastAsia"/>
              </w:rPr>
            </w:pPr>
            <w:r>
              <w:rPr>
                <w:rFonts w:hint="eastAsia"/>
              </w:rPr>
              <w:t>详看3.3</w:t>
            </w:r>
          </w:p>
        </w:tc>
        <w:tc>
          <w:tcPr>
            <w:tcW w:w="672" w:type="dxa"/>
            <w:noWrap w:val="0"/>
            <w:vAlign w:val="top"/>
          </w:tcPr>
          <w:p>
            <w:pPr>
              <w:pStyle w:val="2"/>
              <w:jc w:val="center"/>
              <w:rPr>
                <w:color w:val="000000"/>
              </w:rPr>
            </w:pPr>
            <w:r>
              <w:rPr>
                <w:rFonts w:hint="eastAsia"/>
                <w:color w:val="000000"/>
                <w:lang w:val="en-US" w:eastAsia="zh-CN"/>
              </w:rPr>
              <w:t>1</w:t>
            </w:r>
            <w:r>
              <w:rPr>
                <w:rFonts w:hint="eastAsia"/>
                <w:color w:val="000000"/>
              </w:rPr>
              <w:t>项</w:t>
            </w:r>
          </w:p>
        </w:tc>
      </w:tr>
    </w:tbl>
    <w:p>
      <w:pPr>
        <w:rPr>
          <w:rFonts w:hint="eastAsia"/>
        </w:rPr>
      </w:pPr>
    </w:p>
    <w:p>
      <w:pPr>
        <w:pStyle w:val="4"/>
        <w:numPr>
          <w:ilvl w:val="0"/>
          <w:numId w:val="3"/>
        </w:numPr>
        <w:rPr>
          <w:rFonts w:ascii="宋体" w:hAnsi="宋体"/>
        </w:rPr>
      </w:pPr>
      <w:r>
        <w:rPr>
          <w:rFonts w:hint="eastAsia" w:ascii="宋体" w:hAnsi="宋体"/>
        </w:rPr>
        <w:t>详细配置参数</w:t>
      </w:r>
      <w:bookmarkStart w:id="25" w:name="_GoBack"/>
      <w:bookmarkEnd w:id="25"/>
    </w:p>
    <w:p>
      <w:pPr>
        <w:pStyle w:val="5"/>
      </w:pPr>
      <w:r>
        <w:rPr>
          <w:rFonts w:hint="eastAsia"/>
        </w:rPr>
        <w:t>3.1 应用负载均衡设备参数要求</w:t>
      </w:r>
    </w:p>
    <w:tbl>
      <w:tblPr>
        <w:tblStyle w:val="21"/>
        <w:tblW w:w="9306" w:type="dxa"/>
        <w:tblInd w:w="-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215"/>
        <w:gridCol w:w="7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noWrap w:val="0"/>
            <w:vAlign w:val="center"/>
          </w:tcPr>
          <w:p>
            <w:pPr>
              <w:jc w:val="center"/>
              <w:rPr>
                <w:rFonts w:hint="eastAsia"/>
              </w:rPr>
            </w:pPr>
            <w:r>
              <w:rPr>
                <w:rFonts w:hint="eastAsia"/>
              </w:rPr>
              <w:t>序号</w:t>
            </w:r>
          </w:p>
        </w:tc>
        <w:tc>
          <w:tcPr>
            <w:tcW w:w="1215" w:type="dxa"/>
            <w:noWrap w:val="0"/>
            <w:vAlign w:val="center"/>
          </w:tcPr>
          <w:p>
            <w:pPr>
              <w:jc w:val="center"/>
              <w:rPr>
                <w:rFonts w:hint="eastAsia"/>
              </w:rPr>
            </w:pPr>
            <w:r>
              <w:rPr>
                <w:rFonts w:hint="eastAsia"/>
              </w:rPr>
              <w:t>指标</w:t>
            </w:r>
          </w:p>
        </w:tc>
        <w:tc>
          <w:tcPr>
            <w:tcW w:w="7232" w:type="dxa"/>
            <w:noWrap w:val="0"/>
            <w:vAlign w:val="top"/>
          </w:tcPr>
          <w:p>
            <w:pPr>
              <w:jc w:val="center"/>
              <w:rPr>
                <w:rFonts w:hint="eastAsia"/>
              </w:rPr>
            </w:pPr>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restart"/>
            <w:noWrap w:val="0"/>
            <w:vAlign w:val="center"/>
          </w:tcPr>
          <w:p>
            <w:pPr>
              <w:jc w:val="center"/>
              <w:rPr>
                <w:rFonts w:hint="eastAsia"/>
              </w:rPr>
            </w:pPr>
            <w:r>
              <w:rPr>
                <w:rFonts w:hint="eastAsia"/>
              </w:rPr>
              <w:t>1</w:t>
            </w:r>
          </w:p>
        </w:tc>
        <w:tc>
          <w:tcPr>
            <w:tcW w:w="1215" w:type="dxa"/>
            <w:vMerge w:val="restart"/>
            <w:noWrap w:val="0"/>
            <w:vAlign w:val="center"/>
          </w:tcPr>
          <w:p>
            <w:pPr>
              <w:jc w:val="center"/>
              <w:rPr>
                <w:rFonts w:hint="eastAsia"/>
              </w:rPr>
            </w:pPr>
            <w:r>
              <w:rPr>
                <w:rFonts w:hint="eastAsia"/>
              </w:rPr>
              <w:t>设备规格</w:t>
            </w:r>
          </w:p>
        </w:tc>
        <w:tc>
          <w:tcPr>
            <w:tcW w:w="7232" w:type="dxa"/>
            <w:noWrap w:val="0"/>
            <w:vAlign w:val="top"/>
          </w:tcPr>
          <w:p>
            <w:pPr>
              <w:rPr>
                <w:rFonts w:hint="eastAsia"/>
              </w:rPr>
            </w:pPr>
            <w:r>
              <w:rPr>
                <w:rFonts w:hint="eastAsia"/>
              </w:rPr>
              <w:t>硬件参数：</w:t>
            </w:r>
          </w:p>
          <w:p>
            <w:pPr>
              <w:rPr>
                <w:rFonts w:hint="eastAsia"/>
              </w:rPr>
            </w:pPr>
            <w:r>
              <w:rPr>
                <w:rFonts w:hint="eastAsia"/>
              </w:rPr>
              <w:t>设备规格：≥2U，内存大小：≥64G，硬盘容量：≥480G SSD，电源：冗余电源，接口：≥4千兆电口+4千兆光口SFP+8万兆光口SFP+（含多模光模块）。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top"/>
          </w:tcPr>
          <w:p>
            <w:r>
              <w:rPr>
                <w:rFonts w:hint="eastAsia"/>
              </w:rPr>
              <w:t>性能参数：</w:t>
            </w:r>
          </w:p>
          <w:p>
            <w:pPr>
              <w:rPr>
                <w:rFonts w:hint="eastAsia"/>
              </w:rPr>
            </w:pPr>
            <w:r>
              <w:rPr>
                <w:rFonts w:hint="eastAsia"/>
              </w:rPr>
              <w:t>4层吞吐量最大性能：≥60Gbps；</w:t>
            </w:r>
          </w:p>
          <w:p>
            <w:pPr>
              <w:rPr>
                <w:rFonts w:hint="eastAsia"/>
              </w:rPr>
            </w:pPr>
            <w:r>
              <w:rPr>
                <w:rFonts w:hint="eastAsia"/>
              </w:rPr>
              <w:t>4层并发连接数：≥80000000；</w:t>
            </w:r>
          </w:p>
          <w:p>
            <w:pPr>
              <w:rPr>
                <w:rFonts w:hint="eastAsia"/>
              </w:rPr>
            </w:pPr>
            <w:r>
              <w:rPr>
                <w:rFonts w:hint="eastAsia"/>
              </w:rPr>
              <w:t>4层新建连接数 CPS：≥1750000；</w:t>
            </w:r>
          </w:p>
          <w:p>
            <w:pPr>
              <w:rPr>
                <w:rFonts w:hint="eastAsia"/>
              </w:rPr>
            </w:pPr>
            <w:r>
              <w:rPr>
                <w:rFonts w:hint="eastAsia"/>
              </w:rPr>
              <w:t>7层新建请求数 RPS：≥2300000；</w:t>
            </w:r>
          </w:p>
          <w:p>
            <w:pPr>
              <w:rPr>
                <w:rFonts w:hint="eastAsia"/>
              </w:rPr>
            </w:pPr>
            <w:r>
              <w:rPr>
                <w:rFonts w:hint="eastAsia"/>
              </w:rPr>
              <w:t>7层并发连接数：≥16000000；</w:t>
            </w:r>
          </w:p>
          <w:p>
            <w:pPr>
              <w:rPr>
                <w:rFonts w:hint="eastAsia"/>
              </w:rPr>
            </w:pPr>
            <w:r>
              <w:rPr>
                <w:rFonts w:hint="eastAsia"/>
              </w:rPr>
              <w:t>7层吞吐量最大性能：≥50Gbps；</w:t>
            </w:r>
          </w:p>
          <w:p>
            <w:pPr>
              <w:rPr>
                <w:rFonts w:hint="eastAsia"/>
              </w:rPr>
            </w:pPr>
            <w:r>
              <w:rPr>
                <w:rFonts w:hint="eastAsia"/>
              </w:rPr>
              <w:t>国密性能参数：</w:t>
            </w:r>
          </w:p>
          <w:p>
            <w:pPr>
              <w:rPr>
                <w:rFonts w:hint="eastAsia"/>
              </w:rPr>
            </w:pPr>
            <w:r>
              <w:rPr>
                <w:rFonts w:hint="eastAsia"/>
              </w:rPr>
              <w:t>单向新建连接数：≥30000；</w:t>
            </w:r>
          </w:p>
          <w:p>
            <w:pPr>
              <w:rPr>
                <w:rFonts w:hint="eastAsia"/>
              </w:rPr>
            </w:pPr>
            <w:r>
              <w:rPr>
                <w:rFonts w:hint="eastAsia"/>
              </w:rPr>
              <w:t>单向吞吐量最大性能：≥5.5Gbps；</w:t>
            </w:r>
          </w:p>
          <w:p>
            <w:pPr>
              <w:rPr>
                <w:rFonts w:hint="eastAsia"/>
              </w:rPr>
            </w:pPr>
            <w:r>
              <w:rPr>
                <w:rFonts w:hint="eastAsia"/>
              </w:rPr>
              <w:t>双向新建连接数：≥16000；</w:t>
            </w:r>
          </w:p>
          <w:p>
            <w:pPr>
              <w:rPr>
                <w:rFonts w:hint="eastAsia"/>
              </w:rPr>
            </w:pPr>
            <w:r>
              <w:rPr>
                <w:rFonts w:hint="eastAsia"/>
              </w:rPr>
              <w:t>双向吞吐量最大性能：≥5Gbps；</w:t>
            </w:r>
          </w:p>
          <w:p>
            <w:pPr>
              <w:rPr>
                <w:rFonts w:hint="eastAsia"/>
              </w:rPr>
            </w:pPr>
            <w:r>
              <w:rPr>
                <w:rFonts w:hint="eastAsia"/>
              </w:rPr>
              <w:t>并发连接数：≥3000000。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59" w:type="dxa"/>
            <w:vMerge w:val="restart"/>
            <w:noWrap w:val="0"/>
            <w:vAlign w:val="center"/>
          </w:tcPr>
          <w:p>
            <w:pPr>
              <w:jc w:val="center"/>
              <w:rPr>
                <w:rFonts w:hint="eastAsia"/>
              </w:rPr>
            </w:pPr>
            <w:r>
              <w:rPr>
                <w:rFonts w:hint="eastAsia"/>
              </w:rPr>
              <w:t>2</w:t>
            </w:r>
          </w:p>
        </w:tc>
        <w:tc>
          <w:tcPr>
            <w:tcW w:w="1215" w:type="dxa"/>
            <w:vMerge w:val="restart"/>
            <w:noWrap w:val="0"/>
            <w:vAlign w:val="center"/>
          </w:tcPr>
          <w:p>
            <w:pPr>
              <w:jc w:val="center"/>
              <w:rPr>
                <w:rFonts w:hint="eastAsia"/>
              </w:rPr>
            </w:pPr>
            <w:r>
              <w:rPr>
                <w:rFonts w:hint="eastAsia"/>
              </w:rPr>
              <w:t>多合一功能集成</w:t>
            </w:r>
          </w:p>
        </w:tc>
        <w:tc>
          <w:tcPr>
            <w:tcW w:w="7232" w:type="dxa"/>
            <w:noWrap w:val="0"/>
            <w:vAlign w:val="top"/>
          </w:tcPr>
          <w:p>
            <w:pPr>
              <w:rPr>
                <w:rFonts w:hint="eastAsia"/>
              </w:rPr>
            </w:pPr>
            <w:r>
              <w:rPr>
                <w:rFonts w:hint="eastAsia"/>
                <w:color w:val="000000"/>
              </w:rPr>
              <w:t>要求</w:t>
            </w:r>
            <w:r>
              <w:rPr>
                <w:rFonts w:hint="eastAsia"/>
              </w:rPr>
              <w:t>单一设备可同时支持包括服务器负载均衡、链路负载均衡和全局负载均衡的功能。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top"/>
          </w:tcPr>
          <w:p>
            <w:pPr>
              <w:rPr>
                <w:rFonts w:hint="eastAsia"/>
              </w:rPr>
            </w:pPr>
            <w:r>
              <w:rPr>
                <w:rFonts w:hint="eastAsia"/>
              </w:rPr>
              <w:t>要求提供针对L4/L7内容交换的服务器负载均衡功能，可在单一设备上支持多个应用和服务器集群，可以根据多种算法和要求分配用户的请求。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top"/>
          </w:tcPr>
          <w:p>
            <w:pPr>
              <w:rPr>
                <w:rFonts w:hint="eastAsia"/>
              </w:rPr>
            </w:pPr>
            <w:r>
              <w:rPr>
                <w:rFonts w:hint="eastAsia"/>
              </w:rPr>
              <w:t>要求提供针对多站点业务发布的全局负载均衡功能，通过智能DNS等机制实现内外网用户对多个数据中心的最优接入路径选择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top"/>
          </w:tcPr>
          <w:p>
            <w:pPr>
              <w:rPr>
                <w:rFonts w:hint="eastAsia"/>
              </w:rPr>
            </w:pPr>
            <w:r>
              <w:rPr>
                <w:rFonts w:hint="eastAsia"/>
              </w:rPr>
              <w:t>要求提供针对多条出口线路的链路负载均衡功能，实现inbound和outbound流量的均衡调度，以及链路之间的冗余互备。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noWrap w:val="0"/>
            <w:vAlign w:val="center"/>
          </w:tcPr>
          <w:p>
            <w:pPr>
              <w:jc w:val="center"/>
              <w:rPr>
                <w:rFonts w:hint="eastAsia"/>
              </w:rPr>
            </w:pPr>
            <w:r>
              <w:rPr>
                <w:rFonts w:hint="eastAsia"/>
              </w:rPr>
              <w:t>3</w:t>
            </w:r>
          </w:p>
        </w:tc>
        <w:tc>
          <w:tcPr>
            <w:tcW w:w="1215" w:type="dxa"/>
            <w:noWrap w:val="0"/>
            <w:vAlign w:val="center"/>
          </w:tcPr>
          <w:p>
            <w:pPr>
              <w:jc w:val="center"/>
              <w:rPr>
                <w:rFonts w:hint="eastAsia"/>
              </w:rPr>
            </w:pPr>
            <w:r>
              <w:rPr>
                <w:rFonts w:hint="eastAsia"/>
              </w:rPr>
              <w:t>可编程流量控制</w:t>
            </w:r>
          </w:p>
        </w:tc>
        <w:tc>
          <w:tcPr>
            <w:tcW w:w="7232" w:type="dxa"/>
            <w:noWrap w:val="0"/>
            <w:vAlign w:val="top"/>
          </w:tcPr>
          <w:p>
            <w:pPr>
              <w:rPr>
                <w:rFonts w:hint="eastAsia"/>
              </w:rPr>
            </w:pPr>
            <w:r>
              <w:rPr>
                <w:rFonts w:hint="eastAsia"/>
              </w:rPr>
              <w:t>要求支持通过编程语言（如lua）实现自定义的流量编排，对IP、TCP、UDP、SSL、HTTP和HTTPS等类型的流量进行分发、修改和统计等操作。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restart"/>
            <w:noWrap w:val="0"/>
            <w:vAlign w:val="center"/>
          </w:tcPr>
          <w:p>
            <w:pPr>
              <w:jc w:val="center"/>
            </w:pPr>
            <w:r>
              <w:rPr>
                <w:rFonts w:hint="eastAsia"/>
              </w:rPr>
              <w:t>4</w:t>
            </w:r>
          </w:p>
        </w:tc>
        <w:tc>
          <w:tcPr>
            <w:tcW w:w="1215" w:type="dxa"/>
            <w:vMerge w:val="restart"/>
            <w:noWrap w:val="0"/>
            <w:vAlign w:val="center"/>
          </w:tcPr>
          <w:p>
            <w:pPr>
              <w:jc w:val="center"/>
            </w:pPr>
            <w:r>
              <w:rPr>
                <w:rFonts w:hint="eastAsia"/>
              </w:rPr>
              <w:t>国密SSL卸载能力</w:t>
            </w:r>
          </w:p>
        </w:tc>
        <w:tc>
          <w:tcPr>
            <w:tcW w:w="7232" w:type="dxa"/>
            <w:noWrap w:val="0"/>
            <w:vAlign w:val="center"/>
          </w:tcPr>
          <w:p>
            <w:pPr>
              <w:rPr>
                <w:rFonts w:hint="eastAsia"/>
              </w:rPr>
            </w:pPr>
            <w:r>
              <w:rPr>
                <w:rFonts w:hint="eastAsia"/>
              </w:rPr>
              <w:t>支持国密SSL算法的单向和双向认证，至少包含以下算法：国密：SM2、SM3、SM4算法。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rPr>
                <w:rFonts w:hint="eastAsia" w:eastAsia="宋体"/>
                <w:lang w:eastAsia="zh-CN"/>
              </w:rPr>
            </w:pPr>
            <w:r>
              <w:rPr>
                <w:rFonts w:hint="eastAsia"/>
              </w:rPr>
              <w:t>支持TLS1.3算法，并完整支持对应的TLS1.3_AES_128_GCM_SHA256、TLS1.3_AES_256_GCM_SHA384、TLS1.3_CHACHA20_POLY1305_SHA256、TLS1.3_AES_128_CCM_SHA256、TLS1.3_AES_128_CCM_8_SHA256加密套件</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rPr>
                <w:rFonts w:hint="eastAsia"/>
              </w:rPr>
            </w:pPr>
            <w:r>
              <w:rPr>
                <w:rFonts w:hint="eastAsia"/>
              </w:rPr>
              <w:t>支持同一站点（virtual service）同时配置ECDSA、RSA、SM2三个证书功能。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rPr>
                <w:rFonts w:hint="eastAsia"/>
              </w:rPr>
            </w:pPr>
            <w:r>
              <w:rPr>
                <w:rFonts w:hint="eastAsia"/>
              </w:rPr>
              <w:t>支持同一服务下的多套证书可以分别设置SSL协议、加密套件以及客户端认证策略。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rPr>
                <w:rFonts w:hint="eastAsia"/>
              </w:rPr>
            </w:pPr>
            <w:r>
              <w:rPr>
                <w:rFonts w:hint="eastAsia"/>
              </w:rPr>
              <w:t>支持指定ssl加密套件和客户端认证证书的https/ssl健康检查。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rPr>
                <w:rFonts w:hint="eastAsia"/>
              </w:rPr>
            </w:pPr>
            <w:r>
              <w:rPr>
                <w:rFonts w:hint="eastAsia"/>
              </w:rPr>
              <w:t>支持同一服务下的多套证书可以分别设置SSL协议、加密套件以及客户端认证策略。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rPr>
                <w:rFonts w:hint="eastAsia" w:eastAsia="宋体"/>
                <w:lang w:eastAsia="zh-CN"/>
              </w:rPr>
            </w:pPr>
            <w:r>
              <w:rPr>
                <w:rFonts w:hint="eastAsia"/>
              </w:rPr>
              <w:t>要求投标产品型号提供国家密码局颁发的国密证书</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restart"/>
            <w:noWrap w:val="0"/>
            <w:vAlign w:val="center"/>
          </w:tcPr>
          <w:p>
            <w:pPr>
              <w:jc w:val="center"/>
            </w:pPr>
            <w:r>
              <w:rPr>
                <w:rFonts w:hint="eastAsia"/>
              </w:rPr>
              <w:t>5</w:t>
            </w:r>
          </w:p>
        </w:tc>
        <w:tc>
          <w:tcPr>
            <w:tcW w:w="1215" w:type="dxa"/>
            <w:vMerge w:val="restart"/>
            <w:noWrap w:val="0"/>
            <w:vAlign w:val="center"/>
          </w:tcPr>
          <w:p>
            <w:pPr>
              <w:jc w:val="center"/>
              <w:rPr>
                <w:rFonts w:hint="eastAsia"/>
              </w:rPr>
            </w:pPr>
            <w:r>
              <w:rPr>
                <w:rFonts w:hint="eastAsia"/>
              </w:rPr>
              <w:t>服务器负载均衡</w:t>
            </w:r>
          </w:p>
        </w:tc>
        <w:tc>
          <w:tcPr>
            <w:tcW w:w="7232" w:type="dxa"/>
            <w:noWrap w:val="0"/>
            <w:vAlign w:val="center"/>
          </w:tcPr>
          <w:p>
            <w:pPr>
              <w:widowControl/>
              <w:jc w:val="left"/>
              <w:textAlignment w:val="center"/>
              <w:rPr>
                <w:rFonts w:hint="eastAsia"/>
              </w:rPr>
            </w:pPr>
            <w:r>
              <w:rPr>
                <w:rFonts w:hint="eastAsia"/>
              </w:rPr>
              <w:t>要求支持轮询、加权轮询、按主机加权轮询、加权最小连接、按主机加权最小连接、动态反馈、最快响应、加权源IP哈希、带宽比例、哈希、首个可用、优先级等算法；（提供设备操作界面截图证明材料）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要求具备对可编程脚本语法的校验功能，能够识别出脚本语言是否正确，定位到具体的错误语句，并显示错误原因；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要求支持基于ORACLE/MSSQL/MYSQL等数据库的探测判断机制；（提供设备操作界面截图证明材料）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为满足后续国产化建设需求，要求支持OceanBase、达梦、人大金仓和TDSQL数据库的负载均衡；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要求支持基于主机的健康检查功能，实现当主机健康状态异常时，会影响到其关联的每一个节点；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要求支持模拟健康监测功能，无需完成真实的业务配置即可提前采用icmp、http、https、tcp、ftp、MYSQL、LDAP以及dns等的健康检查方式模拟检查业务的健康状态；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要求支持cookie作用域和作用路径的自定义；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要求支持业务主机设置并发连接限制、新建连接限制和每秒请求限制；（提供设备操作界面截图证明材料）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要求支持节点设置并发连接限制、新建连接限制、每秒请求限制和上下行流量限制</w:t>
            </w:r>
            <w:r>
              <w:rPr>
                <w:rFonts w:hint="eastAsia"/>
                <w:lang w:eastAsia="zh-CN"/>
              </w:rPr>
              <w:t>；</w:t>
            </w:r>
            <w:r>
              <w:rPr>
                <w:rFonts w:hint="eastAsia"/>
              </w:rPr>
              <w:t>（提供设备操作界面截图证明材料）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rPr>
              <w:t>要求支持虚拟服务可针对单个IP/IP集设置最大并发和最大新建限制，以及上下行流量限制；（提供设备操作界面截图证明材料）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color w:val="000000"/>
              </w:rPr>
              <w:t>要求</w:t>
            </w:r>
            <w:r>
              <w:rPr>
                <w:rFonts w:hint="eastAsia"/>
              </w:rPr>
              <w:t>支持设置HTTP2的每连接最大流数量；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eastAsia="宋体"/>
                <w:lang w:eastAsia="zh-CN"/>
              </w:rPr>
            </w:pPr>
            <w:r>
              <w:rPr>
                <w:rFonts w:hint="eastAsia"/>
                <w:color w:val="000000"/>
              </w:rPr>
              <w:t>要求</w:t>
            </w:r>
            <w:r>
              <w:rPr>
                <w:rFonts w:hint="eastAsia"/>
              </w:rPr>
              <w:t>HTTPS服务及HTTPS健康检查均支持TLS1.3及国密协议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color w:val="000000"/>
              </w:rPr>
              <w:t>要求</w:t>
            </w:r>
            <w:r>
              <w:rPr>
                <w:rFonts w:hint="eastAsia"/>
              </w:rPr>
              <w:t>支持节点池配置域名，并可设置指定域名解析间隔时间；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color w:val="000000"/>
              </w:rPr>
              <w:t>要求</w:t>
            </w:r>
            <w:r>
              <w:rPr>
                <w:rFonts w:hint="eastAsia"/>
              </w:rPr>
              <w:t>支持TCP的被动健康检查；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859" w:type="dxa"/>
            <w:vMerge w:val="continue"/>
            <w:noWrap w:val="0"/>
            <w:vAlign w:val="center"/>
          </w:tcPr>
          <w:p>
            <w:pPr>
              <w:jc w:val="center"/>
              <w:rPr>
                <w:rFonts w:hint="eastAsia"/>
              </w:rPr>
            </w:pPr>
          </w:p>
        </w:tc>
        <w:tc>
          <w:tcPr>
            <w:tcW w:w="1215" w:type="dxa"/>
            <w:vMerge w:val="continue"/>
            <w:noWrap w:val="0"/>
            <w:vAlign w:val="center"/>
          </w:tcPr>
          <w:p>
            <w:pPr>
              <w:jc w:val="center"/>
              <w:rPr>
                <w:rFonts w:hint="eastAsia"/>
              </w:rPr>
            </w:pPr>
          </w:p>
        </w:tc>
        <w:tc>
          <w:tcPr>
            <w:tcW w:w="7232" w:type="dxa"/>
            <w:noWrap w:val="0"/>
            <w:vAlign w:val="center"/>
          </w:tcPr>
          <w:p>
            <w:pPr>
              <w:widowControl/>
              <w:jc w:val="left"/>
              <w:textAlignment w:val="center"/>
              <w:rPr>
                <w:rFonts w:hint="eastAsia"/>
              </w:rPr>
            </w:pPr>
            <w:r>
              <w:rPr>
                <w:rFonts w:hint="eastAsia"/>
                <w:color w:val="000000"/>
              </w:rPr>
              <w:t>要求</w:t>
            </w:r>
            <w:r>
              <w:rPr>
                <w:rFonts w:hint="eastAsia"/>
              </w:rPr>
              <w:t>支持HTTP的被动健康检查；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noWrap w:val="0"/>
            <w:vAlign w:val="center"/>
          </w:tcPr>
          <w:p>
            <w:pPr>
              <w:jc w:val="center"/>
              <w:rPr>
                <w:rFonts w:hint="eastAsia"/>
              </w:rPr>
            </w:pPr>
            <w:r>
              <w:rPr>
                <w:rFonts w:hint="eastAsia"/>
              </w:rPr>
              <w:t>6</w:t>
            </w:r>
          </w:p>
        </w:tc>
        <w:tc>
          <w:tcPr>
            <w:tcW w:w="1215" w:type="dxa"/>
            <w:noWrap w:val="0"/>
            <w:vAlign w:val="center"/>
          </w:tcPr>
          <w:p>
            <w:pPr>
              <w:jc w:val="center"/>
            </w:pPr>
            <w:r>
              <w:rPr>
                <w:rFonts w:hint="eastAsia"/>
                <w:lang w:val="en-US" w:eastAsia="zh-CN"/>
              </w:rPr>
              <w:t>业务</w:t>
            </w:r>
            <w:r>
              <w:rPr>
                <w:rFonts w:hint="eastAsia"/>
              </w:rPr>
              <w:t>可视化</w:t>
            </w:r>
          </w:p>
        </w:tc>
        <w:tc>
          <w:tcPr>
            <w:tcW w:w="7232" w:type="dxa"/>
            <w:noWrap w:val="0"/>
            <w:vAlign w:val="center"/>
          </w:tcPr>
          <w:p>
            <w:pPr>
              <w:bidi w:val="0"/>
            </w:pPr>
            <w:r>
              <w:rPr>
                <w:rFonts w:hint="eastAsia"/>
                <w:lang w:val="en-US" w:eastAsia="zh-CN"/>
              </w:rPr>
              <w:t>要求提供可视化运维管理界面，可通过web方式进行访问，支持开启投屏功能。要求可视化运维管理界面支持查看应用负载情况，包括：查看业务总数、查看节点池数、查看系统吞吐量曲线、系统新建连接曲线、系统并发连接曲线等；支持查看负载均衡设备整体运行状况，包括连续运行天数/CPU使用率和温度/内存使用率/磁盘温度/电源/风扇转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noWrap w:val="0"/>
            <w:vAlign w:val="center"/>
          </w:tcPr>
          <w:p>
            <w:pPr>
              <w:jc w:val="center"/>
              <w:rPr>
                <w:rFonts w:hint="eastAsia" w:eastAsia="宋体"/>
                <w:lang w:val="en-US" w:eastAsia="zh-CN"/>
              </w:rPr>
            </w:pPr>
            <w:r>
              <w:rPr>
                <w:rFonts w:hint="eastAsia"/>
                <w:lang w:val="en-US" w:eastAsia="zh-CN"/>
              </w:rPr>
              <w:t>7</w:t>
            </w:r>
          </w:p>
        </w:tc>
        <w:tc>
          <w:tcPr>
            <w:tcW w:w="1215" w:type="dxa"/>
            <w:noWrap w:val="0"/>
            <w:vAlign w:val="center"/>
          </w:tcPr>
          <w:p>
            <w:pPr>
              <w:jc w:val="center"/>
              <w:rPr>
                <w:rFonts w:hint="eastAsia"/>
                <w:lang w:val="en-US" w:eastAsia="zh-CN"/>
              </w:rPr>
            </w:pPr>
            <w:r>
              <w:rPr>
                <w:rFonts w:hint="eastAsia"/>
              </w:rPr>
              <w:t>应用配置和管理模板</w:t>
            </w:r>
          </w:p>
        </w:tc>
        <w:tc>
          <w:tcPr>
            <w:tcW w:w="7232" w:type="dxa"/>
            <w:noWrap w:val="0"/>
            <w:vAlign w:val="center"/>
          </w:tcPr>
          <w:p>
            <w:pPr>
              <w:widowControl/>
              <w:jc w:val="left"/>
              <w:textAlignment w:val="center"/>
            </w:pPr>
            <w:r>
              <w:rPr>
                <w:rFonts w:hint="eastAsia"/>
                <w:lang w:val="en-US" w:eastAsia="zh-CN"/>
              </w:rPr>
              <w:t>要求</w:t>
            </w:r>
            <w:r>
              <w:rPr>
                <w:rFonts w:hint="eastAsia"/>
              </w:rPr>
              <w:t>内置了对主流应用的配置模板，并可导入定制的应用模板。主流应用应至少包括: Weblogic，IIS，SAP、Oracle Application Server、SharePoint、VMware View等。（提供功能截图证明）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noWrap w:val="0"/>
            <w:vAlign w:val="center"/>
          </w:tcPr>
          <w:p>
            <w:pPr>
              <w:jc w:val="center"/>
              <w:rPr>
                <w:rFonts w:hint="eastAsia" w:eastAsia="宋体"/>
                <w:lang w:val="en-US" w:eastAsia="zh-CN"/>
              </w:rPr>
            </w:pPr>
            <w:r>
              <w:rPr>
                <w:rFonts w:hint="eastAsia"/>
                <w:lang w:val="en-US" w:eastAsia="zh-CN"/>
              </w:rPr>
              <w:t>8</w:t>
            </w:r>
          </w:p>
        </w:tc>
        <w:tc>
          <w:tcPr>
            <w:tcW w:w="1215" w:type="dxa"/>
            <w:noWrap w:val="0"/>
            <w:vAlign w:val="center"/>
          </w:tcPr>
          <w:p>
            <w:pPr>
              <w:jc w:val="center"/>
              <w:rPr>
                <w:rFonts w:hint="eastAsia"/>
                <w:lang w:val="en-US" w:eastAsia="zh-CN"/>
              </w:rPr>
            </w:pPr>
            <w:r>
              <w:rPr>
                <w:rFonts w:hint="eastAsia"/>
                <w:lang w:val="en-US" w:eastAsia="zh-CN"/>
              </w:rPr>
              <w:t>可编程流量管理</w:t>
            </w:r>
          </w:p>
        </w:tc>
        <w:tc>
          <w:tcPr>
            <w:tcW w:w="7232" w:type="dxa"/>
            <w:noWrap w:val="0"/>
            <w:vAlign w:val="center"/>
          </w:tcPr>
          <w:p>
            <w:pPr>
              <w:widowControl/>
              <w:jc w:val="left"/>
              <w:textAlignment w:val="center"/>
            </w:pPr>
            <w:r>
              <w:rPr>
                <w:rFonts w:hint="eastAsia"/>
                <w:lang w:val="en-US" w:eastAsia="zh-CN"/>
              </w:rPr>
              <w:t>要求</w:t>
            </w:r>
            <w:r>
              <w:rPr>
                <w:rFonts w:hint="eastAsia"/>
              </w:rPr>
              <w:t>管理界面提供基于某种编程语言（如TCL语言）自定义的流量控制方法，支持负载均衡、DNS处理、用户认证、NAT、路由转发、会话保持等功能的可编程控制。 支持独立发起旁路（sideband）请求为应用提供应用层流量复制、查询和认证等服务。 （提供可编程语言、操作界面截图等证明材料。）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9" w:type="dxa"/>
            <w:noWrap w:val="0"/>
            <w:vAlign w:val="center"/>
          </w:tcPr>
          <w:p>
            <w:pPr>
              <w:jc w:val="center"/>
              <w:rPr>
                <w:rFonts w:hint="eastAsia" w:eastAsia="宋体"/>
                <w:lang w:eastAsia="zh-CN"/>
              </w:rPr>
            </w:pPr>
            <w:r>
              <w:rPr>
                <w:rFonts w:hint="eastAsia"/>
                <w:lang w:val="en-US" w:eastAsia="zh-CN"/>
              </w:rPr>
              <w:t>9</w:t>
            </w:r>
          </w:p>
        </w:tc>
        <w:tc>
          <w:tcPr>
            <w:tcW w:w="1215" w:type="dxa"/>
            <w:noWrap w:val="0"/>
            <w:vAlign w:val="center"/>
          </w:tcPr>
          <w:p>
            <w:pPr>
              <w:jc w:val="center"/>
              <w:rPr>
                <w:rFonts w:hint="eastAsia"/>
              </w:rPr>
            </w:pPr>
            <w:r>
              <w:rPr>
                <w:rFonts w:hint="eastAsia"/>
              </w:rPr>
              <w:t>售后服务</w:t>
            </w:r>
          </w:p>
        </w:tc>
        <w:tc>
          <w:tcPr>
            <w:tcW w:w="7232" w:type="dxa"/>
            <w:noWrap w:val="0"/>
            <w:vAlign w:val="center"/>
          </w:tcPr>
          <w:p>
            <w:pPr>
              <w:widowControl/>
              <w:jc w:val="left"/>
              <w:textAlignment w:val="center"/>
              <w:rPr>
                <w:rFonts w:hint="eastAsia"/>
              </w:rPr>
            </w:pPr>
            <w:r>
              <w:rPr>
                <w:rFonts w:hint="eastAsia"/>
              </w:rPr>
              <w:t>要求包含五年产品质保、五年软件升级，要求供应商提供售后服务承诺函</w:t>
            </w:r>
          </w:p>
        </w:tc>
      </w:tr>
    </w:tbl>
    <w:p/>
    <w:p>
      <w:pPr>
        <w:pStyle w:val="2"/>
        <w:rPr>
          <w:rFonts w:hint="eastAsia"/>
        </w:rPr>
      </w:pPr>
    </w:p>
    <w:p>
      <w:bookmarkStart w:id="0" w:name="_6.1.1、大数据服务器"/>
      <w:bookmarkEnd w:id="0"/>
    </w:p>
    <w:p>
      <w:pPr>
        <w:pStyle w:val="5"/>
        <w:rPr>
          <w:rFonts w:hint="eastAsia"/>
        </w:rPr>
      </w:pPr>
      <w:r>
        <w:rPr>
          <w:rFonts w:hint="eastAsia"/>
        </w:rPr>
        <w:t>3.2链路负载升级</w:t>
      </w:r>
      <w:r>
        <w:rPr>
          <w:rFonts w:hint="eastAsia"/>
          <w:lang w:val="en-US" w:eastAsia="zh-CN"/>
        </w:rPr>
        <w:t>许可</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7"/>
        <w:gridCol w:w="2464"/>
        <w:gridCol w:w="5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top"/>
          </w:tcPr>
          <w:p>
            <w:pPr>
              <w:jc w:val="center"/>
            </w:pPr>
            <w:r>
              <w:rPr>
                <w:rFonts w:hint="eastAsia"/>
              </w:rPr>
              <w:t>序号</w:t>
            </w:r>
          </w:p>
        </w:tc>
        <w:tc>
          <w:tcPr>
            <w:tcW w:w="2464" w:type="dxa"/>
            <w:noWrap w:val="0"/>
            <w:vAlign w:val="top"/>
          </w:tcPr>
          <w:p>
            <w:pPr>
              <w:jc w:val="center"/>
              <w:rPr>
                <w:rFonts w:hint="eastAsia" w:eastAsia="宋体"/>
                <w:lang w:eastAsia="zh-CN"/>
              </w:rPr>
            </w:pPr>
            <w:r>
              <w:rPr>
                <w:rFonts w:hint="eastAsia"/>
                <w:lang w:val="en-US" w:eastAsia="zh-CN"/>
              </w:rPr>
              <w:t>名称</w:t>
            </w:r>
          </w:p>
        </w:tc>
        <w:tc>
          <w:tcPr>
            <w:tcW w:w="5415" w:type="dxa"/>
            <w:noWrap w:val="0"/>
            <w:vAlign w:val="top"/>
          </w:tcPr>
          <w:p>
            <w:pPr>
              <w:jc w:val="center"/>
            </w:pPr>
            <w:r>
              <w:rPr>
                <w:rFonts w:hint="eastAsia"/>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7" w:type="dxa"/>
            <w:noWrap w:val="0"/>
            <w:vAlign w:val="center"/>
          </w:tcPr>
          <w:p>
            <w:pPr>
              <w:widowControl/>
              <w:jc w:val="center"/>
              <w:textAlignment w:val="center"/>
              <w:rPr>
                <w:color w:val="000000"/>
              </w:rPr>
            </w:pPr>
            <w:r>
              <w:rPr>
                <w:rFonts w:hint="eastAsia"/>
                <w:color w:val="000000"/>
              </w:rPr>
              <w:t>1</w:t>
            </w:r>
          </w:p>
        </w:tc>
        <w:tc>
          <w:tcPr>
            <w:tcW w:w="2464" w:type="dxa"/>
            <w:noWrap w:val="0"/>
            <w:vAlign w:val="center"/>
          </w:tcPr>
          <w:p>
            <w:pPr>
              <w:widowControl/>
              <w:jc w:val="center"/>
              <w:textAlignment w:val="center"/>
              <w:rPr>
                <w:rFonts w:hint="default" w:eastAsia="宋体"/>
                <w:color w:val="000000"/>
                <w:lang w:val="en-US" w:eastAsia="zh-CN"/>
              </w:rPr>
            </w:pPr>
            <w:r>
              <w:rPr>
                <w:rFonts w:hint="eastAsia"/>
                <w:color w:val="000000"/>
                <w:lang w:val="en-US" w:eastAsia="zh-CN"/>
              </w:rPr>
              <w:t>升级许可</w:t>
            </w:r>
          </w:p>
        </w:tc>
        <w:tc>
          <w:tcPr>
            <w:tcW w:w="5415" w:type="dxa"/>
            <w:noWrap w:val="0"/>
            <w:vAlign w:val="center"/>
          </w:tcPr>
          <w:p>
            <w:pPr>
              <w:bidi w:val="0"/>
              <w:rPr>
                <w:rFonts w:hint="eastAsia"/>
                <w:color w:val="000000"/>
              </w:rPr>
            </w:pPr>
            <w:r>
              <w:rPr>
                <w:rFonts w:hint="eastAsia"/>
              </w:rPr>
              <w:t>提供院方</w:t>
            </w:r>
            <w:r>
              <w:rPr>
                <w:rFonts w:hint="eastAsia"/>
                <w:lang w:val="en-US" w:eastAsia="zh-CN"/>
              </w:rPr>
              <w:t>原有链路负载均衡设备的</w:t>
            </w:r>
            <w:r>
              <w:rPr>
                <w:rFonts w:hint="eastAsia"/>
              </w:rPr>
              <w:t>应用负载</w:t>
            </w:r>
            <w:r>
              <w:rPr>
                <w:rFonts w:hint="eastAsia"/>
                <w:lang w:val="en-US" w:eastAsia="zh-CN"/>
              </w:rPr>
              <w:t>授权许可</w:t>
            </w:r>
            <w:r>
              <w:rPr>
                <w:rFonts w:hint="eastAsia"/>
              </w:rPr>
              <w:t>，</w:t>
            </w:r>
            <w:r>
              <w:rPr>
                <w:rFonts w:hint="eastAsia"/>
                <w:lang w:val="en-US" w:eastAsia="zh-CN"/>
              </w:rPr>
              <w:t>实现</w:t>
            </w:r>
            <w:r>
              <w:rPr>
                <w:rFonts w:hint="eastAsia"/>
              </w:rPr>
              <w:t>应用交付流量智能管理功能</w:t>
            </w:r>
            <w:r>
              <w:rPr>
                <w:rFonts w:hint="eastAsia"/>
                <w:lang w:eastAsia="zh-CN"/>
              </w:rPr>
              <w:t>（</w:t>
            </w:r>
            <w:r>
              <w:rPr>
                <w:rFonts w:hint="eastAsia"/>
              </w:rPr>
              <w:t>包括安全SSL流量可视、流量智能编排可控、整体网络延迟可降等功能</w:t>
            </w:r>
            <w:r>
              <w:rPr>
                <w:rFonts w:hint="eastAsia"/>
                <w:lang w:eastAsia="zh-CN"/>
              </w:rPr>
              <w:t>）</w:t>
            </w:r>
          </w:p>
        </w:tc>
      </w:tr>
    </w:tbl>
    <w:p>
      <w:pPr>
        <w:rPr>
          <w:rFonts w:hint="eastAsia"/>
        </w:rPr>
      </w:pPr>
    </w:p>
    <w:p>
      <w:pPr>
        <w:pStyle w:val="5"/>
        <w:rPr>
          <w:rFonts w:hint="eastAsia"/>
        </w:rPr>
      </w:pPr>
      <w:r>
        <w:rPr>
          <w:rFonts w:hint="eastAsia"/>
        </w:rPr>
        <w:t>3.3集成服务要求</w:t>
      </w:r>
    </w:p>
    <w:p>
      <w:pPr>
        <w:spacing w:line="360" w:lineRule="auto"/>
        <w:ind w:firstLine="420" w:firstLineChars="200"/>
        <w:rPr>
          <w:rFonts w:hint="eastAsia" w:ascii="宋体" w:hAnsi="宋体"/>
          <w:szCs w:val="21"/>
        </w:rPr>
      </w:pPr>
      <w:r>
        <w:rPr>
          <w:rFonts w:hint="eastAsia" w:ascii="宋体" w:hAnsi="宋体"/>
          <w:szCs w:val="21"/>
        </w:rPr>
        <w:t>1、提供负载均衡业务系统优化服务，供应商应对现有已接入负载均衡系统的业务系统进行策略优化，结合院方业务系统的的实际运行情况，不同业务系统特性，优化算法及策略，实现业务高可用性和资源利用率，输出《优化方案》。</w:t>
      </w:r>
    </w:p>
    <w:p>
      <w:pPr>
        <w:spacing w:line="360" w:lineRule="auto"/>
        <w:ind w:firstLine="420" w:firstLineChars="200"/>
        <w:rPr>
          <w:rFonts w:ascii="宋体" w:hAnsi="宋体"/>
          <w:szCs w:val="21"/>
        </w:rPr>
      </w:pPr>
      <w:r>
        <w:rPr>
          <w:rFonts w:hint="eastAsia" w:ascii="宋体" w:hAnsi="宋体"/>
          <w:szCs w:val="21"/>
        </w:rPr>
        <w:t>2、提供负载均衡迁移服务，供应商应对现有的负载均衡系统的业务及策略迁移至新购的负载均衡系统，对现有负载均衡系统设备信息、业务系统、策略、环境情况进行调研，结合调研分析结果与医院实际业务需求进行规划和修改，输出《调研报告》与《平滑迁移实施方案》。</w:t>
      </w:r>
    </w:p>
    <w:p>
      <w:pPr>
        <w:pStyle w:val="2"/>
        <w:spacing w:line="360" w:lineRule="auto"/>
        <w:ind w:firstLine="420" w:firstLineChars="200"/>
        <w:rPr>
          <w:rFonts w:hint="eastAsia" w:ascii="宋体" w:hAnsi="宋体"/>
          <w:szCs w:val="21"/>
        </w:rPr>
      </w:pPr>
      <w:r>
        <w:rPr>
          <w:rFonts w:hint="eastAsia" w:ascii="宋体" w:hAnsi="宋体"/>
          <w:szCs w:val="21"/>
        </w:rPr>
        <w:t>3、提供负载均衡设备上架安装工作，包括新购设备上架、加电、线路连接、理线、打标签等服务。</w:t>
      </w:r>
    </w:p>
    <w:p>
      <w:pPr>
        <w:pStyle w:val="2"/>
        <w:spacing w:line="360" w:lineRule="auto"/>
        <w:ind w:firstLine="420" w:firstLineChars="200"/>
        <w:rPr>
          <w:sz w:val="21"/>
          <w:szCs w:val="21"/>
        </w:rPr>
      </w:pPr>
      <w:r>
        <w:rPr>
          <w:rFonts w:hint="eastAsia" w:ascii="宋体" w:hAnsi="宋体" w:eastAsia="宋体" w:cs="Times New Roman"/>
          <w:szCs w:val="21"/>
        </w:rPr>
        <w:t>4、</w:t>
      </w:r>
      <w:r>
        <w:rPr>
          <w:rFonts w:hint="eastAsia"/>
          <w:sz w:val="21"/>
          <w:szCs w:val="21"/>
        </w:rPr>
        <w:t>提供负载均衡设备集群调试工作，包括网络调试、设备配置、集群调试，实现系统调试，资源优化和容错性，输出《实施报告》。</w:t>
      </w:r>
    </w:p>
    <w:p>
      <w:pPr>
        <w:pStyle w:val="2"/>
        <w:spacing w:line="360" w:lineRule="auto"/>
        <w:ind w:firstLine="420" w:firstLineChars="200"/>
        <w:rPr>
          <w:rFonts w:ascii="宋体" w:hAnsi="宋体"/>
          <w:szCs w:val="21"/>
        </w:rPr>
      </w:pPr>
      <w:r>
        <w:rPr>
          <w:rFonts w:hint="eastAsia" w:ascii="宋体" w:hAnsi="宋体"/>
          <w:szCs w:val="21"/>
        </w:rPr>
        <w:t>5、项目实施更换过程中不能影响机房内其它设备正常运行，以及医院其它科室的正常运转，项目实施前，供应商必须做好相应计划和回退方案，并与用户充分沟通，友好协商并达成一致意见，由于实施不当造成的损失由供应商负责并承担损失。</w:t>
      </w:r>
    </w:p>
    <w:p>
      <w:pPr>
        <w:pStyle w:val="2"/>
        <w:spacing w:line="360" w:lineRule="auto"/>
        <w:ind w:firstLine="420" w:firstLineChars="200"/>
        <w:rPr>
          <w:rFonts w:hint="eastAsia" w:ascii="宋体" w:hAnsi="宋体"/>
          <w:szCs w:val="21"/>
        </w:rPr>
      </w:pPr>
      <w:r>
        <w:rPr>
          <w:rFonts w:hint="eastAsia" w:ascii="宋体" w:hAnsi="宋体"/>
          <w:szCs w:val="21"/>
        </w:rPr>
        <w:t>6、提供至少2名原厂工程师现场实施工作，保障业务顺利迁移，提供原厂承诺函。</w:t>
      </w:r>
    </w:p>
    <w:p>
      <w:pPr>
        <w:pStyle w:val="2"/>
        <w:spacing w:line="360" w:lineRule="auto"/>
        <w:ind w:firstLine="420" w:firstLineChars="200"/>
        <w:rPr>
          <w:szCs w:val="21"/>
        </w:rPr>
      </w:pPr>
      <w:r>
        <w:rPr>
          <w:rFonts w:hint="eastAsia"/>
          <w:szCs w:val="21"/>
        </w:rPr>
        <w:t>7、提供至少2人天原厂培训，提高院方运维工程师人员技术水平，提供培训教材，包含中英文，提供原厂承诺函。</w:t>
      </w:r>
    </w:p>
    <w:p>
      <w:pPr>
        <w:pStyle w:val="3"/>
        <w:spacing w:line="360" w:lineRule="auto"/>
        <w:ind w:firstLine="420" w:firstLineChars="200"/>
        <w:rPr>
          <w:sz w:val="21"/>
          <w:szCs w:val="21"/>
        </w:rPr>
      </w:pPr>
      <w:r>
        <w:rPr>
          <w:rFonts w:hint="eastAsia"/>
          <w:sz w:val="21"/>
          <w:szCs w:val="21"/>
        </w:rPr>
        <w:t>8、提供巡检服务，根据院方需求，为院方制定巡检计划，每季度定期对系统进行检查、维护、诊断，及时发现问题隐患，并进行反馈，通过系统调整等手段，保持系统稳定、高效地运行，输出《巡检方案》和《巡检报告》。</w:t>
      </w:r>
    </w:p>
    <w:p>
      <w:pPr>
        <w:pStyle w:val="3"/>
        <w:spacing w:line="360" w:lineRule="auto"/>
        <w:ind w:firstLine="420" w:firstLineChars="200"/>
        <w:rPr>
          <w:sz w:val="21"/>
          <w:szCs w:val="21"/>
        </w:rPr>
      </w:pPr>
      <w:r>
        <w:rPr>
          <w:rFonts w:hint="eastAsia"/>
          <w:sz w:val="21"/>
          <w:szCs w:val="21"/>
        </w:rPr>
        <w:t>9、提供本期所有新购设备上架、上电、线路连接、理线、打标签等服务。</w:t>
      </w:r>
    </w:p>
    <w:p>
      <w:pPr>
        <w:pStyle w:val="3"/>
        <w:spacing w:line="360" w:lineRule="auto"/>
        <w:ind w:firstLine="420" w:firstLineChars="200"/>
        <w:rPr>
          <w:rFonts w:hint="eastAsia"/>
          <w:sz w:val="21"/>
          <w:szCs w:val="21"/>
        </w:rPr>
      </w:pPr>
      <w:r>
        <w:rPr>
          <w:rFonts w:hint="eastAsia"/>
          <w:sz w:val="21"/>
          <w:szCs w:val="21"/>
        </w:rPr>
        <w:t>10、提供5年整体项目服务，服务范围包括不限于：项目集成实施、原厂技术咨询及配置服务、软硬件安装调试、系统优化、故障处理、技术培训、配件更换、免费升级、400远程电话和邮件技术支持服务。</w:t>
      </w:r>
    </w:p>
    <w:p>
      <w:pPr>
        <w:pStyle w:val="3"/>
        <w:spacing w:line="360" w:lineRule="auto"/>
        <w:ind w:firstLine="420" w:firstLineChars="200"/>
        <w:rPr>
          <w:sz w:val="21"/>
          <w:szCs w:val="21"/>
        </w:rPr>
      </w:pPr>
      <w:r>
        <w:rPr>
          <w:rFonts w:hint="eastAsia"/>
          <w:sz w:val="21"/>
          <w:szCs w:val="21"/>
        </w:rPr>
        <w:t>11、为院方提供负载均衡设备的国密升级改造建议，协助核心业务系统符合国密升级改造工作。</w:t>
      </w:r>
    </w:p>
    <w:p>
      <w:pPr>
        <w:pStyle w:val="3"/>
        <w:spacing w:line="360" w:lineRule="auto"/>
        <w:ind w:firstLine="420" w:firstLineChars="200"/>
        <w:rPr>
          <w:rFonts w:hint="eastAsia"/>
          <w:sz w:val="21"/>
          <w:szCs w:val="21"/>
        </w:rPr>
      </w:pPr>
      <w:r>
        <w:rPr>
          <w:rFonts w:hint="eastAsia"/>
          <w:sz w:val="21"/>
          <w:szCs w:val="21"/>
        </w:rPr>
        <w:t>12、为简化运维管理，提高IT管理人员运维效率，负载均衡设备要求提供可视化运维管理界面，可通过web方式进行访问，支持开启投屏功能。要求可视化运维管理界面支持查看应用负载情况，包括：查看业务总数、查看节点池数、查看系统吞吐量曲线、系统新建连接曲线、系统并发连接曲线等；支持查看负载均衡设备整体运行状况，包括连续运行天数/CPU使用率和温度/内存使用率/磁盘温度/电源/风扇转速。</w:t>
      </w:r>
    </w:p>
    <w:p>
      <w:pPr>
        <w:pStyle w:val="3"/>
        <w:spacing w:line="360" w:lineRule="auto"/>
        <w:ind w:firstLine="420" w:firstLineChars="200"/>
        <w:rPr>
          <w:sz w:val="21"/>
          <w:szCs w:val="21"/>
        </w:rPr>
      </w:pPr>
      <w:r>
        <w:rPr>
          <w:rFonts w:hint="eastAsia"/>
          <w:sz w:val="21"/>
          <w:szCs w:val="21"/>
        </w:rPr>
        <w:t>13、签订合同前，院方有权按照响应参数及功能对所供应产品的技术参数做测试鉴定，如不能满足要求，视为虚假响应，院方将追究所有责任，供应商需承担一切后果。</w:t>
      </w:r>
    </w:p>
    <w:p>
      <w:pPr>
        <w:pStyle w:val="3"/>
        <w:spacing w:line="360" w:lineRule="auto"/>
        <w:ind w:firstLine="420" w:firstLineChars="200"/>
        <w:rPr>
          <w:rFonts w:hint="eastAsia"/>
          <w:sz w:val="21"/>
          <w:szCs w:val="21"/>
        </w:rPr>
      </w:pPr>
      <w:r>
        <w:rPr>
          <w:rFonts w:hint="eastAsia"/>
          <w:sz w:val="21"/>
          <w:szCs w:val="21"/>
        </w:rPr>
        <w:t>14、为保障本次项目按期顺利进项，本次项目需在签订合同后30天内到货，120天内完成所有软硬件产品的安装调试，确保系统正常运行，承诺因为供应商无法按期到货或无法按期完成安装调试，给院方造成的一切损失由供应商承担。供应商提供承诺函。</w:t>
      </w:r>
    </w:p>
    <w:p>
      <w:pPr>
        <w:pStyle w:val="4"/>
        <w:numPr>
          <w:ilvl w:val="0"/>
          <w:numId w:val="3"/>
        </w:numPr>
        <w:rPr>
          <w:rFonts w:ascii="宋体" w:hAnsi="宋体"/>
        </w:rPr>
      </w:pPr>
      <w:bookmarkStart w:id="1" w:name="_6.1.2、容器服务器"/>
      <w:bookmarkEnd w:id="1"/>
      <w:r>
        <w:rPr>
          <w:rFonts w:hint="eastAsia" w:ascii="宋体" w:hAnsi="宋体"/>
        </w:rPr>
        <w:t>项目工期及实施要求</w:t>
      </w:r>
    </w:p>
    <w:p>
      <w:pPr>
        <w:pStyle w:val="2"/>
        <w:spacing w:line="360" w:lineRule="auto"/>
        <w:ind w:firstLine="422" w:firstLineChars="200"/>
        <w:jc w:val="both"/>
        <w:rPr>
          <w:rFonts w:hint="eastAsia" w:ascii="宋体" w:cs="宋体"/>
          <w:szCs w:val="21"/>
        </w:rPr>
      </w:pPr>
      <w:r>
        <w:rPr>
          <w:rFonts w:hint="eastAsia" w:ascii="宋体" w:cs="宋体"/>
          <w:b/>
          <w:bCs/>
          <w:szCs w:val="21"/>
        </w:rPr>
        <w:t>设备交付验收及安装运行调试。</w:t>
      </w:r>
      <w:r>
        <w:rPr>
          <w:rFonts w:hint="eastAsia" w:ascii="宋体" w:cs="宋体"/>
          <w:szCs w:val="21"/>
        </w:rPr>
        <w:t xml:space="preserve">  </w:t>
      </w:r>
    </w:p>
    <w:p>
      <w:pPr>
        <w:spacing w:line="360" w:lineRule="auto"/>
        <w:ind w:firstLine="420"/>
        <w:rPr>
          <w:rFonts w:hint="eastAsia" w:ascii="宋体" w:hAnsi="宋体" w:cs="宋体"/>
          <w:szCs w:val="21"/>
        </w:rPr>
      </w:pPr>
      <w:r>
        <w:rPr>
          <w:rFonts w:hint="eastAsia" w:ascii="宋体" w:hAnsi="宋体" w:cs="宋体"/>
          <w:szCs w:val="21"/>
        </w:rPr>
        <w:t>1.交货地点：供应商应按时将货物送至院方指定货运详细地址。</w:t>
      </w:r>
    </w:p>
    <w:p>
      <w:pPr>
        <w:spacing w:line="360" w:lineRule="auto"/>
        <w:ind w:firstLine="420"/>
        <w:rPr>
          <w:rFonts w:hint="eastAsia" w:ascii="宋体" w:hAnsi="宋体" w:cs="宋体"/>
          <w:szCs w:val="21"/>
        </w:rPr>
      </w:pPr>
      <w:r>
        <w:rPr>
          <w:rFonts w:hint="eastAsia" w:ascii="宋体" w:hAnsi="宋体" w:cs="宋体"/>
          <w:szCs w:val="21"/>
        </w:rPr>
        <w:t>2.供应商负责合同项下设备的安装调试，并按院方要求，免费提供本项目下设备的搬迁工作。</w:t>
      </w:r>
    </w:p>
    <w:p>
      <w:pPr>
        <w:spacing w:line="360" w:lineRule="auto"/>
        <w:ind w:firstLine="420"/>
        <w:rPr>
          <w:rFonts w:hint="eastAsia" w:ascii="宋体" w:hAnsi="宋体" w:cs="宋体"/>
          <w:szCs w:val="21"/>
        </w:rPr>
      </w:pPr>
      <w:r>
        <w:rPr>
          <w:rFonts w:hint="eastAsia" w:ascii="宋体" w:hAnsi="宋体" w:cs="宋体"/>
          <w:szCs w:val="21"/>
        </w:rPr>
        <w:t>3.供应商应按院方指定的安装日期、安装要求进行安装工作。</w:t>
      </w:r>
    </w:p>
    <w:p>
      <w:pPr>
        <w:spacing w:line="360" w:lineRule="auto"/>
        <w:ind w:firstLine="420"/>
      </w:pPr>
      <w:r>
        <w:rPr>
          <w:rFonts w:hint="eastAsia" w:ascii="宋体" w:hAnsi="宋体" w:cs="宋体"/>
          <w:szCs w:val="21"/>
        </w:rPr>
        <w:t>4.供应商需根据院方的详细需求，提交项目产品的安装、调试及培训实施方案，方案得到院方确认后实施，保证系统按时、正常地投入运行。</w:t>
      </w:r>
    </w:p>
    <w:p>
      <w:pPr>
        <w:pStyle w:val="4"/>
        <w:numPr>
          <w:ilvl w:val="0"/>
          <w:numId w:val="3"/>
        </w:numPr>
        <w:rPr>
          <w:rFonts w:hint="eastAsia" w:ascii="宋体" w:hAnsi="宋体"/>
        </w:rPr>
      </w:pPr>
      <w:r>
        <w:rPr>
          <w:rFonts w:hint="eastAsia" w:ascii="宋体" w:hAnsi="宋体"/>
        </w:rPr>
        <w:t>集成技术及实施</w:t>
      </w:r>
      <w:r>
        <w:rPr>
          <w:rFonts w:ascii="宋体" w:hAnsi="宋体"/>
        </w:rPr>
        <w:t>服务要求</w:t>
      </w:r>
      <w:bookmarkStart w:id="2" w:name="_Toc12461"/>
      <w:bookmarkStart w:id="3" w:name="_Toc134461609"/>
    </w:p>
    <w:p>
      <w:pPr>
        <w:pStyle w:val="5"/>
      </w:pPr>
      <w:r>
        <w:rPr>
          <w:rFonts w:hint="eastAsia"/>
        </w:rPr>
        <w:t>5.1设备</w:t>
      </w:r>
      <w:r>
        <w:t>安装调试服务</w:t>
      </w:r>
      <w:bookmarkEnd w:id="2"/>
      <w:bookmarkEnd w:id="3"/>
    </w:p>
    <w:p>
      <w:pPr>
        <w:spacing w:line="360" w:lineRule="auto"/>
        <w:ind w:firstLine="420"/>
        <w:rPr>
          <w:rFonts w:ascii="宋体" w:hAnsi="宋体" w:cs="宋体"/>
          <w:szCs w:val="21"/>
        </w:rPr>
      </w:pPr>
      <w:r>
        <w:rPr>
          <w:rFonts w:hint="eastAsia" w:ascii="宋体" w:hAnsi="宋体" w:cs="宋体"/>
          <w:szCs w:val="21"/>
        </w:rPr>
        <w:t>系统准备及检查：按合同规定日期内供货，到货后按合同规定日期内完成安装调试。整个系统所需的全部硬件和系统软件及所有相关产品将按合同的要求按时、按量、按质交货。</w:t>
      </w:r>
    </w:p>
    <w:p>
      <w:pPr>
        <w:spacing w:line="360" w:lineRule="auto"/>
        <w:ind w:firstLine="420"/>
        <w:rPr>
          <w:rFonts w:ascii="宋体" w:hAnsi="宋体" w:cs="宋体"/>
          <w:szCs w:val="21"/>
        </w:rPr>
      </w:pPr>
      <w:r>
        <w:rPr>
          <w:rFonts w:hint="eastAsia" w:ascii="宋体" w:hAnsi="宋体" w:cs="宋体"/>
          <w:szCs w:val="21"/>
        </w:rPr>
        <w:t>现场验机安装：需派技术人员到院方现场处开箱验机，清点货品。在检验后无任何问题的情况下，将对产品进行软硬件安装和配置。</w:t>
      </w:r>
    </w:p>
    <w:p>
      <w:pPr>
        <w:pStyle w:val="5"/>
      </w:pPr>
      <w:bookmarkStart w:id="4" w:name="_Toc134461610"/>
      <w:bookmarkStart w:id="5" w:name="_Toc18201"/>
      <w:r>
        <w:rPr>
          <w:rFonts w:hint="eastAsia"/>
        </w:rPr>
        <w:t>5.2系统调研</w:t>
      </w:r>
    </w:p>
    <w:p>
      <w:pPr>
        <w:spacing w:line="360" w:lineRule="auto"/>
        <w:ind w:firstLine="420"/>
        <w:rPr>
          <w:rFonts w:hint="eastAsia" w:ascii="宋体" w:hAnsi="宋体" w:cs="宋体"/>
          <w:szCs w:val="21"/>
        </w:rPr>
      </w:pPr>
      <w:r>
        <w:rPr>
          <w:rFonts w:hint="eastAsia" w:ascii="宋体" w:hAnsi="宋体" w:cs="宋体"/>
          <w:szCs w:val="21"/>
        </w:rPr>
        <w:t>提供安全可靠的实施方案，应当了解当前医院的业务情况、系统架构和性能指标，设计应用负载均衡的部署架构、配置参数和优化策略，确保能够正常运行，为院方提供合适的负载均衡设备平滑替换解决方案。</w:t>
      </w:r>
    </w:p>
    <w:p/>
    <w:p>
      <w:pPr>
        <w:pStyle w:val="5"/>
      </w:pPr>
      <w:r>
        <w:rPr>
          <w:rFonts w:hint="eastAsia"/>
        </w:rPr>
        <w:t>5.3</w:t>
      </w:r>
      <w:r>
        <w:t>系统部署服务</w:t>
      </w:r>
      <w:bookmarkEnd w:id="4"/>
      <w:bookmarkEnd w:id="5"/>
    </w:p>
    <w:p>
      <w:pPr>
        <w:spacing w:line="360" w:lineRule="auto"/>
        <w:ind w:firstLine="420"/>
        <w:rPr>
          <w:rFonts w:ascii="宋体" w:hAnsi="宋体" w:cs="宋体"/>
          <w:szCs w:val="21"/>
        </w:rPr>
      </w:pPr>
      <w:r>
        <w:rPr>
          <w:rFonts w:hint="eastAsia" w:ascii="宋体" w:hAnsi="宋体" w:cs="宋体"/>
          <w:szCs w:val="21"/>
        </w:rPr>
        <w:t>提供项目整体系统部署服务包括：应用负载均衡安装调试，原负载均衡设备升级调试服务。</w:t>
      </w:r>
    </w:p>
    <w:p>
      <w:pPr>
        <w:pStyle w:val="5"/>
      </w:pPr>
      <w:bookmarkStart w:id="6" w:name="_Toc134461611"/>
      <w:bookmarkStart w:id="7" w:name="_Toc25885"/>
      <w:r>
        <w:rPr>
          <w:rFonts w:hint="eastAsia"/>
        </w:rPr>
        <w:t>5.4</w:t>
      </w:r>
      <w:r>
        <w:t>正式</w:t>
      </w:r>
      <w:r>
        <w:rPr>
          <w:rFonts w:hint="eastAsia"/>
        </w:rPr>
        <w:t>实施</w:t>
      </w:r>
      <w:r>
        <w:t>现场支持</w:t>
      </w:r>
      <w:bookmarkEnd w:id="6"/>
      <w:bookmarkEnd w:id="7"/>
    </w:p>
    <w:p>
      <w:pPr>
        <w:spacing w:line="360" w:lineRule="auto"/>
        <w:ind w:firstLine="420"/>
        <w:rPr>
          <w:rFonts w:ascii="宋体" w:hAnsi="宋体" w:cs="宋体"/>
          <w:szCs w:val="21"/>
        </w:rPr>
      </w:pPr>
      <w:r>
        <w:rPr>
          <w:rFonts w:hint="eastAsia" w:ascii="宋体" w:hAnsi="宋体" w:cs="宋体"/>
          <w:szCs w:val="21"/>
        </w:rPr>
        <w:t>为保障项目顺利实施，正式实施配备项目经理至少1名，项目团队成员至少3名，并且至少协调2名原厂资深工程师现场协助实施，确保系统上线运行稳定。</w:t>
      </w:r>
    </w:p>
    <w:p>
      <w:pPr>
        <w:pStyle w:val="5"/>
      </w:pPr>
      <w:bookmarkStart w:id="8" w:name="_Toc13924"/>
      <w:bookmarkStart w:id="9" w:name="_Toc134461612"/>
      <w:r>
        <w:rPr>
          <w:rFonts w:hint="eastAsia"/>
        </w:rPr>
        <w:t>5.5实施</w:t>
      </w:r>
      <w:r>
        <w:t>设计及专业人员支持</w:t>
      </w:r>
      <w:bookmarkEnd w:id="8"/>
      <w:bookmarkEnd w:id="9"/>
    </w:p>
    <w:p>
      <w:pPr>
        <w:spacing w:line="360" w:lineRule="auto"/>
        <w:ind w:firstLine="420"/>
        <w:rPr>
          <w:rFonts w:ascii="宋体" w:hAnsi="宋体" w:cs="宋体"/>
          <w:szCs w:val="21"/>
        </w:rPr>
      </w:pPr>
      <w:r>
        <w:rPr>
          <w:rFonts w:hint="eastAsia" w:ascii="宋体" w:hAnsi="宋体" w:cs="宋体"/>
          <w:szCs w:val="21"/>
        </w:rPr>
        <w:t>1.本着认真负责态度，组织技术队伍，做好整体方案，以及今后技术支持的措施计划和承诺。</w:t>
      </w:r>
    </w:p>
    <w:p>
      <w:pPr>
        <w:spacing w:line="360" w:lineRule="auto"/>
        <w:ind w:firstLine="420"/>
        <w:rPr>
          <w:rFonts w:ascii="宋体" w:hAnsi="宋体" w:cs="宋体"/>
          <w:szCs w:val="21"/>
        </w:rPr>
      </w:pPr>
      <w:r>
        <w:rPr>
          <w:rFonts w:hint="eastAsia" w:ascii="宋体" w:hAnsi="宋体" w:cs="宋体"/>
          <w:szCs w:val="21"/>
        </w:rPr>
        <w:t>2.上架安装调试设定为在设备到货后马上开始进行。</w:t>
      </w:r>
    </w:p>
    <w:p>
      <w:pPr>
        <w:spacing w:line="360" w:lineRule="auto"/>
        <w:ind w:firstLine="420"/>
        <w:rPr>
          <w:rFonts w:ascii="宋体" w:hAnsi="宋体" w:cs="宋体"/>
          <w:szCs w:val="21"/>
        </w:rPr>
      </w:pPr>
      <w:r>
        <w:rPr>
          <w:rFonts w:hint="eastAsia" w:ascii="宋体" w:hAnsi="宋体" w:cs="宋体"/>
          <w:szCs w:val="21"/>
        </w:rPr>
        <w:t>3.自系统安装工作一开始，通知院方相关的工作人员一起参与系统的安装、测试、诊断及解决遇到的问题等各项工作。</w:t>
      </w:r>
    </w:p>
    <w:p>
      <w:pPr>
        <w:spacing w:line="360" w:lineRule="auto"/>
        <w:ind w:firstLine="420"/>
        <w:rPr>
          <w:rFonts w:ascii="宋体" w:hAnsi="宋体" w:cs="宋体"/>
          <w:szCs w:val="21"/>
        </w:rPr>
      </w:pPr>
      <w:r>
        <w:rPr>
          <w:rFonts w:hint="eastAsia" w:ascii="宋体" w:hAnsi="宋体" w:cs="宋体"/>
          <w:szCs w:val="21"/>
        </w:rPr>
        <w:t>4.每日向院方相关负责人汇报项目实施进度及第二天施工计划，双方掌控项目进度，保证项目可控并按时完成。</w:t>
      </w:r>
    </w:p>
    <w:p>
      <w:pPr>
        <w:spacing w:line="360" w:lineRule="auto"/>
        <w:ind w:firstLine="420"/>
        <w:rPr>
          <w:rFonts w:ascii="宋体" w:hAnsi="宋体" w:cs="宋体"/>
          <w:szCs w:val="21"/>
        </w:rPr>
      </w:pPr>
      <w:r>
        <w:rPr>
          <w:rFonts w:hint="eastAsia" w:ascii="宋体" w:hAnsi="宋体" w:cs="宋体"/>
          <w:szCs w:val="21"/>
        </w:rPr>
        <w:t>5.在实施项目内容前，充分全面了解院方需求，编制详细的施工方案，并经过院方用户方的审核确认。</w:t>
      </w:r>
    </w:p>
    <w:p>
      <w:pPr>
        <w:spacing w:line="360" w:lineRule="auto"/>
        <w:ind w:firstLine="420"/>
        <w:rPr>
          <w:rFonts w:hint="eastAsia" w:ascii="宋体" w:hAnsi="宋体" w:cs="宋体"/>
          <w:szCs w:val="21"/>
        </w:rPr>
      </w:pPr>
      <w:r>
        <w:rPr>
          <w:rFonts w:hint="eastAsia" w:ascii="宋体" w:hAnsi="宋体" w:cs="宋体"/>
          <w:szCs w:val="21"/>
        </w:rPr>
        <w:t>6.院方存在需求不确定性时，需给出专业有效的施工方案供院方确认。如院方临时变更及增加需求时，需积极高效配合院方做好方案并及时实施，实施过程中可提供专业的方案。</w:t>
      </w:r>
    </w:p>
    <w:p>
      <w:pPr>
        <w:spacing w:line="360" w:lineRule="auto"/>
        <w:ind w:firstLine="420"/>
        <w:rPr>
          <w:rFonts w:ascii="宋体" w:hAnsi="宋体" w:cs="宋体"/>
          <w:szCs w:val="21"/>
        </w:rPr>
      </w:pPr>
      <w:r>
        <w:rPr>
          <w:rFonts w:hint="eastAsia" w:ascii="宋体" w:hAnsi="宋体" w:cs="宋体"/>
          <w:szCs w:val="21"/>
        </w:rPr>
        <w:t>7.培训与支持：为院方提供原厂使用培训和技术支持，帮助客户更好地管理和优化。</w:t>
      </w:r>
    </w:p>
    <w:p>
      <w:pPr>
        <w:pStyle w:val="2"/>
      </w:pPr>
    </w:p>
    <w:p>
      <w:pPr>
        <w:pStyle w:val="5"/>
      </w:pPr>
      <w:bookmarkStart w:id="10" w:name="_Toc112242666"/>
      <w:bookmarkStart w:id="11" w:name="_Toc217478516"/>
      <w:bookmarkStart w:id="12" w:name="_Toc227664311"/>
      <w:bookmarkStart w:id="13" w:name="_Toc228173832"/>
      <w:bookmarkStart w:id="14" w:name="_Toc224359731"/>
      <w:bookmarkStart w:id="15" w:name="_Toc222557263"/>
      <w:bookmarkStart w:id="16" w:name="_Toc230492218"/>
      <w:bookmarkStart w:id="17" w:name="_Toc223168897"/>
      <w:bookmarkStart w:id="18" w:name="_Toc222197986"/>
      <w:r>
        <w:rPr>
          <w:rFonts w:hint="eastAsia"/>
        </w:rPr>
        <w:t>5.6项目人员要求</w:t>
      </w:r>
      <w:bookmarkEnd w:id="10"/>
    </w:p>
    <w:p>
      <w:pPr>
        <w:spacing w:line="360" w:lineRule="auto"/>
        <w:ind w:firstLine="420"/>
        <w:rPr>
          <w:b/>
          <w:bCs/>
        </w:rPr>
      </w:pPr>
    </w:p>
    <w:tbl>
      <w:tblPr>
        <w:tblStyle w:val="21"/>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7"/>
        <w:gridCol w:w="6198"/>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937" w:type="dxa"/>
            <w:shd w:val="clear" w:color="auto" w:fill="F2F2F2"/>
            <w:noWrap w:val="0"/>
            <w:vAlign w:val="center"/>
          </w:tcPr>
          <w:p>
            <w:pPr>
              <w:autoSpaceDE w:val="0"/>
              <w:autoSpaceDN w:val="0"/>
              <w:adjustRightInd w:val="0"/>
              <w:spacing w:line="360" w:lineRule="auto"/>
              <w:jc w:val="center"/>
              <w:rPr>
                <w:rFonts w:ascii="宋体" w:hAnsi="宋体"/>
                <w:b/>
              </w:rPr>
            </w:pPr>
            <w:r>
              <w:rPr>
                <w:rFonts w:hint="eastAsia" w:ascii="宋体" w:hAnsi="宋体"/>
                <w:b/>
              </w:rPr>
              <w:t>职位</w:t>
            </w:r>
          </w:p>
        </w:tc>
        <w:tc>
          <w:tcPr>
            <w:tcW w:w="6198" w:type="dxa"/>
            <w:shd w:val="clear" w:color="auto" w:fill="F2F2F2"/>
            <w:noWrap w:val="0"/>
            <w:vAlign w:val="center"/>
          </w:tcPr>
          <w:p>
            <w:pPr>
              <w:autoSpaceDE w:val="0"/>
              <w:autoSpaceDN w:val="0"/>
              <w:adjustRightInd w:val="0"/>
              <w:spacing w:line="360" w:lineRule="auto"/>
              <w:jc w:val="center"/>
              <w:rPr>
                <w:rFonts w:ascii="宋体" w:hAnsi="宋体"/>
                <w:b/>
              </w:rPr>
            </w:pPr>
            <w:r>
              <w:rPr>
                <w:rFonts w:hint="eastAsia" w:ascii="宋体" w:hAnsi="宋体"/>
                <w:b/>
              </w:rPr>
              <w:t>职能和要求</w:t>
            </w:r>
          </w:p>
        </w:tc>
        <w:tc>
          <w:tcPr>
            <w:tcW w:w="903" w:type="dxa"/>
            <w:shd w:val="clear" w:color="auto" w:fill="F2F2F2"/>
            <w:noWrap w:val="0"/>
            <w:vAlign w:val="center"/>
          </w:tcPr>
          <w:p>
            <w:pPr>
              <w:autoSpaceDE w:val="0"/>
              <w:autoSpaceDN w:val="0"/>
              <w:adjustRightInd w:val="0"/>
              <w:spacing w:line="360" w:lineRule="auto"/>
              <w:jc w:val="center"/>
              <w:rPr>
                <w:rFonts w:ascii="宋体" w:hAnsi="宋体"/>
                <w:b/>
              </w:rPr>
            </w:pPr>
            <w:r>
              <w:rPr>
                <w:rFonts w:hint="eastAsia" w:ascii="宋体" w:hAnsi="宋体"/>
                <w:b/>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937" w:type="dxa"/>
            <w:noWrap w:val="0"/>
            <w:vAlign w:val="center"/>
          </w:tcPr>
          <w:p>
            <w:pPr>
              <w:autoSpaceDE w:val="0"/>
              <w:autoSpaceDN w:val="0"/>
              <w:adjustRightInd w:val="0"/>
              <w:spacing w:line="360" w:lineRule="auto"/>
              <w:jc w:val="center"/>
              <w:rPr>
                <w:rFonts w:ascii="宋体" w:hAnsi="宋体"/>
              </w:rPr>
            </w:pPr>
            <w:r>
              <w:rPr>
                <w:rFonts w:hint="eastAsia" w:ascii="宋体" w:hAnsi="宋体"/>
              </w:rPr>
              <w:t>项目经理</w:t>
            </w:r>
          </w:p>
        </w:tc>
        <w:tc>
          <w:tcPr>
            <w:tcW w:w="6198" w:type="dxa"/>
            <w:noWrap w:val="0"/>
            <w:vAlign w:val="center"/>
          </w:tcPr>
          <w:p>
            <w:pPr>
              <w:autoSpaceDE w:val="0"/>
              <w:autoSpaceDN w:val="0"/>
              <w:adjustRightInd w:val="0"/>
              <w:spacing w:line="360" w:lineRule="auto"/>
              <w:rPr>
                <w:rFonts w:ascii="宋体" w:hAnsi="宋体"/>
              </w:rPr>
            </w:pPr>
            <w:r>
              <w:rPr>
                <w:rFonts w:hint="eastAsia" w:ascii="宋体" w:hAnsi="宋体"/>
              </w:rPr>
              <w:t>负责项目总体把控和项目跟进落实和沟通:</w:t>
            </w:r>
          </w:p>
          <w:p>
            <w:pPr>
              <w:autoSpaceDE w:val="0"/>
              <w:autoSpaceDN w:val="0"/>
              <w:adjustRightInd w:val="0"/>
              <w:spacing w:line="360" w:lineRule="auto"/>
              <w:rPr>
                <w:rFonts w:hint="eastAsia" w:ascii="宋体" w:hAnsi="宋体"/>
              </w:rPr>
            </w:pPr>
            <w:r>
              <w:rPr>
                <w:rFonts w:hint="eastAsia" w:ascii="宋体" w:hAnsi="宋体"/>
              </w:rPr>
              <w:t>（1）5年以上信息项目管理经验;</w:t>
            </w:r>
          </w:p>
          <w:p>
            <w:pPr>
              <w:autoSpaceDE w:val="0"/>
              <w:autoSpaceDN w:val="0"/>
              <w:adjustRightInd w:val="0"/>
              <w:spacing w:line="360" w:lineRule="auto"/>
              <w:rPr>
                <w:rFonts w:ascii="宋体" w:hAnsi="宋体"/>
              </w:rPr>
            </w:pPr>
            <w:r>
              <w:rPr>
                <w:rFonts w:hint="eastAsia" w:ascii="宋体" w:hAnsi="宋体"/>
              </w:rPr>
              <w:t>（2）具有信息系统项目管理师证书或PMP证书;</w:t>
            </w:r>
          </w:p>
        </w:tc>
        <w:tc>
          <w:tcPr>
            <w:tcW w:w="903" w:type="dxa"/>
            <w:noWrap w:val="0"/>
            <w:vAlign w:val="center"/>
          </w:tcPr>
          <w:p>
            <w:pPr>
              <w:autoSpaceDE w:val="0"/>
              <w:autoSpaceDN w:val="0"/>
              <w:adjustRightInd w:val="0"/>
              <w:spacing w:line="360" w:lineRule="auto"/>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1937" w:type="dxa"/>
            <w:noWrap w:val="0"/>
            <w:vAlign w:val="center"/>
          </w:tcPr>
          <w:p>
            <w:pPr>
              <w:autoSpaceDE w:val="0"/>
              <w:autoSpaceDN w:val="0"/>
              <w:adjustRightInd w:val="0"/>
              <w:spacing w:line="360" w:lineRule="auto"/>
              <w:jc w:val="center"/>
              <w:rPr>
                <w:rFonts w:ascii="宋体" w:hAnsi="宋体"/>
              </w:rPr>
            </w:pPr>
            <w:r>
              <w:rPr>
                <w:rFonts w:hint="eastAsia" w:ascii="宋体" w:hAnsi="宋体"/>
              </w:rPr>
              <w:t>架构师</w:t>
            </w:r>
          </w:p>
        </w:tc>
        <w:tc>
          <w:tcPr>
            <w:tcW w:w="6198" w:type="dxa"/>
            <w:noWrap w:val="0"/>
            <w:vAlign w:val="center"/>
          </w:tcPr>
          <w:p>
            <w:pPr>
              <w:autoSpaceDE w:val="0"/>
              <w:autoSpaceDN w:val="0"/>
              <w:adjustRightInd w:val="0"/>
              <w:spacing w:line="360" w:lineRule="auto"/>
              <w:rPr>
                <w:rFonts w:ascii="宋体" w:hAnsi="宋体"/>
              </w:rPr>
            </w:pPr>
            <w:r>
              <w:rPr>
                <w:rFonts w:hint="eastAsia" w:ascii="宋体" w:hAnsi="宋体"/>
              </w:rPr>
              <w:t>负责技术方案总体设计和规划，10年以上I</w:t>
            </w:r>
            <w:r>
              <w:rPr>
                <w:rFonts w:ascii="宋体" w:hAnsi="宋体"/>
              </w:rPr>
              <w:t>T</w:t>
            </w:r>
            <w:r>
              <w:rPr>
                <w:rFonts w:hint="eastAsia" w:ascii="宋体" w:hAnsi="宋体"/>
              </w:rPr>
              <w:t>经验。</w:t>
            </w:r>
          </w:p>
        </w:tc>
        <w:tc>
          <w:tcPr>
            <w:tcW w:w="903" w:type="dxa"/>
            <w:noWrap w:val="0"/>
            <w:vAlign w:val="center"/>
          </w:tcPr>
          <w:p>
            <w:pPr>
              <w:autoSpaceDE w:val="0"/>
              <w:autoSpaceDN w:val="0"/>
              <w:adjustRightInd w:val="0"/>
              <w:spacing w:line="360" w:lineRule="auto"/>
              <w:jc w:val="center"/>
              <w:rPr>
                <w:rFonts w:ascii="宋体" w:hAnsi="宋体"/>
              </w:rPr>
            </w:pPr>
            <w:r>
              <w:rPr>
                <w:rFonts w:hint="eastAsia" w:ascii="宋体" w:hAnsi="宋体"/>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937" w:type="dxa"/>
            <w:noWrap w:val="0"/>
            <w:vAlign w:val="center"/>
          </w:tcPr>
          <w:p>
            <w:pPr>
              <w:autoSpaceDE w:val="0"/>
              <w:autoSpaceDN w:val="0"/>
              <w:adjustRightInd w:val="0"/>
              <w:spacing w:line="360" w:lineRule="auto"/>
              <w:jc w:val="center"/>
              <w:rPr>
                <w:rFonts w:ascii="宋体" w:hAnsi="宋体"/>
              </w:rPr>
            </w:pPr>
            <w:r>
              <w:rPr>
                <w:rFonts w:hint="eastAsia" w:ascii="宋体" w:hAnsi="宋体"/>
              </w:rPr>
              <w:t>实施工程师</w:t>
            </w:r>
          </w:p>
        </w:tc>
        <w:tc>
          <w:tcPr>
            <w:tcW w:w="6198" w:type="dxa"/>
            <w:noWrap w:val="0"/>
            <w:vAlign w:val="center"/>
          </w:tcPr>
          <w:p>
            <w:pPr>
              <w:autoSpaceDE w:val="0"/>
              <w:autoSpaceDN w:val="0"/>
              <w:adjustRightInd w:val="0"/>
              <w:spacing w:line="360" w:lineRule="auto"/>
              <w:rPr>
                <w:rFonts w:ascii="宋体" w:hAnsi="宋体"/>
              </w:rPr>
            </w:pPr>
            <w:r>
              <w:rPr>
                <w:rFonts w:hint="eastAsia" w:ascii="宋体" w:hAnsi="宋体"/>
              </w:rPr>
              <w:t>负责项目实施工作，具有3年以上相关工作经验，具备厂商认证资质。</w:t>
            </w:r>
          </w:p>
        </w:tc>
        <w:tc>
          <w:tcPr>
            <w:tcW w:w="903" w:type="dxa"/>
            <w:noWrap w:val="0"/>
            <w:vAlign w:val="center"/>
          </w:tcPr>
          <w:p>
            <w:pPr>
              <w:autoSpaceDE w:val="0"/>
              <w:autoSpaceDN w:val="0"/>
              <w:adjustRightInd w:val="0"/>
              <w:spacing w:line="360" w:lineRule="auto"/>
              <w:jc w:val="center"/>
              <w:rPr>
                <w:rFonts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937" w:type="dxa"/>
            <w:noWrap w:val="0"/>
            <w:vAlign w:val="center"/>
          </w:tcPr>
          <w:p>
            <w:pPr>
              <w:autoSpaceDE w:val="0"/>
              <w:autoSpaceDN w:val="0"/>
              <w:adjustRightInd w:val="0"/>
              <w:spacing w:line="360" w:lineRule="auto"/>
              <w:jc w:val="center"/>
              <w:rPr>
                <w:rFonts w:hint="eastAsia" w:ascii="宋体" w:hAnsi="宋体"/>
              </w:rPr>
            </w:pPr>
            <w:r>
              <w:rPr>
                <w:rFonts w:hint="eastAsia" w:ascii="宋体" w:hAnsi="宋体"/>
              </w:rPr>
              <w:t>原厂工程师</w:t>
            </w:r>
          </w:p>
        </w:tc>
        <w:tc>
          <w:tcPr>
            <w:tcW w:w="6198" w:type="dxa"/>
            <w:noWrap w:val="0"/>
            <w:vAlign w:val="center"/>
          </w:tcPr>
          <w:p>
            <w:pPr>
              <w:autoSpaceDE w:val="0"/>
              <w:autoSpaceDN w:val="0"/>
              <w:adjustRightInd w:val="0"/>
              <w:spacing w:line="360" w:lineRule="auto"/>
              <w:rPr>
                <w:rFonts w:hint="eastAsia" w:ascii="宋体" w:hAnsi="宋体"/>
              </w:rPr>
            </w:pPr>
            <w:r>
              <w:rPr>
                <w:rFonts w:hint="eastAsia" w:ascii="宋体" w:hAnsi="宋体"/>
              </w:rPr>
              <w:t>负责项目实施，培训工作，具有3年以上厂商工作经验。</w:t>
            </w:r>
          </w:p>
        </w:tc>
        <w:tc>
          <w:tcPr>
            <w:tcW w:w="903" w:type="dxa"/>
            <w:noWrap w:val="0"/>
            <w:vAlign w:val="center"/>
          </w:tcPr>
          <w:p>
            <w:pPr>
              <w:autoSpaceDE w:val="0"/>
              <w:autoSpaceDN w:val="0"/>
              <w:adjustRightInd w:val="0"/>
              <w:spacing w:line="360" w:lineRule="auto"/>
              <w:jc w:val="center"/>
              <w:rPr>
                <w:rFonts w:hint="eastAsia" w:ascii="宋体" w:hAnsi="宋体"/>
              </w:rPr>
            </w:pPr>
            <w:r>
              <w:rPr>
                <w:rFonts w:hint="eastAsia" w:ascii="宋体" w:hAnsi="宋体"/>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135" w:type="dxa"/>
            <w:gridSpan w:val="2"/>
            <w:noWrap w:val="0"/>
            <w:vAlign w:val="center"/>
          </w:tcPr>
          <w:p>
            <w:pPr>
              <w:autoSpaceDE w:val="0"/>
              <w:autoSpaceDN w:val="0"/>
              <w:adjustRightInd w:val="0"/>
              <w:spacing w:line="360" w:lineRule="auto"/>
              <w:jc w:val="center"/>
              <w:rPr>
                <w:rFonts w:ascii="宋体" w:hAnsi="宋体"/>
              </w:rPr>
            </w:pPr>
            <w:r>
              <w:rPr>
                <w:rFonts w:hint="eastAsia" w:ascii="宋体" w:hAnsi="宋体"/>
              </w:rPr>
              <w:t>合计</w:t>
            </w:r>
          </w:p>
        </w:tc>
        <w:tc>
          <w:tcPr>
            <w:tcW w:w="903" w:type="dxa"/>
            <w:noWrap w:val="0"/>
            <w:vAlign w:val="center"/>
          </w:tcPr>
          <w:p>
            <w:pPr>
              <w:autoSpaceDE w:val="0"/>
              <w:autoSpaceDN w:val="0"/>
              <w:adjustRightInd w:val="0"/>
              <w:spacing w:line="360" w:lineRule="auto"/>
              <w:jc w:val="center"/>
              <w:rPr>
                <w:rFonts w:ascii="宋体" w:hAnsi="宋体"/>
              </w:rPr>
            </w:pPr>
            <w:r>
              <w:rPr>
                <w:rFonts w:hint="eastAsia" w:ascii="宋体" w:hAnsi="宋体"/>
              </w:rPr>
              <w:t>6</w:t>
            </w:r>
          </w:p>
        </w:tc>
      </w:tr>
      <w:bookmarkEnd w:id="11"/>
      <w:bookmarkEnd w:id="12"/>
      <w:bookmarkEnd w:id="13"/>
      <w:bookmarkEnd w:id="14"/>
      <w:bookmarkEnd w:id="15"/>
      <w:bookmarkEnd w:id="16"/>
      <w:bookmarkEnd w:id="17"/>
      <w:bookmarkEnd w:id="18"/>
    </w:tbl>
    <w:p>
      <w:pPr>
        <w:pStyle w:val="3"/>
        <w:rPr>
          <w:rFonts w:hint="eastAsia"/>
        </w:rPr>
      </w:pPr>
    </w:p>
    <w:p>
      <w:pPr>
        <w:pStyle w:val="4"/>
        <w:numPr>
          <w:ilvl w:val="0"/>
          <w:numId w:val="3"/>
        </w:numPr>
        <w:rPr>
          <w:rFonts w:hint="eastAsia" w:ascii="宋体" w:hAnsi="宋体"/>
        </w:rPr>
      </w:pPr>
      <w:r>
        <w:rPr>
          <w:rFonts w:hint="eastAsia" w:ascii="宋体" w:hAnsi="宋体"/>
        </w:rPr>
        <w:t>保修要求</w:t>
      </w:r>
    </w:p>
    <w:p>
      <w:pPr>
        <w:pStyle w:val="5"/>
      </w:pPr>
      <w:bookmarkStart w:id="19" w:name="_Toc2838"/>
      <w:bookmarkStart w:id="20" w:name="_Toc134461615"/>
      <w:r>
        <w:rPr>
          <w:rFonts w:hint="eastAsia"/>
        </w:rPr>
        <w:t>6.1</w:t>
      </w:r>
      <w:r>
        <w:t>服务响应</w:t>
      </w:r>
      <w:bookmarkEnd w:id="19"/>
      <w:bookmarkEnd w:id="20"/>
    </w:p>
    <w:p>
      <w:pPr>
        <w:spacing w:line="360" w:lineRule="auto"/>
        <w:ind w:firstLine="420" w:firstLineChars="200"/>
        <w:rPr>
          <w:rFonts w:ascii="宋体" w:hAnsi="宋体" w:cs="宋体"/>
          <w:szCs w:val="21"/>
        </w:rPr>
      </w:pPr>
      <w:r>
        <w:rPr>
          <w:rFonts w:hint="eastAsia" w:ascii="宋体" w:hAnsi="宋体" w:cs="宋体"/>
          <w:szCs w:val="21"/>
        </w:rPr>
        <w:t>本项目货物的保修期为软件</w:t>
      </w:r>
      <w:r>
        <w:rPr>
          <w:rFonts w:hint="eastAsia" w:ascii="宋体" w:hAnsi="宋体" w:cs="宋体"/>
          <w:b/>
          <w:bCs/>
          <w:szCs w:val="21"/>
          <w:u w:val="single"/>
        </w:rPr>
        <w:t xml:space="preserve"> 5 </w:t>
      </w:r>
      <w:r>
        <w:rPr>
          <w:rFonts w:hint="eastAsia" w:ascii="宋体" w:hAnsi="宋体" w:cs="宋体"/>
          <w:szCs w:val="21"/>
        </w:rPr>
        <w:t>年，配件</w:t>
      </w:r>
      <w:r>
        <w:rPr>
          <w:rFonts w:hint="eastAsia" w:ascii="宋体" w:hAnsi="宋体" w:cs="宋体"/>
          <w:b/>
          <w:bCs/>
          <w:szCs w:val="21"/>
          <w:u w:val="single"/>
        </w:rPr>
        <w:t xml:space="preserve"> 5 </w:t>
      </w:r>
      <w:r>
        <w:rPr>
          <w:rFonts w:hint="eastAsia" w:ascii="宋体" w:hAnsi="宋体" w:cs="宋体"/>
          <w:szCs w:val="21"/>
        </w:rPr>
        <w:t>年，硬件</w:t>
      </w:r>
      <w:r>
        <w:rPr>
          <w:rFonts w:hint="eastAsia" w:ascii="宋体" w:hAnsi="宋体" w:cs="宋体"/>
          <w:b/>
          <w:bCs/>
          <w:szCs w:val="21"/>
          <w:u w:val="single"/>
        </w:rPr>
        <w:t xml:space="preserve"> 5 </w:t>
      </w:r>
      <w:r>
        <w:rPr>
          <w:rFonts w:hint="eastAsia" w:ascii="宋体" w:hAnsi="宋体" w:cs="宋体"/>
          <w:szCs w:val="21"/>
        </w:rPr>
        <w:t>年，提供</w:t>
      </w:r>
      <w:r>
        <w:rPr>
          <w:rFonts w:hint="eastAsia" w:ascii="宋体" w:hAnsi="宋体" w:cs="宋体"/>
          <w:b/>
          <w:bCs/>
          <w:szCs w:val="21"/>
          <w:u w:val="single"/>
        </w:rPr>
        <w:t xml:space="preserve">0.5 </w:t>
      </w:r>
      <w:r>
        <w:rPr>
          <w:rFonts w:hint="eastAsia" w:ascii="宋体" w:hAnsi="宋体" w:cs="宋体"/>
          <w:szCs w:val="21"/>
        </w:rPr>
        <w:t>小时响应，要求不超过</w:t>
      </w:r>
      <w:r>
        <w:rPr>
          <w:rFonts w:hint="eastAsia" w:ascii="宋体" w:hAnsi="宋体" w:cs="宋体"/>
          <w:b/>
          <w:bCs/>
          <w:szCs w:val="21"/>
          <w:u w:val="single"/>
        </w:rPr>
        <w:t xml:space="preserve"> 1 </w:t>
      </w:r>
      <w:r>
        <w:rPr>
          <w:rFonts w:hint="eastAsia" w:ascii="宋体" w:hAnsi="宋体" w:cs="宋体"/>
          <w:szCs w:val="21"/>
        </w:rPr>
        <w:t>小时到达现场</w:t>
      </w:r>
      <w:r>
        <w:rPr>
          <w:rFonts w:hint="eastAsia" w:ascii="宋体" w:hAnsi="宋体" w:cs="宋体"/>
          <w:spacing w:val="8"/>
          <w:kern w:val="0"/>
          <w:szCs w:val="21"/>
        </w:rPr>
        <w:t>，</w:t>
      </w:r>
      <w:r>
        <w:rPr>
          <w:rFonts w:hint="eastAsia" w:ascii="宋体" w:hAnsi="宋体" w:cs="宋体"/>
          <w:b/>
          <w:bCs/>
          <w:spacing w:val="8"/>
          <w:kern w:val="0"/>
          <w:szCs w:val="21"/>
          <w:u w:val="single"/>
        </w:rPr>
        <w:t xml:space="preserve"> 24</w:t>
      </w:r>
      <w:r>
        <w:rPr>
          <w:rFonts w:hint="eastAsia" w:ascii="宋体" w:hAnsi="宋体" w:cs="宋体"/>
          <w:szCs w:val="21"/>
        </w:rPr>
        <w:t>小时内处理完毕。若出现硬件故障不能解决，应提供更换备件或备机，期满后可同时提供终身 (有偿) 维修保养服务。</w:t>
      </w:r>
    </w:p>
    <w:p>
      <w:pPr>
        <w:pStyle w:val="5"/>
        <w:rPr>
          <w:rFonts w:hint="eastAsia"/>
        </w:rPr>
      </w:pPr>
      <w:bookmarkStart w:id="21" w:name="_Toc8384"/>
      <w:bookmarkStart w:id="22" w:name="_Toc134461616"/>
      <w:r>
        <w:rPr>
          <w:rFonts w:hint="eastAsia"/>
        </w:rPr>
        <w:t>6.2服务内容</w:t>
      </w:r>
      <w:bookmarkEnd w:id="21"/>
      <w:bookmarkEnd w:id="22"/>
    </w:p>
    <w:p>
      <w:pPr>
        <w:spacing w:line="360" w:lineRule="auto"/>
        <w:rPr>
          <w:b/>
        </w:rPr>
      </w:pPr>
      <w:r>
        <w:rPr>
          <w:rFonts w:ascii="宋体" w:hAnsi="宋体"/>
        </w:rPr>
        <w:t xml:space="preserve"> </w:t>
      </w:r>
      <w:r>
        <w:rPr>
          <w:rFonts w:hint="eastAsia"/>
          <w:b/>
          <w:sz w:val="24"/>
        </w:rPr>
        <w:t>保修期内技术服务:</w:t>
      </w:r>
    </w:p>
    <w:p>
      <w:pPr>
        <w:spacing w:line="360" w:lineRule="auto"/>
        <w:ind w:firstLine="420"/>
        <w:rPr>
          <w:rFonts w:ascii="宋体" w:hAnsi="宋体" w:cs="宋体"/>
          <w:szCs w:val="21"/>
        </w:rPr>
      </w:pPr>
      <w:r>
        <w:rPr>
          <w:rFonts w:hint="eastAsia" w:ascii="宋体" w:hAnsi="宋体" w:cs="宋体"/>
          <w:szCs w:val="21"/>
        </w:rPr>
        <w:t>在保修期内，提供的设备均按照医院的实际生产需要进行安装、调试，优化，无次数限制。</w:t>
      </w:r>
    </w:p>
    <w:p>
      <w:pPr>
        <w:spacing w:line="360" w:lineRule="auto"/>
        <w:ind w:firstLine="420"/>
        <w:rPr>
          <w:rFonts w:ascii="宋体" w:hAnsi="宋体" w:cs="宋体"/>
          <w:szCs w:val="21"/>
        </w:rPr>
      </w:pPr>
      <w:r>
        <w:rPr>
          <w:rFonts w:hint="eastAsia" w:ascii="宋体" w:hAnsi="宋体" w:cs="宋体"/>
          <w:szCs w:val="21"/>
        </w:rPr>
        <w:t>在系统的硬件及软件安装完成并经买卖双方签字验收之日起开始计算保修期。</w:t>
      </w:r>
    </w:p>
    <w:p>
      <w:pPr>
        <w:spacing w:line="360" w:lineRule="auto"/>
        <w:ind w:firstLine="420"/>
        <w:rPr>
          <w:rFonts w:ascii="宋体" w:hAnsi="宋体" w:cs="宋体"/>
          <w:szCs w:val="21"/>
        </w:rPr>
      </w:pPr>
      <w:r>
        <w:rPr>
          <w:rFonts w:hint="eastAsia" w:ascii="宋体" w:hAnsi="宋体" w:cs="宋体"/>
          <w:szCs w:val="21"/>
        </w:rPr>
        <w:t>主机产品的保修：保修期内所有费用由供应商和厂商承担。</w:t>
      </w:r>
    </w:p>
    <w:p>
      <w:pPr>
        <w:spacing w:line="360" w:lineRule="auto"/>
        <w:rPr>
          <w:b/>
        </w:rPr>
      </w:pPr>
      <w:r>
        <w:rPr>
          <w:rFonts w:hint="eastAsia"/>
          <w:b/>
          <w:sz w:val="24"/>
        </w:rPr>
        <w:t>保修期外技术服务:</w:t>
      </w:r>
    </w:p>
    <w:p>
      <w:pPr>
        <w:spacing w:line="360" w:lineRule="auto"/>
        <w:ind w:firstLine="420"/>
        <w:rPr>
          <w:rFonts w:ascii="宋体" w:hAnsi="宋体" w:cs="宋体"/>
          <w:szCs w:val="21"/>
        </w:rPr>
      </w:pPr>
      <w:r>
        <w:rPr>
          <w:rFonts w:hint="eastAsia" w:ascii="宋体" w:hAnsi="宋体" w:cs="宋体"/>
          <w:szCs w:val="21"/>
        </w:rPr>
        <w:t>在保修期结束之后，提供维修服务，服务质量与保修期内相同。保修期外的维护费用，只收取更换的零配件的成本费，无需另收安装调试费用。</w:t>
      </w:r>
    </w:p>
    <w:p>
      <w:pPr>
        <w:spacing w:line="360" w:lineRule="auto"/>
        <w:rPr>
          <w:b/>
        </w:rPr>
      </w:pPr>
      <w:r>
        <w:rPr>
          <w:rFonts w:hint="eastAsia"/>
          <w:b/>
          <w:sz w:val="24"/>
        </w:rPr>
        <w:t>季度巡检服务：</w:t>
      </w:r>
    </w:p>
    <w:p>
      <w:pPr>
        <w:spacing w:line="360" w:lineRule="auto"/>
        <w:ind w:firstLine="420"/>
        <w:rPr>
          <w:rFonts w:ascii="宋体" w:hAnsi="宋体" w:cs="宋体"/>
          <w:szCs w:val="21"/>
        </w:rPr>
      </w:pPr>
      <w:r>
        <w:rPr>
          <w:rFonts w:hint="eastAsia" w:ascii="宋体" w:hAnsi="宋体" w:cs="宋体"/>
          <w:szCs w:val="21"/>
        </w:rPr>
        <w:t>预防性维护：为了保证设备正常运行，每季度定期对提供给院方的硬件设备进行常规性的检查、调试和清理工作。预防性维护的次数由根据设备规范而定（也可以根据医院实际情况而定）。</w:t>
      </w:r>
    </w:p>
    <w:p>
      <w:pPr>
        <w:spacing w:line="360" w:lineRule="auto"/>
        <w:ind w:firstLine="420"/>
        <w:rPr>
          <w:rFonts w:ascii="宋体" w:hAnsi="宋体" w:cs="宋体"/>
          <w:szCs w:val="21"/>
        </w:rPr>
      </w:pPr>
      <w:r>
        <w:rPr>
          <w:rFonts w:hint="eastAsia" w:ascii="宋体" w:hAnsi="宋体" w:cs="宋体"/>
          <w:szCs w:val="21"/>
        </w:rPr>
        <w:t>排除故障：如果院方设备不能运转，在接到要求排除故障通知之后24小时之内派出工程师到现场查明原因，并排除故障。在保修内，将免费更换属于正常操作引起的设备损坏。在保修期外，将协调与有关部门的工作，尽量满足院方的实际需求。</w:t>
      </w:r>
    </w:p>
    <w:p>
      <w:pPr>
        <w:spacing w:line="360" w:lineRule="auto"/>
        <w:rPr>
          <w:b/>
        </w:rPr>
      </w:pPr>
      <w:r>
        <w:rPr>
          <w:rFonts w:hint="eastAsia"/>
          <w:b/>
          <w:sz w:val="24"/>
        </w:rPr>
        <w:t>系统软件维护</w:t>
      </w:r>
    </w:p>
    <w:p>
      <w:pPr>
        <w:spacing w:line="360" w:lineRule="auto"/>
        <w:ind w:firstLine="420"/>
        <w:rPr>
          <w:rFonts w:ascii="宋体" w:hAnsi="宋体" w:cs="宋体"/>
          <w:szCs w:val="21"/>
        </w:rPr>
      </w:pPr>
      <w:r>
        <w:rPr>
          <w:rFonts w:hint="eastAsia" w:ascii="宋体" w:hAnsi="宋体" w:cs="宋体"/>
          <w:szCs w:val="21"/>
        </w:rPr>
        <w:t>提供软件修正，以解决系统出现的问题。</w:t>
      </w:r>
    </w:p>
    <w:p>
      <w:pPr>
        <w:spacing w:line="360" w:lineRule="auto"/>
        <w:ind w:firstLine="420"/>
        <w:rPr>
          <w:rFonts w:ascii="宋体" w:hAnsi="宋体" w:cs="宋体"/>
          <w:szCs w:val="21"/>
        </w:rPr>
      </w:pPr>
      <w:r>
        <w:rPr>
          <w:rFonts w:hint="eastAsia" w:ascii="宋体" w:hAnsi="宋体" w:cs="宋体"/>
          <w:szCs w:val="21"/>
        </w:rPr>
        <w:t>调整系统参数，使之优化。</w:t>
      </w:r>
    </w:p>
    <w:p>
      <w:pPr>
        <w:spacing w:line="360" w:lineRule="auto"/>
        <w:ind w:firstLine="420"/>
        <w:rPr>
          <w:rFonts w:ascii="宋体" w:hAnsi="宋体" w:cs="宋体"/>
          <w:szCs w:val="21"/>
        </w:rPr>
      </w:pPr>
      <w:r>
        <w:rPr>
          <w:rFonts w:hint="eastAsia" w:ascii="宋体" w:hAnsi="宋体" w:cs="宋体"/>
          <w:szCs w:val="21"/>
        </w:rPr>
        <w:t>系统升级，当厂商推出新的高版本的产品时，会根据院方的实际需要进行有选择的推荐，并负责安装、调试。</w:t>
      </w:r>
    </w:p>
    <w:p>
      <w:pPr>
        <w:spacing w:line="360" w:lineRule="auto"/>
        <w:rPr>
          <w:b/>
        </w:rPr>
      </w:pPr>
      <w:r>
        <w:rPr>
          <w:rFonts w:hint="eastAsia"/>
          <w:b/>
          <w:sz w:val="24"/>
        </w:rPr>
        <w:t>故障处理流程</w:t>
      </w:r>
    </w:p>
    <w:p>
      <w:pPr>
        <w:spacing w:line="360" w:lineRule="auto"/>
        <w:ind w:firstLine="420"/>
        <w:rPr>
          <w:rFonts w:ascii="宋体" w:hAnsi="宋体" w:cs="宋体"/>
          <w:szCs w:val="21"/>
        </w:rPr>
      </w:pPr>
      <w:r>
        <w:rPr>
          <w:rFonts w:hint="eastAsia" w:ascii="宋体" w:hAnsi="宋体" w:cs="宋体"/>
          <w:szCs w:val="21"/>
        </w:rPr>
        <w:t>当院方的主机设备发生故障需要检修时，结出一套快捷、行之有效的方法，帮助尽快解决问题，具体如下：</w:t>
      </w:r>
    </w:p>
    <w:p>
      <w:pPr>
        <w:numPr>
          <w:ilvl w:val="0"/>
          <w:numId w:val="4"/>
        </w:numPr>
        <w:spacing w:line="360" w:lineRule="auto"/>
        <w:rPr>
          <w:rFonts w:ascii="宋体" w:hAnsi="宋体" w:cs="宋体"/>
          <w:szCs w:val="21"/>
        </w:rPr>
      </w:pPr>
      <w:r>
        <w:rPr>
          <w:rFonts w:hint="eastAsia" w:ascii="宋体" w:hAnsi="宋体" w:cs="宋体"/>
          <w:szCs w:val="21"/>
        </w:rPr>
        <w:t>诊断故障并提交故障诊断报告</w:t>
      </w:r>
    </w:p>
    <w:p>
      <w:pPr>
        <w:spacing w:line="360" w:lineRule="auto"/>
        <w:ind w:firstLine="420"/>
        <w:rPr>
          <w:rFonts w:ascii="宋体" w:hAnsi="宋体" w:cs="宋体"/>
          <w:szCs w:val="21"/>
        </w:rPr>
      </w:pPr>
      <w:r>
        <w:rPr>
          <w:rFonts w:hint="eastAsia" w:ascii="宋体" w:hAnsi="宋体" w:cs="宋体"/>
          <w:szCs w:val="21"/>
        </w:rPr>
        <w:t>根据系统运行过程中出现的系统故障或其它异常情况，及时进行故障诊断，并提出故障诊断报告。故障诊断报告的主要内容包括：故障现场情况记录、故障的级别和紧急处理过程记录等。</w:t>
      </w:r>
    </w:p>
    <w:p>
      <w:pPr>
        <w:numPr>
          <w:ilvl w:val="0"/>
          <w:numId w:val="4"/>
        </w:numPr>
        <w:spacing w:line="360" w:lineRule="auto"/>
        <w:rPr>
          <w:rFonts w:ascii="宋体" w:hAnsi="宋体" w:cs="宋体"/>
          <w:szCs w:val="21"/>
        </w:rPr>
      </w:pPr>
      <w:r>
        <w:rPr>
          <w:rFonts w:hint="eastAsia" w:ascii="宋体" w:hAnsi="宋体" w:cs="宋体"/>
          <w:szCs w:val="21"/>
        </w:rPr>
        <w:t>制定系统维护和故障恢复的实施计划</w:t>
      </w:r>
    </w:p>
    <w:p>
      <w:pPr>
        <w:spacing w:line="360" w:lineRule="auto"/>
        <w:ind w:firstLine="420"/>
        <w:rPr>
          <w:rFonts w:ascii="宋体" w:hAnsi="宋体" w:cs="宋体"/>
          <w:szCs w:val="21"/>
        </w:rPr>
      </w:pPr>
      <w:r>
        <w:rPr>
          <w:rFonts w:hint="eastAsia" w:ascii="宋体" w:hAnsi="宋体" w:cs="宋体"/>
          <w:szCs w:val="21"/>
        </w:rPr>
        <w:t>根据提交的故障诊断报告，制定系统维护和故障恢复的实施计划。按照制定的计划实施系统维护工作。</w:t>
      </w:r>
    </w:p>
    <w:p>
      <w:pPr>
        <w:numPr>
          <w:ilvl w:val="0"/>
          <w:numId w:val="4"/>
        </w:numPr>
        <w:spacing w:line="360" w:lineRule="auto"/>
        <w:rPr>
          <w:rFonts w:ascii="宋体" w:hAnsi="宋体" w:cs="宋体"/>
          <w:szCs w:val="21"/>
        </w:rPr>
      </w:pPr>
      <w:r>
        <w:rPr>
          <w:rFonts w:hint="eastAsia" w:ascii="宋体" w:hAnsi="宋体" w:cs="宋体"/>
          <w:szCs w:val="21"/>
        </w:rPr>
        <w:t>管理、监督维护计划的实施</w:t>
      </w:r>
    </w:p>
    <w:p>
      <w:pPr>
        <w:spacing w:line="360" w:lineRule="auto"/>
        <w:ind w:firstLine="420"/>
        <w:rPr>
          <w:rFonts w:ascii="宋体" w:hAnsi="宋体" w:cs="宋体"/>
          <w:szCs w:val="21"/>
        </w:rPr>
      </w:pPr>
      <w:r>
        <w:rPr>
          <w:rFonts w:hint="eastAsia" w:ascii="宋体" w:hAnsi="宋体" w:cs="宋体"/>
          <w:szCs w:val="21"/>
        </w:rPr>
        <w:t>组成系统维护工程管理和监督工作组，全面负责管理和监督系统维护工作实施过程，并根据系统维护实施的各个阶段提交维护工作报告。</w:t>
      </w:r>
    </w:p>
    <w:p>
      <w:pPr>
        <w:numPr>
          <w:ilvl w:val="0"/>
          <w:numId w:val="4"/>
        </w:numPr>
        <w:spacing w:line="360" w:lineRule="auto"/>
        <w:rPr>
          <w:rFonts w:ascii="宋体" w:hAnsi="宋体" w:cs="宋体"/>
          <w:szCs w:val="21"/>
        </w:rPr>
      </w:pPr>
      <w:r>
        <w:rPr>
          <w:rFonts w:hint="eastAsia" w:ascii="宋体" w:hAnsi="宋体" w:cs="宋体"/>
          <w:szCs w:val="21"/>
        </w:rPr>
        <w:t>确认维护工作完成并提交维护报告</w:t>
      </w:r>
    </w:p>
    <w:p>
      <w:pPr>
        <w:spacing w:line="360" w:lineRule="auto"/>
        <w:ind w:firstLine="420"/>
        <w:rPr>
          <w:rFonts w:ascii="宋体" w:hAnsi="宋体" w:cs="宋体"/>
          <w:szCs w:val="21"/>
        </w:rPr>
      </w:pPr>
      <w:r>
        <w:rPr>
          <w:rFonts w:hint="eastAsia" w:ascii="宋体" w:hAnsi="宋体" w:cs="宋体"/>
          <w:szCs w:val="21"/>
        </w:rPr>
        <w:t>在系统维护工作完成后，由系统维护人员提交系统维护工作报告，由用院方项目组成的技术人员对系统维护情况进行测试并予以确认。</w:t>
      </w:r>
    </w:p>
    <w:p>
      <w:pPr>
        <w:numPr>
          <w:ilvl w:val="0"/>
          <w:numId w:val="4"/>
        </w:numPr>
        <w:spacing w:line="360" w:lineRule="auto"/>
        <w:rPr>
          <w:rFonts w:ascii="宋体" w:hAnsi="宋体" w:cs="宋体"/>
          <w:szCs w:val="21"/>
        </w:rPr>
      </w:pPr>
      <w:r>
        <w:rPr>
          <w:rFonts w:hint="eastAsia" w:ascii="宋体" w:hAnsi="宋体" w:cs="宋体"/>
          <w:szCs w:val="21"/>
        </w:rPr>
        <w:t>提交结果</w:t>
      </w:r>
    </w:p>
    <w:p>
      <w:pPr>
        <w:spacing w:line="360" w:lineRule="auto"/>
        <w:ind w:firstLine="420"/>
        <w:rPr>
          <w:rFonts w:ascii="宋体" w:hAnsi="宋体" w:cs="宋体"/>
          <w:szCs w:val="21"/>
        </w:rPr>
      </w:pPr>
      <w:r>
        <w:rPr>
          <w:rFonts w:hint="eastAsia" w:ascii="宋体" w:hAnsi="宋体" w:cs="宋体"/>
          <w:szCs w:val="21"/>
        </w:rPr>
        <w:t>系统维护工作完成后，都应提交报告、记录等文档资料。</w:t>
      </w:r>
    </w:p>
    <w:p>
      <w:pPr>
        <w:numPr>
          <w:ilvl w:val="0"/>
          <w:numId w:val="4"/>
        </w:numPr>
        <w:spacing w:line="360" w:lineRule="auto"/>
        <w:rPr>
          <w:rFonts w:ascii="宋体" w:hAnsi="宋体" w:cs="宋体"/>
          <w:szCs w:val="21"/>
        </w:rPr>
      </w:pPr>
      <w:r>
        <w:rPr>
          <w:rFonts w:hint="eastAsia" w:ascii="宋体" w:hAnsi="宋体" w:cs="宋体"/>
          <w:szCs w:val="21"/>
        </w:rPr>
        <w:t>故障资料</w:t>
      </w:r>
    </w:p>
    <w:p>
      <w:pPr>
        <w:numPr>
          <w:ilvl w:val="1"/>
          <w:numId w:val="4"/>
        </w:numPr>
        <w:spacing w:line="360" w:lineRule="auto"/>
        <w:rPr>
          <w:rFonts w:ascii="宋体" w:hAnsi="宋体" w:cs="宋体"/>
          <w:szCs w:val="21"/>
        </w:rPr>
      </w:pPr>
      <w:r>
        <w:rPr>
          <w:rFonts w:hint="eastAsia" w:ascii="宋体" w:hAnsi="宋体" w:cs="宋体"/>
          <w:szCs w:val="21"/>
        </w:rPr>
        <w:t>系统维护和故障恢复的实施计划；</w:t>
      </w:r>
    </w:p>
    <w:p>
      <w:pPr>
        <w:numPr>
          <w:ilvl w:val="1"/>
          <w:numId w:val="4"/>
        </w:numPr>
        <w:spacing w:line="360" w:lineRule="auto"/>
        <w:rPr>
          <w:rFonts w:ascii="宋体" w:hAnsi="宋体" w:cs="宋体"/>
          <w:szCs w:val="21"/>
        </w:rPr>
      </w:pPr>
      <w:r>
        <w:rPr>
          <w:rFonts w:hint="eastAsia" w:ascii="宋体" w:hAnsi="宋体" w:cs="宋体"/>
          <w:szCs w:val="21"/>
        </w:rPr>
        <w:t>维护工作阶段报告；</w:t>
      </w:r>
    </w:p>
    <w:p>
      <w:pPr>
        <w:numPr>
          <w:ilvl w:val="1"/>
          <w:numId w:val="4"/>
        </w:numPr>
        <w:spacing w:line="360" w:lineRule="auto"/>
        <w:rPr>
          <w:rFonts w:ascii="宋体" w:hAnsi="宋体" w:cs="宋体"/>
          <w:szCs w:val="21"/>
        </w:rPr>
      </w:pPr>
      <w:r>
        <w:rPr>
          <w:rFonts w:hint="eastAsia" w:ascii="宋体" w:hAnsi="宋体" w:cs="宋体"/>
          <w:szCs w:val="21"/>
        </w:rPr>
        <w:t>系统维护工作报告。</w:t>
      </w:r>
    </w:p>
    <w:p>
      <w:pPr>
        <w:numPr>
          <w:ilvl w:val="0"/>
          <w:numId w:val="4"/>
        </w:numPr>
        <w:spacing w:line="360" w:lineRule="auto"/>
        <w:rPr>
          <w:rFonts w:ascii="宋体" w:hAnsi="宋体" w:cs="宋体"/>
          <w:szCs w:val="21"/>
        </w:rPr>
      </w:pPr>
      <w:r>
        <w:rPr>
          <w:rFonts w:hint="eastAsia" w:ascii="宋体" w:hAnsi="宋体" w:cs="宋体"/>
          <w:szCs w:val="21"/>
        </w:rPr>
        <w:t>验收</w:t>
      </w:r>
    </w:p>
    <w:p>
      <w:pPr>
        <w:spacing w:line="360" w:lineRule="auto"/>
        <w:ind w:firstLine="420"/>
        <w:rPr>
          <w:rFonts w:ascii="宋体" w:hAnsi="宋体" w:cs="宋体"/>
          <w:szCs w:val="21"/>
        </w:rPr>
      </w:pPr>
      <w:r>
        <w:rPr>
          <w:rFonts w:hint="eastAsia" w:ascii="宋体" w:hAnsi="宋体" w:cs="宋体"/>
          <w:szCs w:val="21"/>
        </w:rPr>
        <w:t>根据故障诊断报告、系统维护和故障恢复的实施计划、维护工作阶段报告和系统维护工作报告，和院方共同制定测试计划，并依此为据进行测试，提交测试报告和验收报告。</w:t>
      </w:r>
    </w:p>
    <w:p>
      <w:pPr>
        <w:numPr>
          <w:ilvl w:val="0"/>
          <w:numId w:val="4"/>
        </w:numPr>
        <w:spacing w:line="360" w:lineRule="auto"/>
        <w:rPr>
          <w:rFonts w:ascii="宋体" w:hAnsi="宋体" w:cs="宋体"/>
          <w:szCs w:val="21"/>
        </w:rPr>
      </w:pPr>
      <w:r>
        <w:rPr>
          <w:rFonts w:hint="eastAsia" w:ascii="宋体" w:hAnsi="宋体" w:cs="宋体"/>
          <w:szCs w:val="21"/>
        </w:rPr>
        <w:t>提供技术支持热线</w:t>
      </w:r>
    </w:p>
    <w:p>
      <w:pPr>
        <w:spacing w:line="360" w:lineRule="auto"/>
        <w:ind w:firstLine="420"/>
        <w:rPr>
          <w:rFonts w:ascii="宋体" w:hAnsi="宋体" w:cs="宋体"/>
          <w:szCs w:val="21"/>
        </w:rPr>
      </w:pPr>
      <w:r>
        <w:rPr>
          <w:rFonts w:hint="eastAsia" w:ascii="宋体" w:hAnsi="宋体" w:cs="宋体"/>
          <w:szCs w:val="21"/>
        </w:rPr>
        <w:t>为了更好的服务于院方，提供技术支持热线，方便用户可以及时联络服务工程师。</w:t>
      </w:r>
    </w:p>
    <w:p>
      <w:pPr>
        <w:snapToGrid w:val="0"/>
        <w:spacing w:line="360" w:lineRule="auto"/>
        <w:ind w:firstLine="420" w:firstLineChars="200"/>
        <w:rPr>
          <w:rFonts w:ascii="宋体" w:hAnsi="宋体" w:cs="宋体"/>
        </w:rPr>
      </w:pPr>
    </w:p>
    <w:p>
      <w:pPr>
        <w:pStyle w:val="5"/>
      </w:pPr>
      <w:bookmarkStart w:id="23" w:name="_Toc134461617"/>
      <w:bookmarkStart w:id="24" w:name="_Toc20993"/>
      <w:r>
        <w:rPr>
          <w:rFonts w:hint="eastAsia"/>
        </w:rPr>
        <w:t>6.3</w:t>
      </w:r>
      <w:r>
        <w:t>服务级别</w:t>
      </w:r>
      <w:bookmarkEnd w:id="23"/>
      <w:bookmarkEnd w:id="24"/>
    </w:p>
    <w:p>
      <w:pPr>
        <w:spacing w:line="360" w:lineRule="auto"/>
        <w:ind w:firstLine="420"/>
      </w:pPr>
      <w:r>
        <w:rPr>
          <w:rFonts w:hint="eastAsia"/>
        </w:rPr>
        <w:t>监控级别应急响应标准</w:t>
      </w:r>
    </w:p>
    <w:p>
      <w:pPr>
        <w:spacing w:line="360" w:lineRule="auto"/>
        <w:ind w:firstLine="420"/>
      </w:pPr>
      <w:r>
        <w:rPr>
          <w:rFonts w:hint="eastAsia"/>
        </w:rPr>
        <w:t>一级（紧急问题）：15分钟内响应，0.5小时内工程师上门处理，1小时内解决问题，如无法解决问题，提供应急设备或应急备品备件解决现阶段存在问题，共同展开紧急安全技术研讨会。</w:t>
      </w:r>
    </w:p>
    <w:p>
      <w:pPr>
        <w:spacing w:line="360" w:lineRule="auto"/>
        <w:ind w:firstLine="420"/>
      </w:pPr>
      <w:r>
        <w:rPr>
          <w:rFonts w:hint="eastAsia"/>
        </w:rPr>
        <w:t>二级（严重问题）：0.5小时内响应，1小时内工程师上门处理，2小时内解决问题，如无法解决问题，提供应急设备或应急备品备件解决现阶段存在问题。</w:t>
      </w:r>
    </w:p>
    <w:p>
      <w:pPr>
        <w:spacing w:line="360" w:lineRule="auto"/>
        <w:ind w:firstLine="420"/>
      </w:pPr>
      <w:r>
        <w:rPr>
          <w:rFonts w:hint="eastAsia"/>
        </w:rPr>
        <w:t>三级（较严重问题）：1小时内响应，2小时内工程师远程协助确定问题，12小时内解决问题，如无法解决问题，24小时内工程师上门处理。</w:t>
      </w:r>
    </w:p>
    <w:p>
      <w:pPr>
        <w:spacing w:line="360" w:lineRule="auto"/>
        <w:ind w:firstLine="420"/>
      </w:pPr>
      <w:r>
        <w:rPr>
          <w:rFonts w:hint="eastAsia"/>
        </w:rPr>
        <w:t>四级（普通问题）：2小时内响应，12小时内工程师远程协助确定问题，或由工程师在线会议解答疑难杂症。</w:t>
      </w:r>
    </w:p>
    <w:p>
      <w:pPr>
        <w:pStyle w:val="4"/>
        <w:numPr>
          <w:ilvl w:val="0"/>
          <w:numId w:val="3"/>
        </w:numPr>
        <w:rPr>
          <w:rFonts w:hint="eastAsia" w:ascii="宋体" w:hAnsi="宋体"/>
        </w:rPr>
      </w:pPr>
      <w:r>
        <w:rPr>
          <w:rFonts w:hint="eastAsia" w:ascii="宋体" w:hAnsi="宋体"/>
        </w:rPr>
        <w:t>付款方式</w:t>
      </w:r>
    </w:p>
    <w:p>
      <w:pPr>
        <w:pStyle w:val="5"/>
        <w:rPr>
          <w:rFonts w:hint="eastAsia"/>
        </w:rPr>
      </w:pPr>
      <w:r>
        <w:rPr>
          <w:rFonts w:hint="eastAsia"/>
        </w:rPr>
        <w:t>7.1 付款方式</w:t>
      </w:r>
    </w:p>
    <w:p>
      <w:pPr>
        <w:spacing w:line="360" w:lineRule="auto"/>
        <w:ind w:firstLine="420"/>
        <w:rPr>
          <w:rFonts w:hint="eastAsia"/>
        </w:rPr>
      </w:pPr>
      <w:r>
        <w:rPr>
          <w:rFonts w:hint="eastAsia"/>
        </w:rPr>
        <w:t>甲方将按如下方式向乙方支付合同费用：</w:t>
      </w:r>
    </w:p>
    <w:p>
      <w:pPr>
        <w:spacing w:line="360" w:lineRule="auto"/>
        <w:ind w:firstLine="420"/>
        <w:rPr>
          <w:rFonts w:hint="eastAsia"/>
        </w:rPr>
      </w:pPr>
      <w:r>
        <w:rPr>
          <w:rFonts w:hint="eastAsia"/>
        </w:rPr>
        <w:t>（一）合同签订后，甲方在收到乙方开具相应金额正式发票后，向乙方支付合同总金额的30%。</w:t>
      </w:r>
    </w:p>
    <w:p>
      <w:pPr>
        <w:spacing w:line="360" w:lineRule="auto"/>
        <w:ind w:firstLine="420"/>
        <w:rPr>
          <w:rFonts w:hint="eastAsia"/>
        </w:rPr>
      </w:pPr>
      <w:r>
        <w:rPr>
          <w:rFonts w:hint="eastAsia"/>
        </w:rPr>
        <w:t>（二）项目通过验收后，甲方在收到乙方开具相应金额正式发票以及售后服务履约承诺函后，向乙方支付至合同金额的</w:t>
      </w:r>
      <w:r>
        <w:rPr>
          <w:rFonts w:hint="eastAsia"/>
          <w:lang w:val="en-US" w:eastAsia="zh-CN"/>
        </w:rPr>
        <w:t>100</w:t>
      </w:r>
      <w:r>
        <w:rPr>
          <w:rFonts w:hint="eastAsia"/>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B0604020202020204"/>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1</w:t>
    </w:r>
    <w:r>
      <w:rPr>
        <w:caps/>
        <w:color w:val="5B9BD5"/>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4"/>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7"/>
      <w:lvlText w:val="5.1.1.%4"/>
      <w:lvlJc w:val="left"/>
      <w:pPr>
        <w:ind w:left="864" w:hanging="864"/>
      </w:pPr>
      <w:rPr>
        <w:rFonts w:hint="eastAsia"/>
      </w:rPr>
    </w:lvl>
    <w:lvl w:ilvl="4" w:tentative="0">
      <w:start w:val="1"/>
      <w:numFmt w:val="decimal"/>
      <w:pStyle w:val="8"/>
      <w:lvlText w:val="5.1.1.1.%5"/>
      <w:lvlJc w:val="left"/>
      <w:pPr>
        <w:ind w:left="2142"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424A4138"/>
    <w:multiLevelType w:val="multilevel"/>
    <w:tmpl w:val="424A4138"/>
    <w:lvl w:ilvl="0" w:tentative="0">
      <w:start w:val="1"/>
      <w:numFmt w:val="chineseCountingThousand"/>
      <w:lvlText w:val="%1."/>
      <w:lvlJc w:val="left"/>
      <w:pPr>
        <w:ind w:left="432" w:hanging="432"/>
      </w:pPr>
      <w:rPr>
        <w:rFonts w:hint="eastAsia"/>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
    <w:nsid w:val="5A373560"/>
    <w:multiLevelType w:val="multilevel"/>
    <w:tmpl w:val="5A373560"/>
    <w:lvl w:ilvl="0" w:tentative="0">
      <w:start w:val="1"/>
      <w:numFmt w:val="decimal"/>
      <w:lvlText w:val="%1."/>
      <w:lvlJc w:val="left"/>
      <w:pPr>
        <w:tabs>
          <w:tab w:val="left" w:pos="900"/>
        </w:tabs>
        <w:ind w:left="900" w:hanging="420"/>
      </w:p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4OGZiZTQ0YTE3OTJkYWVhZjcyNDNjZTQ0NTkzN2IifQ=="/>
  </w:docVars>
  <w:rsids>
    <w:rsidRoot w:val="00303343"/>
    <w:rsid w:val="000039BE"/>
    <w:rsid w:val="000051D2"/>
    <w:rsid w:val="000079DD"/>
    <w:rsid w:val="00012DCC"/>
    <w:rsid w:val="00016B63"/>
    <w:rsid w:val="0004334E"/>
    <w:rsid w:val="00046B39"/>
    <w:rsid w:val="00054706"/>
    <w:rsid w:val="0005793D"/>
    <w:rsid w:val="00066DE7"/>
    <w:rsid w:val="00074EDD"/>
    <w:rsid w:val="00086AE0"/>
    <w:rsid w:val="00090A18"/>
    <w:rsid w:val="00097CFB"/>
    <w:rsid w:val="000B2054"/>
    <w:rsid w:val="000B41B7"/>
    <w:rsid w:val="000C12F3"/>
    <w:rsid w:val="000D5317"/>
    <w:rsid w:val="000E276C"/>
    <w:rsid w:val="00106D68"/>
    <w:rsid w:val="001106CE"/>
    <w:rsid w:val="001107F8"/>
    <w:rsid w:val="001116F6"/>
    <w:rsid w:val="00114FDF"/>
    <w:rsid w:val="00121E40"/>
    <w:rsid w:val="0012322D"/>
    <w:rsid w:val="00123FCC"/>
    <w:rsid w:val="00125ABC"/>
    <w:rsid w:val="00135BF9"/>
    <w:rsid w:val="001365DD"/>
    <w:rsid w:val="00136606"/>
    <w:rsid w:val="00140E0C"/>
    <w:rsid w:val="0014437A"/>
    <w:rsid w:val="00153AB3"/>
    <w:rsid w:val="0016173F"/>
    <w:rsid w:val="00162D29"/>
    <w:rsid w:val="00164878"/>
    <w:rsid w:val="00165091"/>
    <w:rsid w:val="00167B49"/>
    <w:rsid w:val="00171903"/>
    <w:rsid w:val="00174C12"/>
    <w:rsid w:val="0018200C"/>
    <w:rsid w:val="001833B6"/>
    <w:rsid w:val="00190CD2"/>
    <w:rsid w:val="00192955"/>
    <w:rsid w:val="001953F6"/>
    <w:rsid w:val="001A22A1"/>
    <w:rsid w:val="001A61EA"/>
    <w:rsid w:val="001B4850"/>
    <w:rsid w:val="001B7966"/>
    <w:rsid w:val="001B7D79"/>
    <w:rsid w:val="001C23B3"/>
    <w:rsid w:val="001C7BC6"/>
    <w:rsid w:val="001D28C9"/>
    <w:rsid w:val="001D7749"/>
    <w:rsid w:val="001E3B38"/>
    <w:rsid w:val="00200054"/>
    <w:rsid w:val="002000DE"/>
    <w:rsid w:val="00202EFF"/>
    <w:rsid w:val="0020509F"/>
    <w:rsid w:val="00207A96"/>
    <w:rsid w:val="0021146F"/>
    <w:rsid w:val="00214A6F"/>
    <w:rsid w:val="00221F1F"/>
    <w:rsid w:val="00223E47"/>
    <w:rsid w:val="00234361"/>
    <w:rsid w:val="00241D77"/>
    <w:rsid w:val="002509F5"/>
    <w:rsid w:val="002535AA"/>
    <w:rsid w:val="00261CBC"/>
    <w:rsid w:val="00265DE7"/>
    <w:rsid w:val="00270260"/>
    <w:rsid w:val="002722CA"/>
    <w:rsid w:val="0028229A"/>
    <w:rsid w:val="002834D3"/>
    <w:rsid w:val="00283A51"/>
    <w:rsid w:val="002853BF"/>
    <w:rsid w:val="00292528"/>
    <w:rsid w:val="00295463"/>
    <w:rsid w:val="002A01D6"/>
    <w:rsid w:val="002A4778"/>
    <w:rsid w:val="002B7464"/>
    <w:rsid w:val="002C53D1"/>
    <w:rsid w:val="002D6BE1"/>
    <w:rsid w:val="002F15F7"/>
    <w:rsid w:val="002F31F1"/>
    <w:rsid w:val="003024F8"/>
    <w:rsid w:val="00303343"/>
    <w:rsid w:val="00303CAB"/>
    <w:rsid w:val="003042A2"/>
    <w:rsid w:val="00304636"/>
    <w:rsid w:val="00311322"/>
    <w:rsid w:val="00314A5A"/>
    <w:rsid w:val="00322973"/>
    <w:rsid w:val="0032765D"/>
    <w:rsid w:val="003325F0"/>
    <w:rsid w:val="00341038"/>
    <w:rsid w:val="00352E7C"/>
    <w:rsid w:val="00353276"/>
    <w:rsid w:val="00366980"/>
    <w:rsid w:val="003802E2"/>
    <w:rsid w:val="00385E95"/>
    <w:rsid w:val="00385FED"/>
    <w:rsid w:val="00397B7E"/>
    <w:rsid w:val="003A7269"/>
    <w:rsid w:val="003C0FB7"/>
    <w:rsid w:val="003C6D81"/>
    <w:rsid w:val="003D0F80"/>
    <w:rsid w:val="003D2595"/>
    <w:rsid w:val="003E7083"/>
    <w:rsid w:val="003F629F"/>
    <w:rsid w:val="00403938"/>
    <w:rsid w:val="00413DA3"/>
    <w:rsid w:val="00414171"/>
    <w:rsid w:val="004142E1"/>
    <w:rsid w:val="0041787F"/>
    <w:rsid w:val="00423450"/>
    <w:rsid w:val="0042702D"/>
    <w:rsid w:val="00435C81"/>
    <w:rsid w:val="00440F72"/>
    <w:rsid w:val="0044519F"/>
    <w:rsid w:val="004565AA"/>
    <w:rsid w:val="00456A2C"/>
    <w:rsid w:val="004630DC"/>
    <w:rsid w:val="00474AE0"/>
    <w:rsid w:val="0047796F"/>
    <w:rsid w:val="00482931"/>
    <w:rsid w:val="00495574"/>
    <w:rsid w:val="00497FA3"/>
    <w:rsid w:val="004A44FF"/>
    <w:rsid w:val="004C2C5B"/>
    <w:rsid w:val="004E2D8F"/>
    <w:rsid w:val="004E5E61"/>
    <w:rsid w:val="004F1174"/>
    <w:rsid w:val="004F1410"/>
    <w:rsid w:val="00500264"/>
    <w:rsid w:val="00510152"/>
    <w:rsid w:val="00510B1E"/>
    <w:rsid w:val="005120A9"/>
    <w:rsid w:val="00517D7C"/>
    <w:rsid w:val="00520646"/>
    <w:rsid w:val="0052176F"/>
    <w:rsid w:val="0052604B"/>
    <w:rsid w:val="0053088D"/>
    <w:rsid w:val="00534BF6"/>
    <w:rsid w:val="00537CDE"/>
    <w:rsid w:val="005409FC"/>
    <w:rsid w:val="005563D3"/>
    <w:rsid w:val="0056778C"/>
    <w:rsid w:val="00575F76"/>
    <w:rsid w:val="005766CE"/>
    <w:rsid w:val="00580F0E"/>
    <w:rsid w:val="00587A55"/>
    <w:rsid w:val="00591388"/>
    <w:rsid w:val="0059358B"/>
    <w:rsid w:val="005944F9"/>
    <w:rsid w:val="00596428"/>
    <w:rsid w:val="00596CC5"/>
    <w:rsid w:val="005A4D1C"/>
    <w:rsid w:val="005B046D"/>
    <w:rsid w:val="005B14DC"/>
    <w:rsid w:val="005B33AE"/>
    <w:rsid w:val="005C49D7"/>
    <w:rsid w:val="005C60FB"/>
    <w:rsid w:val="005C7EF5"/>
    <w:rsid w:val="005D1C7F"/>
    <w:rsid w:val="005D2402"/>
    <w:rsid w:val="005D2BF6"/>
    <w:rsid w:val="005E7C53"/>
    <w:rsid w:val="005F0356"/>
    <w:rsid w:val="005F44C8"/>
    <w:rsid w:val="005F73BC"/>
    <w:rsid w:val="00600923"/>
    <w:rsid w:val="0060333A"/>
    <w:rsid w:val="006053FC"/>
    <w:rsid w:val="00607029"/>
    <w:rsid w:val="00612F3F"/>
    <w:rsid w:val="00623637"/>
    <w:rsid w:val="006279C6"/>
    <w:rsid w:val="00644F1D"/>
    <w:rsid w:val="00646B59"/>
    <w:rsid w:val="006520EC"/>
    <w:rsid w:val="006604C2"/>
    <w:rsid w:val="0067618A"/>
    <w:rsid w:val="006861F5"/>
    <w:rsid w:val="00697FBB"/>
    <w:rsid w:val="006A41D5"/>
    <w:rsid w:val="006A776B"/>
    <w:rsid w:val="006B2085"/>
    <w:rsid w:val="006B21B8"/>
    <w:rsid w:val="006B7B58"/>
    <w:rsid w:val="006C36EB"/>
    <w:rsid w:val="006C3FD0"/>
    <w:rsid w:val="006D4B15"/>
    <w:rsid w:val="006D59F7"/>
    <w:rsid w:val="006E5E07"/>
    <w:rsid w:val="006F0434"/>
    <w:rsid w:val="00701D12"/>
    <w:rsid w:val="0070239F"/>
    <w:rsid w:val="00712244"/>
    <w:rsid w:val="0072309C"/>
    <w:rsid w:val="0072695B"/>
    <w:rsid w:val="0074224C"/>
    <w:rsid w:val="00750A70"/>
    <w:rsid w:val="00752912"/>
    <w:rsid w:val="007556BE"/>
    <w:rsid w:val="007621CC"/>
    <w:rsid w:val="0076668A"/>
    <w:rsid w:val="00773660"/>
    <w:rsid w:val="007821DD"/>
    <w:rsid w:val="00784C08"/>
    <w:rsid w:val="00785EDF"/>
    <w:rsid w:val="00786A29"/>
    <w:rsid w:val="00793B09"/>
    <w:rsid w:val="00795F59"/>
    <w:rsid w:val="007C0A5B"/>
    <w:rsid w:val="007D22AB"/>
    <w:rsid w:val="007D6072"/>
    <w:rsid w:val="007D627A"/>
    <w:rsid w:val="007E71E6"/>
    <w:rsid w:val="007F5726"/>
    <w:rsid w:val="008168FB"/>
    <w:rsid w:val="00822BA6"/>
    <w:rsid w:val="008419E9"/>
    <w:rsid w:val="00853A40"/>
    <w:rsid w:val="008548FB"/>
    <w:rsid w:val="008623FD"/>
    <w:rsid w:val="00862439"/>
    <w:rsid w:val="00866774"/>
    <w:rsid w:val="00873B97"/>
    <w:rsid w:val="008A62AC"/>
    <w:rsid w:val="008B2206"/>
    <w:rsid w:val="008C255D"/>
    <w:rsid w:val="008D3291"/>
    <w:rsid w:val="008D59AA"/>
    <w:rsid w:val="008E145D"/>
    <w:rsid w:val="008E2B56"/>
    <w:rsid w:val="008F49D1"/>
    <w:rsid w:val="00900232"/>
    <w:rsid w:val="00900BAA"/>
    <w:rsid w:val="00903734"/>
    <w:rsid w:val="00903878"/>
    <w:rsid w:val="00903CF6"/>
    <w:rsid w:val="009052C7"/>
    <w:rsid w:val="00905FFA"/>
    <w:rsid w:val="00907B0A"/>
    <w:rsid w:val="0092017A"/>
    <w:rsid w:val="00922032"/>
    <w:rsid w:val="00925C23"/>
    <w:rsid w:val="00927E08"/>
    <w:rsid w:val="009303FA"/>
    <w:rsid w:val="00943004"/>
    <w:rsid w:val="00953633"/>
    <w:rsid w:val="00966A88"/>
    <w:rsid w:val="00973A47"/>
    <w:rsid w:val="00981ED8"/>
    <w:rsid w:val="00982AA3"/>
    <w:rsid w:val="009863EF"/>
    <w:rsid w:val="00986A41"/>
    <w:rsid w:val="0098719A"/>
    <w:rsid w:val="00991FF2"/>
    <w:rsid w:val="0099315B"/>
    <w:rsid w:val="009953D4"/>
    <w:rsid w:val="00995DD9"/>
    <w:rsid w:val="009B3363"/>
    <w:rsid w:val="009C1F02"/>
    <w:rsid w:val="009C3783"/>
    <w:rsid w:val="009C4E7E"/>
    <w:rsid w:val="009D6951"/>
    <w:rsid w:val="009D7DD1"/>
    <w:rsid w:val="009E0351"/>
    <w:rsid w:val="009E214B"/>
    <w:rsid w:val="009E53AF"/>
    <w:rsid w:val="009F0270"/>
    <w:rsid w:val="009F61FA"/>
    <w:rsid w:val="00A02846"/>
    <w:rsid w:val="00A05796"/>
    <w:rsid w:val="00A13CB0"/>
    <w:rsid w:val="00A14FD8"/>
    <w:rsid w:val="00A22CA1"/>
    <w:rsid w:val="00A43A49"/>
    <w:rsid w:val="00A4595D"/>
    <w:rsid w:val="00A50270"/>
    <w:rsid w:val="00A51146"/>
    <w:rsid w:val="00A61D3A"/>
    <w:rsid w:val="00A66833"/>
    <w:rsid w:val="00A70DCF"/>
    <w:rsid w:val="00A72437"/>
    <w:rsid w:val="00A73FDF"/>
    <w:rsid w:val="00A8355E"/>
    <w:rsid w:val="00A870DD"/>
    <w:rsid w:val="00A95A20"/>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2253"/>
    <w:rsid w:val="00B352BF"/>
    <w:rsid w:val="00B36BD9"/>
    <w:rsid w:val="00B418FF"/>
    <w:rsid w:val="00B41A4C"/>
    <w:rsid w:val="00B43095"/>
    <w:rsid w:val="00B446CA"/>
    <w:rsid w:val="00B44DF5"/>
    <w:rsid w:val="00B5093C"/>
    <w:rsid w:val="00B54356"/>
    <w:rsid w:val="00B55FE5"/>
    <w:rsid w:val="00B56C67"/>
    <w:rsid w:val="00B6170F"/>
    <w:rsid w:val="00B62917"/>
    <w:rsid w:val="00B74609"/>
    <w:rsid w:val="00B752B2"/>
    <w:rsid w:val="00B80E39"/>
    <w:rsid w:val="00B824A5"/>
    <w:rsid w:val="00B829DD"/>
    <w:rsid w:val="00B8588F"/>
    <w:rsid w:val="00B858F1"/>
    <w:rsid w:val="00B8684C"/>
    <w:rsid w:val="00B94452"/>
    <w:rsid w:val="00BA5A2D"/>
    <w:rsid w:val="00BA5B8F"/>
    <w:rsid w:val="00BB2B54"/>
    <w:rsid w:val="00BB637D"/>
    <w:rsid w:val="00BC3CA1"/>
    <w:rsid w:val="00BC49E5"/>
    <w:rsid w:val="00BC7857"/>
    <w:rsid w:val="00BD3194"/>
    <w:rsid w:val="00BD5FA8"/>
    <w:rsid w:val="00BE23E5"/>
    <w:rsid w:val="00BE31E6"/>
    <w:rsid w:val="00BE396A"/>
    <w:rsid w:val="00BF757E"/>
    <w:rsid w:val="00BF7C0E"/>
    <w:rsid w:val="00BF7F5A"/>
    <w:rsid w:val="00C100E1"/>
    <w:rsid w:val="00C1369D"/>
    <w:rsid w:val="00C17719"/>
    <w:rsid w:val="00C2470A"/>
    <w:rsid w:val="00C335D8"/>
    <w:rsid w:val="00C50E12"/>
    <w:rsid w:val="00C54491"/>
    <w:rsid w:val="00C576C7"/>
    <w:rsid w:val="00C71B43"/>
    <w:rsid w:val="00C737B4"/>
    <w:rsid w:val="00C74D8F"/>
    <w:rsid w:val="00C751A9"/>
    <w:rsid w:val="00C766DD"/>
    <w:rsid w:val="00C76BDF"/>
    <w:rsid w:val="00C775CE"/>
    <w:rsid w:val="00C8030E"/>
    <w:rsid w:val="00C8225C"/>
    <w:rsid w:val="00C91697"/>
    <w:rsid w:val="00C92EAA"/>
    <w:rsid w:val="00C9392F"/>
    <w:rsid w:val="00CA148F"/>
    <w:rsid w:val="00CA29F9"/>
    <w:rsid w:val="00CB6B73"/>
    <w:rsid w:val="00CC218D"/>
    <w:rsid w:val="00CC6334"/>
    <w:rsid w:val="00CC677A"/>
    <w:rsid w:val="00CD008E"/>
    <w:rsid w:val="00CD2081"/>
    <w:rsid w:val="00CD6EDC"/>
    <w:rsid w:val="00CE2D1F"/>
    <w:rsid w:val="00CE6C93"/>
    <w:rsid w:val="00CF1561"/>
    <w:rsid w:val="00CF1A40"/>
    <w:rsid w:val="00CF36EF"/>
    <w:rsid w:val="00CF4AE2"/>
    <w:rsid w:val="00D1110F"/>
    <w:rsid w:val="00D15B10"/>
    <w:rsid w:val="00D23E20"/>
    <w:rsid w:val="00D320CC"/>
    <w:rsid w:val="00D32842"/>
    <w:rsid w:val="00D35168"/>
    <w:rsid w:val="00D454AB"/>
    <w:rsid w:val="00D536AB"/>
    <w:rsid w:val="00D54E0C"/>
    <w:rsid w:val="00D5537A"/>
    <w:rsid w:val="00D63C73"/>
    <w:rsid w:val="00D71136"/>
    <w:rsid w:val="00D77F36"/>
    <w:rsid w:val="00D9057D"/>
    <w:rsid w:val="00D912C8"/>
    <w:rsid w:val="00DA026E"/>
    <w:rsid w:val="00DA576E"/>
    <w:rsid w:val="00DB0A86"/>
    <w:rsid w:val="00DB57B7"/>
    <w:rsid w:val="00DC33CF"/>
    <w:rsid w:val="00DC3415"/>
    <w:rsid w:val="00DD3DE6"/>
    <w:rsid w:val="00DE4534"/>
    <w:rsid w:val="00DF3D3A"/>
    <w:rsid w:val="00DF4228"/>
    <w:rsid w:val="00E06670"/>
    <w:rsid w:val="00E47752"/>
    <w:rsid w:val="00E53030"/>
    <w:rsid w:val="00E56652"/>
    <w:rsid w:val="00E62C9E"/>
    <w:rsid w:val="00E63341"/>
    <w:rsid w:val="00E63369"/>
    <w:rsid w:val="00E63569"/>
    <w:rsid w:val="00E80756"/>
    <w:rsid w:val="00E81F96"/>
    <w:rsid w:val="00E8302B"/>
    <w:rsid w:val="00E83E34"/>
    <w:rsid w:val="00E84F8C"/>
    <w:rsid w:val="00E85360"/>
    <w:rsid w:val="00E85641"/>
    <w:rsid w:val="00E85DA4"/>
    <w:rsid w:val="00E86B42"/>
    <w:rsid w:val="00E95892"/>
    <w:rsid w:val="00E97354"/>
    <w:rsid w:val="00EA6408"/>
    <w:rsid w:val="00EC0483"/>
    <w:rsid w:val="00ED0897"/>
    <w:rsid w:val="00ED73FF"/>
    <w:rsid w:val="00ED7F01"/>
    <w:rsid w:val="00EE13C5"/>
    <w:rsid w:val="00EE51DE"/>
    <w:rsid w:val="00EF2CA1"/>
    <w:rsid w:val="00EF5E01"/>
    <w:rsid w:val="00EF6EC0"/>
    <w:rsid w:val="00F02058"/>
    <w:rsid w:val="00F0343C"/>
    <w:rsid w:val="00F04CE5"/>
    <w:rsid w:val="00F13514"/>
    <w:rsid w:val="00F1360F"/>
    <w:rsid w:val="00F16AA8"/>
    <w:rsid w:val="00F3226A"/>
    <w:rsid w:val="00F33DB0"/>
    <w:rsid w:val="00F45DB8"/>
    <w:rsid w:val="00F54D29"/>
    <w:rsid w:val="00F62BCD"/>
    <w:rsid w:val="00F74B77"/>
    <w:rsid w:val="00F764FE"/>
    <w:rsid w:val="00F810A0"/>
    <w:rsid w:val="00F827B6"/>
    <w:rsid w:val="00F92BE5"/>
    <w:rsid w:val="00FA0574"/>
    <w:rsid w:val="00FA3933"/>
    <w:rsid w:val="00FB68D3"/>
    <w:rsid w:val="00FC4B75"/>
    <w:rsid w:val="00FC5A89"/>
    <w:rsid w:val="00FE7554"/>
    <w:rsid w:val="00FF17FE"/>
    <w:rsid w:val="068E19BA"/>
    <w:rsid w:val="08BE5736"/>
    <w:rsid w:val="0A3B59B5"/>
    <w:rsid w:val="0A456518"/>
    <w:rsid w:val="0B61769D"/>
    <w:rsid w:val="0BFE313E"/>
    <w:rsid w:val="0C4072B2"/>
    <w:rsid w:val="0D336E17"/>
    <w:rsid w:val="0D58062B"/>
    <w:rsid w:val="0DDF2AFB"/>
    <w:rsid w:val="0E455054"/>
    <w:rsid w:val="0F412BE4"/>
    <w:rsid w:val="126E1463"/>
    <w:rsid w:val="128F2D41"/>
    <w:rsid w:val="137D703E"/>
    <w:rsid w:val="1385580F"/>
    <w:rsid w:val="169A7F07"/>
    <w:rsid w:val="16FC296F"/>
    <w:rsid w:val="175D340E"/>
    <w:rsid w:val="190C3F0E"/>
    <w:rsid w:val="1A147FD0"/>
    <w:rsid w:val="1AE96D67"/>
    <w:rsid w:val="1EDE1F7D"/>
    <w:rsid w:val="1FA83694"/>
    <w:rsid w:val="20EE7FD1"/>
    <w:rsid w:val="2128333F"/>
    <w:rsid w:val="21747CD2"/>
    <w:rsid w:val="236B046C"/>
    <w:rsid w:val="23871813"/>
    <w:rsid w:val="23E80503"/>
    <w:rsid w:val="24F42ED8"/>
    <w:rsid w:val="25E709B1"/>
    <w:rsid w:val="27ED433A"/>
    <w:rsid w:val="2A5B7D43"/>
    <w:rsid w:val="2B7BFACB"/>
    <w:rsid w:val="2BC453FA"/>
    <w:rsid w:val="2BD15D21"/>
    <w:rsid w:val="366A124C"/>
    <w:rsid w:val="369B31B3"/>
    <w:rsid w:val="377D7F09"/>
    <w:rsid w:val="380A6843"/>
    <w:rsid w:val="38B202CF"/>
    <w:rsid w:val="3A6060F3"/>
    <w:rsid w:val="3A6559E4"/>
    <w:rsid w:val="3AB72586"/>
    <w:rsid w:val="3BFFA7B4"/>
    <w:rsid w:val="3CB96103"/>
    <w:rsid w:val="3CE641DB"/>
    <w:rsid w:val="3EFF67ED"/>
    <w:rsid w:val="3F0C10F2"/>
    <w:rsid w:val="40A435AC"/>
    <w:rsid w:val="42200080"/>
    <w:rsid w:val="45521829"/>
    <w:rsid w:val="46067C57"/>
    <w:rsid w:val="485651E2"/>
    <w:rsid w:val="48627FD5"/>
    <w:rsid w:val="488C513A"/>
    <w:rsid w:val="48B42EB1"/>
    <w:rsid w:val="4ADD3943"/>
    <w:rsid w:val="4F0B3CA6"/>
    <w:rsid w:val="50C24D76"/>
    <w:rsid w:val="51AA5A3C"/>
    <w:rsid w:val="53012CE5"/>
    <w:rsid w:val="55172147"/>
    <w:rsid w:val="557650C0"/>
    <w:rsid w:val="557F21C6"/>
    <w:rsid w:val="56A45C5C"/>
    <w:rsid w:val="570A1F63"/>
    <w:rsid w:val="57396EB2"/>
    <w:rsid w:val="58A106A5"/>
    <w:rsid w:val="5955464F"/>
    <w:rsid w:val="5AFE1C82"/>
    <w:rsid w:val="5E7128C8"/>
    <w:rsid w:val="5F322057"/>
    <w:rsid w:val="65FFB0E0"/>
    <w:rsid w:val="68541290"/>
    <w:rsid w:val="6AFF9707"/>
    <w:rsid w:val="6B1E5B86"/>
    <w:rsid w:val="6B376C47"/>
    <w:rsid w:val="6C8934D3"/>
    <w:rsid w:val="6CDC7AA6"/>
    <w:rsid w:val="6E21572C"/>
    <w:rsid w:val="6E743803"/>
    <w:rsid w:val="6EF70BC7"/>
    <w:rsid w:val="719941B8"/>
    <w:rsid w:val="73F86BD4"/>
    <w:rsid w:val="740F0761"/>
    <w:rsid w:val="74C652C4"/>
    <w:rsid w:val="75377F70"/>
    <w:rsid w:val="771B7A52"/>
    <w:rsid w:val="7A5D7732"/>
    <w:rsid w:val="7BD46C1B"/>
    <w:rsid w:val="7C831CEC"/>
    <w:rsid w:val="7DFF9AD9"/>
    <w:rsid w:val="7FFF5CFE"/>
    <w:rsid w:val="BEFFE306"/>
    <w:rsid w:val="DEF241B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link w:val="30"/>
    <w:qFormat/>
    <w:uiPriority w:val="0"/>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31"/>
    <w:qFormat/>
    <w:uiPriority w:val="0"/>
    <w:pPr>
      <w:keepNext/>
      <w:keepLines/>
      <w:spacing w:before="260" w:after="260" w:line="416" w:lineRule="auto"/>
      <w:outlineLvl w:val="2"/>
    </w:pPr>
    <w:rPr>
      <w:b/>
      <w:bCs/>
      <w:sz w:val="30"/>
      <w:szCs w:val="30"/>
    </w:rPr>
  </w:style>
  <w:style w:type="paragraph" w:styleId="7">
    <w:name w:val="heading 4"/>
    <w:basedOn w:val="1"/>
    <w:next w:val="1"/>
    <w:link w:val="32"/>
    <w:autoRedefine/>
    <w:qFormat/>
    <w:uiPriority w:val="0"/>
    <w:pPr>
      <w:keepNext/>
      <w:keepLines/>
      <w:numPr>
        <w:ilvl w:val="3"/>
        <w:numId w:val="1"/>
      </w:numPr>
      <w:spacing w:before="280" w:after="290" w:line="376" w:lineRule="auto"/>
      <w:outlineLvl w:val="3"/>
    </w:pPr>
    <w:rPr>
      <w:rFonts w:ascii="宋体" w:hAnsi="宋体"/>
      <w:b/>
      <w:bCs/>
      <w:sz w:val="28"/>
      <w:szCs w:val="28"/>
    </w:rPr>
  </w:style>
  <w:style w:type="paragraph" w:styleId="8">
    <w:name w:val="heading 5"/>
    <w:basedOn w:val="1"/>
    <w:next w:val="1"/>
    <w:link w:val="33"/>
    <w:autoRedefine/>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link w:val="34"/>
    <w:qFormat/>
    <w:uiPriority w:val="0"/>
    <w:pPr>
      <w:keepNext/>
      <w:keepLines/>
      <w:numPr>
        <w:ilvl w:val="5"/>
        <w:numId w:val="1"/>
      </w:numPr>
      <w:spacing w:before="240" w:after="64" w:line="320" w:lineRule="auto"/>
      <w:outlineLvl w:val="5"/>
    </w:pPr>
    <w:rPr>
      <w:rFonts w:ascii="等线 Light" w:hAnsi="等线 Light" w:eastAsia="等线 Light"/>
      <w:b/>
      <w:bCs/>
      <w:sz w:val="24"/>
    </w:rPr>
  </w:style>
  <w:style w:type="paragraph" w:styleId="10">
    <w:name w:val="heading 7"/>
    <w:basedOn w:val="1"/>
    <w:next w:val="1"/>
    <w:link w:val="35"/>
    <w:autoRedefine/>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link w:val="36"/>
    <w:autoRedefine/>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2">
    <w:name w:val="heading 9"/>
    <w:basedOn w:val="1"/>
    <w:next w:val="1"/>
    <w:link w:val="37"/>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2">
    <w:name w:val="Body Text 2"/>
    <w:basedOn w:val="1"/>
    <w:next w:val="3"/>
    <w:link w:val="27"/>
    <w:autoRedefine/>
    <w:qFormat/>
    <w:uiPriority w:val="99"/>
    <w:pPr>
      <w:jc w:val="left"/>
    </w:pPr>
    <w:rPr>
      <w:kern w:val="2"/>
      <w:szCs w:val="24"/>
    </w:rPr>
  </w:style>
  <w:style w:type="paragraph" w:styleId="3">
    <w:name w:val="Body Text"/>
    <w:basedOn w:val="1"/>
    <w:next w:val="2"/>
    <w:link w:val="28"/>
    <w:autoRedefine/>
    <w:qFormat/>
    <w:uiPriority w:val="99"/>
    <w:pPr>
      <w:tabs>
        <w:tab w:val="left" w:pos="420"/>
      </w:tabs>
    </w:pPr>
    <w:rPr>
      <w:rFonts w:ascii="宋体" w:hAnsi="宋体"/>
      <w:sz w:val="24"/>
    </w:rPr>
  </w:style>
  <w:style w:type="paragraph" w:styleId="13">
    <w:name w:val="Normal Indent"/>
    <w:basedOn w:val="1"/>
    <w:link w:val="38"/>
    <w:autoRedefine/>
    <w:qFormat/>
    <w:uiPriority w:val="99"/>
    <w:pPr>
      <w:spacing w:before="120" w:beforeLines="50" w:line="360" w:lineRule="auto"/>
      <w:ind w:firstLine="512" w:firstLineChars="200"/>
    </w:pPr>
    <w:rPr>
      <w:spacing w:val="8"/>
      <w:sz w:val="24"/>
      <w:szCs w:val="20"/>
    </w:rPr>
  </w:style>
  <w:style w:type="paragraph" w:styleId="14">
    <w:name w:val="annotation text"/>
    <w:basedOn w:val="1"/>
    <w:link w:val="39"/>
    <w:autoRedefine/>
    <w:unhideWhenUsed/>
    <w:qFormat/>
    <w:uiPriority w:val="0"/>
    <w:pPr>
      <w:jc w:val="left"/>
    </w:pPr>
    <w:rPr>
      <w:kern w:val="0"/>
      <w:sz w:val="20"/>
    </w:rPr>
  </w:style>
  <w:style w:type="paragraph" w:styleId="15">
    <w:name w:val="Plain Text"/>
    <w:basedOn w:val="1"/>
    <w:link w:val="40"/>
    <w:autoRedefine/>
    <w:qFormat/>
    <w:uiPriority w:val="0"/>
    <w:rPr>
      <w:rFonts w:ascii="Calibri" w:hAnsi="Courier New"/>
      <w:szCs w:val="20"/>
    </w:rPr>
  </w:style>
  <w:style w:type="paragraph" w:styleId="16">
    <w:name w:val="Balloon Text"/>
    <w:basedOn w:val="1"/>
    <w:link w:val="41"/>
    <w:uiPriority w:val="0"/>
    <w:rPr>
      <w:sz w:val="18"/>
      <w:szCs w:val="18"/>
    </w:rPr>
  </w:style>
  <w:style w:type="paragraph" w:styleId="17">
    <w:name w:val="footer"/>
    <w:basedOn w:val="1"/>
    <w:link w:val="42"/>
    <w:autoRedefine/>
    <w:qFormat/>
    <w:uiPriority w:val="0"/>
    <w:pPr>
      <w:tabs>
        <w:tab w:val="center" w:pos="4153"/>
        <w:tab w:val="right" w:pos="8306"/>
      </w:tabs>
      <w:snapToGrid w:val="0"/>
      <w:jc w:val="left"/>
    </w:pPr>
    <w:rPr>
      <w:sz w:val="18"/>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 w:val="18"/>
      <w:szCs w:val="18"/>
    </w:rPr>
  </w:style>
  <w:style w:type="paragraph" w:styleId="19">
    <w:name w:val="Body Text Indent 3"/>
    <w:basedOn w:val="1"/>
    <w:qFormat/>
    <w:uiPriority w:val="99"/>
    <w:pPr>
      <w:widowControl/>
      <w:spacing w:before="60" w:after="60" w:line="280" w:lineRule="atLeast"/>
      <w:ind w:right="291" w:firstLine="400"/>
    </w:pPr>
    <w:rPr>
      <w:rFonts w:ascii="宋体"/>
      <w:kern w:val="0"/>
    </w:rPr>
  </w:style>
  <w:style w:type="paragraph" w:styleId="20">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2">
    <w:name w:val="Table Grid"/>
    <w:basedOn w:val="21"/>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FollowedHyperlink"/>
    <w:uiPriority w:val="0"/>
    <w:rPr>
      <w:color w:val="800080"/>
      <w:u w:val="single"/>
    </w:rPr>
  </w:style>
  <w:style w:type="character" w:styleId="25">
    <w:name w:val="Hyperlink"/>
    <w:autoRedefine/>
    <w:qFormat/>
    <w:uiPriority w:val="0"/>
    <w:rPr>
      <w:color w:val="0563C1"/>
      <w:u w:val="single"/>
    </w:rPr>
  </w:style>
  <w:style w:type="character" w:styleId="26">
    <w:name w:val="annotation reference"/>
    <w:unhideWhenUsed/>
    <w:qFormat/>
    <w:uiPriority w:val="99"/>
    <w:rPr>
      <w:sz w:val="21"/>
      <w:szCs w:val="21"/>
    </w:rPr>
  </w:style>
  <w:style w:type="character" w:customStyle="1" w:styleId="27">
    <w:name w:val="正文文本 2 字符"/>
    <w:link w:val="2"/>
    <w:uiPriority w:val="99"/>
    <w:rPr>
      <w:kern w:val="2"/>
      <w:sz w:val="21"/>
      <w:szCs w:val="24"/>
    </w:rPr>
  </w:style>
  <w:style w:type="character" w:customStyle="1" w:styleId="28">
    <w:name w:val="正文文本 字符"/>
    <w:link w:val="3"/>
    <w:uiPriority w:val="99"/>
    <w:rPr>
      <w:rFonts w:ascii="宋体" w:hAnsi="宋体"/>
      <w:kern w:val="2"/>
      <w:sz w:val="24"/>
      <w:szCs w:val="24"/>
    </w:rPr>
  </w:style>
  <w:style w:type="character" w:customStyle="1" w:styleId="29">
    <w:name w:val="标题 1 字符"/>
    <w:link w:val="4"/>
    <w:uiPriority w:val="0"/>
    <w:rPr>
      <w:b/>
      <w:bCs/>
      <w:kern w:val="44"/>
      <w:sz w:val="44"/>
      <w:szCs w:val="44"/>
    </w:rPr>
  </w:style>
  <w:style w:type="character" w:customStyle="1" w:styleId="30">
    <w:name w:val="标题 2 字符"/>
    <w:link w:val="5"/>
    <w:uiPriority w:val="0"/>
    <w:rPr>
      <w:rFonts w:ascii="等线 Light" w:hAnsi="等线 Light" w:eastAsia="等线 Light" w:cs="Times New Roman"/>
      <w:b/>
      <w:bCs/>
      <w:kern w:val="2"/>
      <w:sz w:val="32"/>
      <w:szCs w:val="32"/>
    </w:rPr>
  </w:style>
  <w:style w:type="character" w:customStyle="1" w:styleId="31">
    <w:name w:val="标题 3 字符"/>
    <w:link w:val="6"/>
    <w:uiPriority w:val="0"/>
    <w:rPr>
      <w:b/>
      <w:bCs/>
      <w:kern w:val="2"/>
      <w:sz w:val="30"/>
      <w:szCs w:val="30"/>
    </w:rPr>
  </w:style>
  <w:style w:type="character" w:customStyle="1" w:styleId="32">
    <w:name w:val="标题 4 字符"/>
    <w:link w:val="7"/>
    <w:autoRedefine/>
    <w:qFormat/>
    <w:uiPriority w:val="0"/>
    <w:rPr>
      <w:rFonts w:ascii="宋体" w:hAnsi="宋体"/>
      <w:b/>
      <w:bCs/>
      <w:kern w:val="2"/>
      <w:sz w:val="28"/>
      <w:szCs w:val="28"/>
    </w:rPr>
  </w:style>
  <w:style w:type="character" w:customStyle="1" w:styleId="33">
    <w:name w:val="标题 5 字符"/>
    <w:link w:val="8"/>
    <w:uiPriority w:val="0"/>
    <w:rPr>
      <w:b/>
      <w:bCs/>
      <w:kern w:val="2"/>
      <w:sz w:val="28"/>
      <w:szCs w:val="28"/>
    </w:rPr>
  </w:style>
  <w:style w:type="character" w:customStyle="1" w:styleId="34">
    <w:name w:val="标题 6 字符"/>
    <w:link w:val="9"/>
    <w:semiHidden/>
    <w:uiPriority w:val="0"/>
    <w:rPr>
      <w:rFonts w:ascii="等线 Light" w:hAnsi="等线 Light" w:eastAsia="等线 Light"/>
      <w:b/>
      <w:bCs/>
      <w:kern w:val="2"/>
      <w:sz w:val="24"/>
      <w:szCs w:val="24"/>
    </w:rPr>
  </w:style>
  <w:style w:type="character" w:customStyle="1" w:styleId="35">
    <w:name w:val="标题 7 字符"/>
    <w:link w:val="10"/>
    <w:semiHidden/>
    <w:uiPriority w:val="0"/>
    <w:rPr>
      <w:b/>
      <w:bCs/>
      <w:kern w:val="2"/>
      <w:sz w:val="24"/>
      <w:szCs w:val="24"/>
    </w:rPr>
  </w:style>
  <w:style w:type="character" w:customStyle="1" w:styleId="36">
    <w:name w:val="标题 8 字符"/>
    <w:link w:val="11"/>
    <w:semiHidden/>
    <w:uiPriority w:val="0"/>
    <w:rPr>
      <w:rFonts w:ascii="等线 Light" w:hAnsi="等线 Light" w:eastAsia="等线 Light"/>
      <w:kern w:val="2"/>
      <w:sz w:val="24"/>
      <w:szCs w:val="24"/>
    </w:rPr>
  </w:style>
  <w:style w:type="character" w:customStyle="1" w:styleId="37">
    <w:name w:val="标题 9 字符"/>
    <w:link w:val="12"/>
    <w:semiHidden/>
    <w:uiPriority w:val="0"/>
    <w:rPr>
      <w:rFonts w:ascii="等线 Light" w:hAnsi="等线 Light" w:eastAsia="等线 Light"/>
      <w:kern w:val="2"/>
      <w:sz w:val="21"/>
      <w:szCs w:val="21"/>
    </w:rPr>
  </w:style>
  <w:style w:type="character" w:customStyle="1" w:styleId="38">
    <w:name w:val="正文缩进 字符"/>
    <w:link w:val="13"/>
    <w:qFormat/>
    <w:uiPriority w:val="99"/>
    <w:rPr>
      <w:spacing w:val="8"/>
      <w:kern w:val="2"/>
      <w:sz w:val="24"/>
    </w:rPr>
  </w:style>
  <w:style w:type="character" w:customStyle="1" w:styleId="39">
    <w:name w:val="批注文字 字符1"/>
    <w:link w:val="14"/>
    <w:uiPriority w:val="0"/>
    <w:rPr>
      <w:szCs w:val="24"/>
    </w:rPr>
  </w:style>
  <w:style w:type="character" w:customStyle="1" w:styleId="40">
    <w:name w:val="纯文本 字符"/>
    <w:link w:val="15"/>
    <w:uiPriority w:val="0"/>
    <w:rPr>
      <w:rFonts w:ascii="Calibri" w:hAnsi="Courier New"/>
      <w:kern w:val="2"/>
      <w:sz w:val="21"/>
    </w:rPr>
  </w:style>
  <w:style w:type="character" w:customStyle="1" w:styleId="41">
    <w:name w:val="批注框文本 字符"/>
    <w:link w:val="16"/>
    <w:uiPriority w:val="0"/>
    <w:rPr>
      <w:kern w:val="2"/>
      <w:sz w:val="18"/>
      <w:szCs w:val="18"/>
    </w:rPr>
  </w:style>
  <w:style w:type="character" w:customStyle="1" w:styleId="42">
    <w:name w:val="页脚 字符1"/>
    <w:link w:val="17"/>
    <w:uiPriority w:val="0"/>
    <w:rPr>
      <w:kern w:val="2"/>
      <w:sz w:val="18"/>
      <w:szCs w:val="18"/>
    </w:rPr>
  </w:style>
  <w:style w:type="character" w:customStyle="1" w:styleId="43">
    <w:name w:val="页眉 字符"/>
    <w:link w:val="18"/>
    <w:uiPriority w:val="0"/>
    <w:rPr>
      <w:kern w:val="2"/>
      <w:sz w:val="18"/>
      <w:szCs w:val="18"/>
    </w:rPr>
  </w:style>
  <w:style w:type="character" w:customStyle="1" w:styleId="44">
    <w:name w:val="页脚 字符"/>
    <w:uiPriority w:val="99"/>
  </w:style>
  <w:style w:type="character" w:customStyle="1" w:styleId="45">
    <w:name w:val="正文（首行缩进2字符） Char"/>
    <w:link w:val="46"/>
    <w:uiPriority w:val="0"/>
    <w:rPr>
      <w:kern w:val="2"/>
      <w:sz w:val="24"/>
      <w:szCs w:val="24"/>
    </w:rPr>
  </w:style>
  <w:style w:type="paragraph" w:customStyle="1" w:styleId="46">
    <w:name w:val="正文（首行缩进2字符）"/>
    <w:basedOn w:val="1"/>
    <w:link w:val="45"/>
    <w:qFormat/>
    <w:uiPriority w:val="0"/>
    <w:pPr>
      <w:spacing w:line="360" w:lineRule="auto"/>
      <w:ind w:firstLine="480" w:firstLineChars="200"/>
    </w:pPr>
    <w:rPr>
      <w:sz w:val="24"/>
    </w:rPr>
  </w:style>
  <w:style w:type="character" w:customStyle="1" w:styleId="47">
    <w:name w:val="段落 Char1"/>
    <w:link w:val="48"/>
    <w:uiPriority w:val="0"/>
    <w:rPr>
      <w:rFonts w:eastAsia="仿宋_GB2312"/>
      <w:sz w:val="24"/>
      <w:szCs w:val="24"/>
      <w:lang w:val="en-US" w:eastAsia="zh-CN" w:bidi="ar-SA"/>
    </w:rPr>
  </w:style>
  <w:style w:type="paragraph" w:customStyle="1" w:styleId="48">
    <w:name w:val="段落"/>
    <w:link w:val="47"/>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9">
    <w:name w:val="正文（安华金和） Char"/>
    <w:link w:val="50"/>
    <w:qFormat/>
    <w:uiPriority w:val="0"/>
    <w:rPr>
      <w:rFonts w:ascii="Arial" w:hAnsi="Arial"/>
      <w:sz w:val="21"/>
      <w:szCs w:val="21"/>
      <w:lang w:val="en-US" w:eastAsia="zh-CN" w:bidi="ar-SA"/>
    </w:rPr>
  </w:style>
  <w:style w:type="paragraph" w:customStyle="1" w:styleId="50">
    <w:name w:val="正文（安华金和）"/>
    <w:link w:val="49"/>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1">
    <w:name w:val="列表段落 字符"/>
    <w:link w:val="52"/>
    <w:qFormat/>
    <w:uiPriority w:val="34"/>
    <w:rPr>
      <w:rFonts w:ascii="等线" w:hAnsi="等线" w:eastAsia="等线"/>
      <w:kern w:val="2"/>
      <w:sz w:val="21"/>
      <w:szCs w:val="22"/>
    </w:rPr>
  </w:style>
  <w:style w:type="paragraph" w:styleId="52">
    <w:name w:val="List Paragraph"/>
    <w:basedOn w:val="1"/>
    <w:link w:val="51"/>
    <w:qFormat/>
    <w:uiPriority w:val="34"/>
    <w:pPr>
      <w:ind w:firstLine="420" w:firstLineChars="200"/>
    </w:pPr>
    <w:rPr>
      <w:rFonts w:ascii="等线" w:hAnsi="等线" w:eastAsia="等线"/>
      <w:szCs w:val="22"/>
    </w:rPr>
  </w:style>
  <w:style w:type="paragraph" w:customStyle="1" w:styleId="53">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5"/>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5">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7"/>
    <w:next w:val="1"/>
    <w:qFormat/>
    <w:uiPriority w:val="0"/>
    <w:pPr>
      <w:widowControl/>
      <w:numPr>
        <w:ilvl w:val="3"/>
        <w:numId w:val="2"/>
      </w:numPr>
      <w:spacing w:after="156"/>
      <w:ind w:leftChars="200"/>
      <w:jc w:val="left"/>
    </w:pPr>
    <w:rPr>
      <w:rFonts w:ascii="Arial" w:hAnsi="Arial" w:eastAsia="黑体"/>
      <w:bCs w:val="0"/>
      <w:kern w:val="0"/>
    </w:rPr>
  </w:style>
  <w:style w:type="paragraph" w:customStyle="1" w:styleId="60">
    <w:name w:val="标题 3（DBSec）"/>
    <w:basedOn w:val="6"/>
    <w:next w:val="1"/>
    <w:qFormat/>
    <w:uiPriority w:val="0"/>
    <w:pPr>
      <w:numPr>
        <w:ilvl w:val="2"/>
        <w:numId w:val="2"/>
      </w:numPr>
      <w:tabs>
        <w:tab w:val="left" w:pos="960"/>
      </w:tabs>
      <w:spacing w:line="415" w:lineRule="auto"/>
      <w:ind w:leftChars="200"/>
      <w:jc w:val="left"/>
    </w:pPr>
    <w:rPr>
      <w:rFonts w:ascii="Arial" w:hAnsi="Arial" w:eastAsia="黑体"/>
      <w:bCs w:val="0"/>
      <w:kern w:val="0"/>
      <w:sz w:val="30"/>
      <w:szCs w:val="30"/>
    </w:rPr>
  </w:style>
  <w:style w:type="paragraph" w:customStyle="1" w:styleId="61">
    <w:name w:val="标题 1（DBSec）"/>
    <w:basedOn w:val="4"/>
    <w:next w:val="1"/>
    <w:qFormat/>
    <w:uiPriority w:val="0"/>
    <w:pPr>
      <w:pageBreakBefore/>
      <w:numPr>
        <w:ilvl w:val="0"/>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62">
    <w:name w:val="彩色列表 - 着色 11"/>
    <w:basedOn w:val="1"/>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qFormat/>
    <w:uiPriority w:val="0"/>
    <w:pPr>
      <w:numPr>
        <w:ilvl w:val="7"/>
        <w:numId w:val="2"/>
      </w:numPr>
    </w:pPr>
  </w:style>
  <w:style w:type="paragraph" w:customStyle="1" w:styleId="64">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qFormat/>
    <w:uiPriority w:val="99"/>
    <w:rPr>
      <w:kern w:val="2"/>
      <w:sz w:val="21"/>
      <w:szCs w:val="24"/>
    </w:rPr>
  </w:style>
  <w:style w:type="character" w:customStyle="1" w:styleId="67">
    <w:name w:val="font31"/>
    <w:uiPriority w:val="0"/>
    <w:rPr>
      <w:rFonts w:hint="eastAsia" w:ascii="微软雅黑" w:hAnsi="微软雅黑" w:eastAsia="微软雅黑" w:cs="微软雅黑"/>
      <w:color w:val="FF0000"/>
      <w:sz w:val="20"/>
      <w:szCs w:val="20"/>
      <w:u w:val="none"/>
    </w:rPr>
  </w:style>
  <w:style w:type="character" w:customStyle="1" w:styleId="68">
    <w:name w:val="font21"/>
    <w:uiPriority w:val="0"/>
    <w:rPr>
      <w:rFonts w:hint="eastAsia" w:ascii="微软雅黑" w:hAnsi="微软雅黑" w:eastAsia="微软雅黑" w:cs="微软雅黑"/>
      <w:color w:val="000000"/>
      <w:sz w:val="20"/>
      <w:szCs w:val="20"/>
      <w:u w:val="none"/>
    </w:rPr>
  </w:style>
  <w:style w:type="paragraph" w:customStyle="1" w:styleId="69">
    <w:name w:val="楷体粗正文文字"/>
    <w:basedOn w:val="1"/>
    <w:next w:val="19"/>
    <w:qFormat/>
    <w:uiPriority w:val="0"/>
    <w:pPr>
      <w:snapToGrid w:val="0"/>
      <w:spacing w:line="480" w:lineRule="exact"/>
      <w:ind w:firstLine="560"/>
    </w:pPr>
    <w:rPr>
      <w:sz w:val="28"/>
    </w:rPr>
  </w:style>
  <w:style w:type="character" w:customStyle="1" w:styleId="70">
    <w:name w:val="列表段落 字符1"/>
    <w:qFormat/>
    <w:uiPriority w:val="34"/>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981</Words>
  <Characters>5594</Characters>
  <Lines>46</Lines>
  <Paragraphs>13</Paragraphs>
  <TotalTime>0</TotalTime>
  <ScaleCrop>false</ScaleCrop>
  <LinksUpToDate>false</LinksUpToDate>
  <CharactersWithSpaces>6562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2024-05-07T00:39:00Z</dcterms:created>
  <dc:creator>XXK_PC01</dc:creator>
  <cp:lastModifiedBy>信管处张芳健</cp:lastModifiedBy>
  <dcterms:modified xsi:type="dcterms:W3CDTF">2024-05-09T01:48:57Z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CF93A00898F040F285A2A94021A4D3B5_13</vt:lpwstr>
  </property>
</Properties>
</file>