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numPr>
          <w:ilvl w:val="0"/>
          <w:numId w:val="0"/>
        </w:numPr>
        <w:spacing w:line="420" w:lineRule="atLeast"/>
        <w:jc w:val="left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</w:t>
      </w:r>
    </w:p>
    <w:p>
      <w:pPr>
        <w:pStyle w:val="10"/>
        <w:widowControl/>
        <w:numPr>
          <w:ilvl w:val="0"/>
          <w:numId w:val="0"/>
        </w:numPr>
        <w:spacing w:line="420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广东省人民医院惠福分院放射科DR机房射线防护改造工程项目需求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pStyle w:val="10"/>
        <w:widowControl/>
        <w:numPr>
          <w:ilvl w:val="0"/>
          <w:numId w:val="0"/>
        </w:numPr>
        <w:spacing w:line="420" w:lineRule="atLeast"/>
        <w:jc w:val="both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项目概况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惠福分院放射科DR机房，经检测未达到本底范围最大值，检测值较大存在射线泄，辐射防护未符合GBZ 130-2020法规及高于本底水平，拟定进行改造更换原防护门窗。</w:t>
      </w:r>
    </w:p>
    <w:p>
      <w:pPr>
        <w:spacing w:line="360" w:lineRule="auto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二、项目清单：</w:t>
      </w:r>
    </w:p>
    <w:p>
      <w:pPr>
        <w:spacing w:line="360" w:lineRule="auto"/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1、铅玻璃观察窗，规格、型号FHC-1，1500*900*4.5mmpb</w:t>
      </w:r>
    </w:p>
    <w:p>
      <w:pPr>
        <w:spacing w:line="360" w:lineRule="auto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2、手动防护平开门，规格、型号FHM-2,900*2100*4.5mmpb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三、项目要求：</w:t>
      </w:r>
    </w:p>
    <w:p>
      <w:pPr>
        <w:tabs>
          <w:tab w:val="left" w:pos="675"/>
        </w:tabs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1、质保期36个月。医院配合按时停机，确保现场满足施工条件，提供施工停车位及专人协助。</w:t>
      </w:r>
    </w:p>
    <w:p>
      <w:pPr>
        <w:tabs>
          <w:tab w:val="left" w:pos="675"/>
        </w:tabs>
        <w:spacing w:line="360" w:lineRule="auto"/>
        <w:ind w:firstLine="320" w:firstLineChars="100"/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2、检测必须达到现场本底值范围，否则不支付任何工程款。</w:t>
      </w:r>
      <w:r>
        <w:rPr>
          <w:rFonts w:hint="eastAsia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四、DR机房射线防护改造工程报价表</w:t>
      </w:r>
      <w:bookmarkStart w:id="0" w:name="_GoBack"/>
      <w:bookmarkEnd w:id="0"/>
    </w:p>
    <w:tbl>
      <w:tblPr>
        <w:tblStyle w:val="6"/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616"/>
        <w:gridCol w:w="593"/>
        <w:gridCol w:w="883"/>
        <w:gridCol w:w="1054"/>
        <w:gridCol w:w="1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机房防护工程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1.FHC-1铅玻璃观察窗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2.洞口尺寸：1580mm*980mm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3.防护尺寸：1500mm*900mm*4.5mmpb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4.射线防护窗框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5.其他详图纸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1.专用防射线窗套机房内外面（304#1.5m不锈钢饰面）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2.底板防潮防白蚁处理                                     3.内置铅板4.5mmpb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1.FHM-2手动防护平开门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2.洞口尺寸:920*2100mm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3.防护尺寸:900*2100mm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4.防护剂量：4.5mmpb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5.射线防护门框[规格：920mm*2100mm*4.5mmpb]铅板防护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1.专用防射线平开门套机房内外面（304#1.5m不锈钢饰面）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2.底板防潮防白蚁处理                                     3.内置铅板4.5mmpb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原防护门窗拆除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门窗洞口硫酸钡防护涂料封堵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原地面墙面保护及垃圾清运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税金9%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防护工程合计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  <w:lang w:eastAsia="zh-CN"/>
        </w:rPr>
      </w:pPr>
      <w:r>
        <w:rPr>
          <w:rFonts w:hint="eastAsia"/>
          <w:b/>
        </w:rPr>
        <w:t>附图：</w:t>
      </w:r>
      <w:r>
        <w:rPr>
          <w:rFonts w:hint="eastAsia"/>
          <w:b/>
          <w:lang w:eastAsia="zh-CN"/>
        </w:rPr>
        <w:t>现场图片</w:t>
      </w:r>
    </w:p>
    <w:p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fd0b18e0109d2853247d99bd4a7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d0b18e0109d2853247d99bd4a75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射线防护门窗说明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1.手动防护平开门</w:t>
      </w:r>
    </w:p>
    <w:tbl>
      <w:tblPr>
        <w:tblStyle w:val="6"/>
        <w:tblW w:w="849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序号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具体技术</w:t>
            </w:r>
            <w:r>
              <w:rPr>
                <w:rFonts w:ascii="宋体" w:hAnsi="宋体" w:cs="Calibri"/>
                <w:kern w:val="0"/>
                <w:highlight w:val="none"/>
              </w:rPr>
              <w:t>(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参数</w:t>
            </w:r>
            <w:r>
              <w:rPr>
                <w:rFonts w:ascii="宋体" w:hAnsi="宋体" w:cs="Calibri"/>
                <w:kern w:val="0"/>
                <w:highlight w:val="none"/>
              </w:rPr>
              <w:t>)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noWrap w:val="0"/>
            <w:vAlign w:val="center"/>
          </w:tcPr>
          <w:p>
            <w:pPr>
              <w:tabs>
                <w:tab w:val="left" w:pos="237"/>
              </w:tabs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tabs>
                <w:tab w:val="left" w:pos="237"/>
              </w:tabs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手动防护平开门</w:t>
            </w:r>
            <w:r>
              <w:rPr>
                <w:rFonts w:hint="eastAsia" w:ascii="宋体" w:hAnsi="宋体"/>
                <w:highlight w:val="none"/>
              </w:rPr>
              <w:t>，数量：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highlight w:val="none"/>
              </w:rPr>
              <w:t xml:space="preserve">樘；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noWrap w:val="0"/>
            <w:vAlign w:val="center"/>
          </w:tcPr>
          <w:p>
            <w:pPr>
              <w:tabs>
                <w:tab w:val="left" w:pos="237"/>
              </w:tabs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tabs>
                <w:tab w:val="left" w:pos="237"/>
              </w:tabs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防护要求：4.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mmpb（铅当量）；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noWrap w:val="0"/>
            <w:vAlign w:val="center"/>
          </w:tcPr>
          <w:p>
            <w:pPr>
              <w:tabs>
                <w:tab w:val="left" w:pos="237"/>
              </w:tabs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tabs>
                <w:tab w:val="left" w:pos="237"/>
              </w:tabs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防护门规格：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00mm×2100mm；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791" w:type="dxa"/>
            <w:noWrap w:val="0"/>
            <w:vAlign w:val="center"/>
          </w:tcPr>
          <w:p>
            <w:pPr>
              <w:tabs>
                <w:tab w:val="left" w:pos="237"/>
              </w:tabs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4</w:t>
            </w:r>
          </w:p>
        </w:tc>
        <w:tc>
          <w:tcPr>
            <w:tcW w:w="770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37"/>
                <w:tab w:val="clear" w:pos="312"/>
              </w:tabs>
            </w:pPr>
            <w:r>
              <w:rPr>
                <w:rFonts w:hint="eastAsia" w:ascii="宋体" w:hAnsi="宋体"/>
                <w:highlight w:val="none"/>
              </w:rPr>
              <w:t>包括门框、整体门套、门扇，锁具、拉手、铰链、闭门器等五金件，电离辐射警示牌安装；</w:t>
            </w:r>
          </w:p>
          <w:p>
            <w:pPr>
              <w:numPr>
                <w:ilvl w:val="0"/>
                <w:numId w:val="1"/>
              </w:numPr>
              <w:tabs>
                <w:tab w:val="left" w:pos="237"/>
                <w:tab w:val="clear" w:pos="312"/>
              </w:tabs>
              <w:ind w:left="0" w:leftChars="0" w:firstLine="0" w:firstLineChars="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门内部主要结构由钢骨架、铅板、防护粘合剂、抗氧化剂、特种密度板等组成。平开门面层面层采用蓝色VCM覆膜钢板（提供样本），厚度（裸测）≥1.2mm，所有门套为大门套，即将三面墙体均包在门套范围内，平整、美观。门的下沿应有防漏射线处理；</w:t>
            </w:r>
          </w:p>
          <w:p>
            <w:pPr>
              <w:numPr>
                <w:ilvl w:val="0"/>
                <w:numId w:val="1"/>
              </w:numPr>
              <w:tabs>
                <w:tab w:val="left" w:pos="237"/>
                <w:tab w:val="clear" w:pos="312"/>
              </w:tabs>
              <w:ind w:left="0" w:leftChars="0" w:firstLine="0" w:firstLineChars="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整体结构牢固、可靠，不易变形和锈蚀，开关寿命不少于50000次；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highlight w:val="none"/>
              </w:rPr>
              <w:t>门扇内框选用钢制结构，内部结构合理、牢固，防腐处理可靠。并填充保温隔音防火材料。表面平整、美观。防护层采用复合工艺，防护当量满足设计要求，且永不变形。表面平整、美观，无钉孔、无包边。门体具有防尘功能；</w:t>
            </w:r>
          </w:p>
          <w:p>
            <w:pPr>
              <w:numPr>
                <w:ilvl w:val="0"/>
                <w:numId w:val="1"/>
              </w:numPr>
              <w:tabs>
                <w:tab w:val="left" w:pos="237"/>
                <w:tab w:val="clear" w:pos="312"/>
              </w:tabs>
              <w:ind w:left="0" w:leftChars="0" w:firstLine="0" w:firstLineChars="0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门框选用钢制结构，内部结构合理、牢固，防腐处理可靠。防护层当量满足设计要求，防护铅板纯度不低于99.994%，且永不变形；</w:t>
            </w:r>
          </w:p>
        </w:tc>
      </w:tr>
    </w:tbl>
    <w:p>
      <w:pPr>
        <w:pStyle w:val="2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防辐射铅玻璃</w:t>
      </w:r>
    </w:p>
    <w:tbl>
      <w:tblPr>
        <w:tblStyle w:val="6"/>
        <w:tblW w:w="85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noWrap w:val="0"/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7648" w:type="dxa"/>
            <w:noWrap w:val="0"/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highlight w:val="none"/>
              </w:rPr>
              <w:t>具体技术</w:t>
            </w:r>
            <w:r>
              <w:rPr>
                <w:rFonts w:ascii="宋体" w:hAnsi="宋体" w:cs="Calibri"/>
                <w:color w:val="000000"/>
                <w:kern w:val="0"/>
                <w:highlight w:val="none"/>
              </w:rPr>
              <w:t>(</w:t>
            </w:r>
            <w:r>
              <w:rPr>
                <w:rFonts w:hint="eastAsia" w:ascii="宋体" w:hAnsi="宋体" w:cs="Calibri"/>
                <w:color w:val="000000"/>
                <w:kern w:val="0"/>
                <w:highlight w:val="none"/>
              </w:rPr>
              <w:t>参数</w:t>
            </w:r>
            <w:r>
              <w:rPr>
                <w:rFonts w:ascii="宋体" w:hAnsi="宋体" w:cs="Calibri"/>
                <w:color w:val="000000"/>
                <w:kern w:val="0"/>
                <w:highlight w:val="none"/>
              </w:rPr>
              <w:t>)</w:t>
            </w:r>
            <w:r>
              <w:rPr>
                <w:rFonts w:hint="eastAsia" w:ascii="宋体" w:hAnsi="宋体" w:cs="Calibri"/>
                <w:color w:val="000000"/>
                <w:kern w:val="0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76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铅玻璃观察窗，</w:t>
            </w:r>
            <w:r>
              <w:rPr>
                <w:rFonts w:hint="eastAsia" w:ascii="宋体" w:hAnsi="宋体"/>
                <w:highlight w:val="none"/>
              </w:rPr>
              <w:t>数量：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highlight w:val="none"/>
              </w:rPr>
              <w:t xml:space="preserve">樘；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2</w:t>
            </w:r>
          </w:p>
        </w:tc>
        <w:tc>
          <w:tcPr>
            <w:tcW w:w="7648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防护要求：4.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mmpb（铅当量）；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7648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防护门规格：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1500</w:t>
            </w:r>
            <w:r>
              <w:rPr>
                <w:rFonts w:hint="eastAsia" w:ascii="宋体" w:hAnsi="宋体"/>
                <w:highlight w:val="none"/>
              </w:rPr>
              <w:t>mm×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00mm；；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Calibri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7648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highlight w:val="none"/>
              </w:rPr>
              <w:t>框体、收边及压边条均采用不锈钢型材制作而成，外形豪华美观，安装拆卸方便；</w:t>
            </w:r>
          </w:p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highlight w:val="none"/>
              </w:rPr>
              <w:t>采用三级防护：铅玻璃防护、辅助防护、涂料防护，防护性能好；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highlight w:val="none"/>
              </w:rPr>
              <w:t>采用优质铅玻璃，性能满足以下要求 防护标准：防护厚度为0.295mmPb/mm（用于X、γ射线的屏蔽防护）</w:t>
            </w:r>
          </w:p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比    重：5.1t/m3</w:t>
            </w:r>
          </w:p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折 射 率：1.775     </w:t>
            </w:r>
          </w:p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白 色 透 光 率：≥85%</w:t>
            </w:r>
          </w:p>
          <w:p>
            <w:pPr>
              <w:widowControl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抗潮稳定性为A级</w:t>
            </w:r>
          </w:p>
          <w:p>
            <w:pPr>
              <w:widowControl/>
              <w:rPr>
                <w:rFonts w:hint="eastAsia" w:ascii="宋体" w:hAnsi="宋体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highlight w:val="none"/>
              </w:rPr>
              <w:t>观察窗框选用不锈钢型材，防护当量满足设计要求，且不容易变形，观察窗底沿距地面对面高度为850mm，表面经抗划伤、抗破碎处理，玻璃与窗框防护可靠。</w:t>
            </w:r>
          </w:p>
        </w:tc>
      </w:tr>
    </w:tbl>
    <w:p>
      <w:pPr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9C948"/>
    <w:multiLevelType w:val="singleLevel"/>
    <w:tmpl w:val="B829C94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UxZmU2NTRkZDdhZTM0ZmM5ZTIxZGJkZDIzYzkifQ=="/>
    <w:docVar w:name="KSO_WPS_MARK_KEY" w:val="a0515bb2-1cce-4c06-8871-1680f18caf76"/>
  </w:docVars>
  <w:rsids>
    <w:rsidRoot w:val="001F3896"/>
    <w:rsid w:val="000B1B4F"/>
    <w:rsid w:val="001E0EE7"/>
    <w:rsid w:val="001F3896"/>
    <w:rsid w:val="002D75DE"/>
    <w:rsid w:val="00F73845"/>
    <w:rsid w:val="00FA5F82"/>
    <w:rsid w:val="040D447D"/>
    <w:rsid w:val="046778A6"/>
    <w:rsid w:val="0676127B"/>
    <w:rsid w:val="06847786"/>
    <w:rsid w:val="08BC62FE"/>
    <w:rsid w:val="09DC7FCE"/>
    <w:rsid w:val="0CAC435D"/>
    <w:rsid w:val="0DD82237"/>
    <w:rsid w:val="0E2112BC"/>
    <w:rsid w:val="105018AE"/>
    <w:rsid w:val="11252435"/>
    <w:rsid w:val="13A740BB"/>
    <w:rsid w:val="169203AB"/>
    <w:rsid w:val="17F700BF"/>
    <w:rsid w:val="18616F2E"/>
    <w:rsid w:val="190567CD"/>
    <w:rsid w:val="197A75E3"/>
    <w:rsid w:val="1B32294B"/>
    <w:rsid w:val="1B636F72"/>
    <w:rsid w:val="1B967FB7"/>
    <w:rsid w:val="1BAA0669"/>
    <w:rsid w:val="1BBE4DD4"/>
    <w:rsid w:val="1C5A4805"/>
    <w:rsid w:val="1D743260"/>
    <w:rsid w:val="1DC70AD0"/>
    <w:rsid w:val="1ED85A70"/>
    <w:rsid w:val="20E80282"/>
    <w:rsid w:val="211F7986"/>
    <w:rsid w:val="21A34113"/>
    <w:rsid w:val="21A47E8B"/>
    <w:rsid w:val="22104A63"/>
    <w:rsid w:val="22381C92"/>
    <w:rsid w:val="24BA35E1"/>
    <w:rsid w:val="25091F47"/>
    <w:rsid w:val="288A70AE"/>
    <w:rsid w:val="29AC1FD3"/>
    <w:rsid w:val="2B521532"/>
    <w:rsid w:val="2CA46F92"/>
    <w:rsid w:val="2D6F134E"/>
    <w:rsid w:val="2EA67690"/>
    <w:rsid w:val="2F234AE5"/>
    <w:rsid w:val="308205EF"/>
    <w:rsid w:val="31A458CF"/>
    <w:rsid w:val="35865804"/>
    <w:rsid w:val="359318E3"/>
    <w:rsid w:val="35BA55B4"/>
    <w:rsid w:val="35F04FF6"/>
    <w:rsid w:val="36D90638"/>
    <w:rsid w:val="36E367A8"/>
    <w:rsid w:val="39AC56D7"/>
    <w:rsid w:val="3A2F02D2"/>
    <w:rsid w:val="3E4F6C57"/>
    <w:rsid w:val="3E6447D3"/>
    <w:rsid w:val="3E7762B4"/>
    <w:rsid w:val="403A316D"/>
    <w:rsid w:val="405E0C34"/>
    <w:rsid w:val="41844C31"/>
    <w:rsid w:val="44481C98"/>
    <w:rsid w:val="44BF09B5"/>
    <w:rsid w:val="45AF6771"/>
    <w:rsid w:val="4A0F5F3A"/>
    <w:rsid w:val="4BD96800"/>
    <w:rsid w:val="4CF531D7"/>
    <w:rsid w:val="4E21623C"/>
    <w:rsid w:val="4E217FEA"/>
    <w:rsid w:val="4F2C078A"/>
    <w:rsid w:val="51384BE3"/>
    <w:rsid w:val="56001699"/>
    <w:rsid w:val="596017FA"/>
    <w:rsid w:val="5A6C4CE3"/>
    <w:rsid w:val="5AB73595"/>
    <w:rsid w:val="5CE172C2"/>
    <w:rsid w:val="5D8463D5"/>
    <w:rsid w:val="5F6D308F"/>
    <w:rsid w:val="610C5620"/>
    <w:rsid w:val="61F9246E"/>
    <w:rsid w:val="62AF289C"/>
    <w:rsid w:val="665976F6"/>
    <w:rsid w:val="66F525EC"/>
    <w:rsid w:val="673F75AC"/>
    <w:rsid w:val="67990024"/>
    <w:rsid w:val="67F71D02"/>
    <w:rsid w:val="69392234"/>
    <w:rsid w:val="693E3CEF"/>
    <w:rsid w:val="69DA57C5"/>
    <w:rsid w:val="6BE9056F"/>
    <w:rsid w:val="6C496C32"/>
    <w:rsid w:val="6C94257B"/>
    <w:rsid w:val="6C991968"/>
    <w:rsid w:val="6EC24A7A"/>
    <w:rsid w:val="6F1A48B6"/>
    <w:rsid w:val="6F356F83"/>
    <w:rsid w:val="6F751AEC"/>
    <w:rsid w:val="6FDD7DBD"/>
    <w:rsid w:val="706C2927"/>
    <w:rsid w:val="71D21478"/>
    <w:rsid w:val="759150D7"/>
    <w:rsid w:val="759524A0"/>
    <w:rsid w:val="766429E6"/>
    <w:rsid w:val="76650B0D"/>
    <w:rsid w:val="76695480"/>
    <w:rsid w:val="76B35A89"/>
    <w:rsid w:val="77BF1D5A"/>
    <w:rsid w:val="793D7B1F"/>
    <w:rsid w:val="7C684EB3"/>
    <w:rsid w:val="7EAA40ED"/>
    <w:rsid w:val="7EC26032"/>
    <w:rsid w:val="7FF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1147</Words>
  <Characters>1428</Characters>
  <Lines>8</Lines>
  <Paragraphs>2</Paragraphs>
  <TotalTime>6</TotalTime>
  <ScaleCrop>false</ScaleCrop>
  <LinksUpToDate>false</LinksUpToDate>
  <CharactersWithSpaces>1624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2022-04-12T09:52:00Z</dcterms:created>
  <dc:creator>win10wai_test</dc:creator>
  <cp:lastModifiedBy>工作</cp:lastModifiedBy>
  <cp:lastPrinted>2023-03-30T00:42:00Z</cp:lastPrinted>
  <dcterms:modified xsi:type="dcterms:W3CDTF">2024-05-11T10:28:29Z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1CAA8CFF84F84CA6B2F7841F352DAEBC</vt:lpwstr>
  </property>
  <property fmtid="{D5CDD505-2E9C-101B-9397-08002B2CF9AE}" pid="4" name="commondata">
    <vt:lpwstr>eyJoZGlkIjoiM2MyMmVlNDY4ZmI0NTczOTJmMGMzZThiMmE2YmIwY2EifQ==</vt:lpwstr>
  </property>
</Properties>
</file>