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FB549">
      <w:pPr>
        <w:spacing w:before="624" w:beforeLines="200" w:after="312" w:afterLines="100" w:line="360" w:lineRule="auto"/>
        <w:jc w:val="center"/>
        <w:rPr>
          <w:rFonts w:ascii="宋体" w:hAnsi="宋体"/>
          <w:b/>
          <w:sz w:val="44"/>
          <w:szCs w:val="30"/>
        </w:rPr>
      </w:pPr>
      <w:r>
        <w:rPr>
          <w:rFonts w:hint="eastAsia" w:ascii="宋体" w:hAnsi="宋体"/>
          <w:b/>
          <w:sz w:val="44"/>
          <w:szCs w:val="30"/>
        </w:rPr>
        <w:t>广东省人民医院</w:t>
      </w:r>
      <w:r>
        <w:rPr>
          <w:rFonts w:ascii="宋体" w:hAnsi="宋体"/>
          <w:b/>
          <w:sz w:val="44"/>
          <w:szCs w:val="30"/>
        </w:rPr>
        <w:t>202</w:t>
      </w:r>
      <w:r>
        <w:rPr>
          <w:rFonts w:hint="eastAsia" w:ascii="宋体" w:hAnsi="宋体"/>
          <w:b/>
          <w:sz w:val="44"/>
          <w:szCs w:val="30"/>
          <w:lang w:val="en-US" w:eastAsia="zh-CN"/>
        </w:rPr>
        <w:t>4</w:t>
      </w:r>
      <w:r>
        <w:rPr>
          <w:rFonts w:hint="eastAsia" w:ascii="宋体" w:hAnsi="宋体"/>
          <w:b/>
          <w:sz w:val="44"/>
          <w:szCs w:val="30"/>
        </w:rPr>
        <w:t>年度</w:t>
      </w:r>
      <w:r>
        <w:rPr>
          <w:rFonts w:hint="eastAsia" w:ascii="宋体" w:hAnsi="宋体"/>
          <w:b/>
          <w:sz w:val="44"/>
          <w:szCs w:val="30"/>
          <w:lang w:val="en-US" w:eastAsia="zh-CN"/>
        </w:rPr>
        <w:t>核心业务类</w:t>
      </w:r>
      <w:r>
        <w:rPr>
          <w:rFonts w:hint="eastAsia" w:ascii="宋体" w:hAnsi="宋体"/>
          <w:b/>
          <w:sz w:val="44"/>
          <w:szCs w:val="30"/>
        </w:rPr>
        <w:t>信息系统维护服务项目需求</w:t>
      </w:r>
    </w:p>
    <w:p w14:paraId="31A9A285">
      <w:pPr>
        <w:pStyle w:val="2"/>
        <w:numPr>
          <w:ilvl w:val="0"/>
          <w:numId w:val="2"/>
        </w:numPr>
        <w:spacing w:before="0" w:after="0"/>
        <w:rPr>
          <w:rFonts w:ascii="宋体" w:hAnsi="宋体"/>
          <w:sz w:val="32"/>
          <w:szCs w:val="32"/>
        </w:rPr>
      </w:pPr>
      <w:r>
        <w:rPr>
          <w:rFonts w:hint="eastAsia" w:ascii="宋体" w:hAnsi="宋体"/>
          <w:sz w:val="32"/>
          <w:szCs w:val="32"/>
        </w:rPr>
        <w:t>项目名称</w:t>
      </w:r>
    </w:p>
    <w:p w14:paraId="63CBD184">
      <w:pPr>
        <w:spacing w:line="360" w:lineRule="auto"/>
        <w:ind w:left="432"/>
        <w:rPr>
          <w:rFonts w:ascii="宋体" w:hAnsi="宋体"/>
          <w:sz w:val="22"/>
        </w:rPr>
      </w:pPr>
      <w:r>
        <w:rPr>
          <w:rFonts w:hint="eastAsia" w:ascii="宋体" w:hAnsi="宋体"/>
          <w:sz w:val="22"/>
        </w:rPr>
        <w:t>项目名称：</w:t>
      </w:r>
      <w:r>
        <w:rPr>
          <w:rFonts w:hint="eastAsia" w:cs="宋体" w:asciiTheme="minorEastAsia" w:hAnsiTheme="minorEastAsia" w:eastAsiaTheme="minorEastAsia"/>
          <w:sz w:val="24"/>
        </w:rPr>
        <w:t>广东省人民医院</w:t>
      </w:r>
      <w:r>
        <w:rPr>
          <w:rFonts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4年度核心业务类信息</w:t>
      </w:r>
      <w:r>
        <w:rPr>
          <w:rFonts w:hint="eastAsia" w:cs="宋体" w:asciiTheme="minorEastAsia" w:hAnsiTheme="minorEastAsia" w:eastAsiaTheme="minorEastAsia"/>
          <w:sz w:val="24"/>
        </w:rPr>
        <w:t>系统维护服务项目</w:t>
      </w:r>
    </w:p>
    <w:p w14:paraId="63AC4FEA">
      <w:pPr>
        <w:spacing w:line="360" w:lineRule="auto"/>
        <w:ind w:left="432"/>
        <w:rPr>
          <w:rFonts w:ascii="宋体" w:hAnsi="宋体"/>
          <w:sz w:val="22"/>
        </w:rPr>
      </w:pPr>
    </w:p>
    <w:p w14:paraId="094F7BC1">
      <w:pPr>
        <w:pStyle w:val="2"/>
        <w:numPr>
          <w:ilvl w:val="0"/>
          <w:numId w:val="2"/>
        </w:numPr>
        <w:spacing w:before="0" w:after="0"/>
        <w:rPr>
          <w:rFonts w:ascii="宋体" w:hAnsi="宋体"/>
          <w:sz w:val="32"/>
          <w:szCs w:val="32"/>
        </w:rPr>
      </w:pPr>
      <w:r>
        <w:rPr>
          <w:rFonts w:hint="eastAsia" w:ascii="宋体" w:hAnsi="宋体"/>
          <w:sz w:val="32"/>
          <w:szCs w:val="32"/>
        </w:rPr>
        <w:t>服务内容</w:t>
      </w:r>
    </w:p>
    <w:p w14:paraId="3B5E93EB">
      <w:pPr>
        <w:numPr>
          <w:ilvl w:val="1"/>
          <w:numId w:val="3"/>
        </w:numPr>
        <w:tabs>
          <w:tab w:val="left" w:pos="1145"/>
        </w:tabs>
        <w:spacing w:line="360" w:lineRule="auto"/>
        <w:ind w:left="709" w:leftChars="0" w:hanging="489" w:firstLineChars="0"/>
        <w:jc w:val="left"/>
        <w:rPr>
          <w:rFonts w:asciiTheme="minorEastAsia" w:hAnsiTheme="minorEastAsia" w:eastAsiaTheme="minorEastAsia"/>
          <w:sz w:val="24"/>
        </w:rPr>
      </w:pPr>
      <w:r>
        <w:rPr>
          <w:rFonts w:hint="eastAsia" w:cs="宋体" w:asciiTheme="minorEastAsia" w:hAnsiTheme="minorEastAsia" w:eastAsiaTheme="minorEastAsia"/>
          <w:sz w:val="24"/>
        </w:rPr>
        <w:t>用户简介</w:t>
      </w:r>
    </w:p>
    <w:p w14:paraId="741570C2">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广东省人民医院是全国最大的集医疗、科研、教学、预防和保健于一体的综合性三甲医院之一，在全国同行业中名列前茅。</w:t>
      </w:r>
    </w:p>
    <w:p w14:paraId="2194F54F">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广东省人民医院信息管理系统（</w:t>
      </w:r>
      <w:r>
        <w:rPr>
          <w:rFonts w:cs="宋体" w:asciiTheme="minorEastAsia" w:hAnsiTheme="minorEastAsia" w:eastAsiaTheme="minorEastAsia"/>
          <w:sz w:val="24"/>
        </w:rPr>
        <w:t>HIS</w:t>
      </w:r>
      <w:r>
        <w:rPr>
          <w:rFonts w:hint="eastAsia" w:cs="宋体" w:asciiTheme="minorEastAsia" w:hAnsiTheme="minorEastAsia" w:eastAsiaTheme="minorEastAsia"/>
          <w:sz w:val="24"/>
        </w:rPr>
        <w:t>）覆盖医院</w:t>
      </w:r>
      <w:r>
        <w:rPr>
          <w:rFonts w:hint="eastAsia" w:cs="宋体" w:asciiTheme="minorEastAsia" w:hAnsiTheme="minorEastAsia" w:eastAsiaTheme="minorEastAsia"/>
          <w:sz w:val="24"/>
          <w:lang w:val="en-US" w:eastAsia="zh-CN"/>
        </w:rPr>
        <w:t>医疗、护理、</w:t>
      </w:r>
      <w:r>
        <w:rPr>
          <w:rFonts w:hint="eastAsia" w:cs="宋体" w:asciiTheme="minorEastAsia" w:hAnsiTheme="minorEastAsia" w:eastAsiaTheme="minorEastAsia"/>
          <w:sz w:val="24"/>
        </w:rPr>
        <w:t>经济管理、核算、库存、查询、统计等人财物流的各个领域。因此，医院的业务发展越来越需要信息系统的强有力支持。</w:t>
      </w:r>
    </w:p>
    <w:p w14:paraId="74A89859">
      <w:pPr>
        <w:numPr>
          <w:ilvl w:val="1"/>
          <w:numId w:val="3"/>
        </w:numPr>
        <w:tabs>
          <w:tab w:val="left" w:pos="1145"/>
        </w:tabs>
        <w:spacing w:line="360" w:lineRule="auto"/>
        <w:ind w:left="709" w:leftChars="0" w:hanging="489" w:firstLineChars="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系统清单</w:t>
      </w:r>
    </w:p>
    <w:p w14:paraId="1D810C63">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广东省人民医院将购买医院信息系统各子系统的维护服务，目前广东省人民医院已在线运行的医院信息系统各子系统的模块及功能如下</w:t>
      </w:r>
      <w:r>
        <w:rPr>
          <w:rFonts w:hint="eastAsia" w:cs="宋体" w:asciiTheme="minorEastAsia" w:hAnsiTheme="minorEastAsia" w:eastAsiaTheme="minorEastAsia"/>
          <w:sz w:val="24"/>
          <w:lang w:val="en-US" w:eastAsia="zh-CN"/>
        </w:rPr>
        <w:t>(简称“软件”）</w:t>
      </w:r>
      <w:r>
        <w:rPr>
          <w:rFonts w:hint="eastAsia" w:cs="宋体" w:asciiTheme="minorEastAsia" w:hAnsiTheme="minorEastAsia" w:eastAsiaTheme="minorEastAsia"/>
          <w:sz w:val="24"/>
        </w:rPr>
        <w:t>：</w:t>
      </w:r>
    </w:p>
    <w:p w14:paraId="500910F6">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库房管理系统（</w:t>
      </w:r>
      <w:r>
        <w:rPr>
          <w:rFonts w:hint="eastAsia" w:cs="宋体" w:asciiTheme="minorEastAsia" w:hAnsiTheme="minorEastAsia" w:eastAsiaTheme="minorEastAsia"/>
          <w:sz w:val="24"/>
          <w:szCs w:val="24"/>
          <w:lang w:val="en-US" w:eastAsia="zh-CN"/>
        </w:rPr>
        <w:t>含</w:t>
      </w:r>
      <w:r>
        <w:rPr>
          <w:rFonts w:hint="eastAsia" w:cs="宋体" w:asciiTheme="minorEastAsia" w:hAnsiTheme="minorEastAsia" w:eastAsiaTheme="minorEastAsia"/>
          <w:sz w:val="24"/>
          <w:szCs w:val="24"/>
        </w:rPr>
        <w:t>低值易耗品</w:t>
      </w:r>
      <w:r>
        <w:rPr>
          <w:rFonts w:hint="eastAsia" w:cs="宋体" w:asciiTheme="minorEastAsia" w:hAnsiTheme="minorEastAsia" w:eastAsiaTheme="minorEastAsia"/>
          <w:sz w:val="24"/>
          <w:szCs w:val="24"/>
          <w:lang w:eastAsia="zh-CN"/>
        </w:rPr>
        <w:t>、被服、食品</w:t>
      </w:r>
      <w:r>
        <w:rPr>
          <w:rFonts w:hint="eastAsia" w:cs="宋体" w:asciiTheme="minorEastAsia" w:hAnsiTheme="minorEastAsia" w:eastAsiaTheme="minorEastAsia"/>
          <w:sz w:val="24"/>
          <w:szCs w:val="24"/>
        </w:rPr>
        <w:t>管理系统）</w:t>
      </w:r>
    </w:p>
    <w:p w14:paraId="465B31E9">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综合查询系统</w:t>
      </w:r>
    </w:p>
    <w:p w14:paraId="355F6D23">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成本</w:t>
      </w:r>
      <w:r>
        <w:rPr>
          <w:rFonts w:hint="eastAsia" w:cs="宋体" w:asciiTheme="minorEastAsia" w:hAnsiTheme="minorEastAsia" w:eastAsiaTheme="minorEastAsia"/>
          <w:sz w:val="24"/>
          <w:szCs w:val="24"/>
        </w:rPr>
        <w:t>核算系统</w:t>
      </w:r>
    </w:p>
    <w:p w14:paraId="54262B39">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职工薪资管理系统</w:t>
      </w:r>
    </w:p>
    <w:p w14:paraId="20F56C18">
      <w:pPr>
        <w:pStyle w:val="14"/>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财务系统</w:t>
      </w:r>
    </w:p>
    <w:p w14:paraId="70AC9C46">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阳光用药监控平台</w:t>
      </w:r>
    </w:p>
    <w:p w14:paraId="073537EA">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人员动态管理系统</w:t>
      </w:r>
    </w:p>
    <w:p w14:paraId="0D224994">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体检中心健康管理系统</w:t>
      </w:r>
    </w:p>
    <w:p w14:paraId="4FB3B453">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医院信息集成平台系统</w:t>
      </w:r>
    </w:p>
    <w:p w14:paraId="1D4F0F75">
      <w:pPr>
        <w:pStyle w:val="14"/>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住院病人成本归集系统</w:t>
      </w:r>
    </w:p>
    <w:p w14:paraId="15D85452">
      <w:pPr>
        <w:pStyle w:val="14"/>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医院</w:t>
      </w:r>
      <w:r>
        <w:rPr>
          <w:rFonts w:hint="eastAsia" w:cs="宋体" w:asciiTheme="minorEastAsia" w:hAnsiTheme="minorEastAsia" w:eastAsiaTheme="minorEastAsia"/>
          <w:sz w:val="24"/>
          <w:szCs w:val="24"/>
        </w:rPr>
        <w:t>数据中心（一期）</w:t>
      </w:r>
    </w:p>
    <w:p w14:paraId="22340B6D">
      <w:pPr>
        <w:pStyle w:val="14"/>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管理数据中心</w:t>
      </w:r>
    </w:p>
    <w:p w14:paraId="1516333A">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患者主索引（</w:t>
      </w:r>
      <w:r>
        <w:rPr>
          <w:rFonts w:asciiTheme="minorEastAsia" w:hAnsiTheme="minorEastAsia" w:eastAsiaTheme="minorEastAsia"/>
          <w:sz w:val="24"/>
          <w:szCs w:val="24"/>
        </w:rPr>
        <w:t>EMPI</w:t>
      </w:r>
      <w:r>
        <w:rPr>
          <w:rFonts w:hint="eastAsia" w:asciiTheme="minorEastAsia" w:hAnsiTheme="minorEastAsia" w:eastAsiaTheme="minorEastAsia"/>
          <w:sz w:val="24"/>
          <w:szCs w:val="24"/>
        </w:rPr>
        <w:t>）</w:t>
      </w:r>
    </w:p>
    <w:p w14:paraId="6DF9246D">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住院移动护理</w:t>
      </w:r>
    </w:p>
    <w:p w14:paraId="07CAC639">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采购一体化智能管理系统</w:t>
      </w:r>
    </w:p>
    <w:p w14:paraId="6B2BB50F">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对外数据服务系统</w:t>
      </w:r>
    </w:p>
    <w:p w14:paraId="7ECD2987">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临床数据中心(二期）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含</w:t>
      </w:r>
      <w:r>
        <w:rPr>
          <w:rFonts w:hint="eastAsia" w:asciiTheme="minorEastAsia" w:hAnsiTheme="minorEastAsia" w:eastAsiaTheme="minorEastAsia"/>
          <w:sz w:val="24"/>
          <w:szCs w:val="24"/>
        </w:rPr>
        <w:t>随访系统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脱敏系统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科研查询系统</w:t>
      </w:r>
      <w:r>
        <w:rPr>
          <w:rFonts w:hint="eastAsia" w:asciiTheme="minorEastAsia" w:hAnsiTheme="minorEastAsia" w:eastAsiaTheme="minorEastAsia"/>
          <w:sz w:val="24"/>
          <w:szCs w:val="24"/>
          <w:lang w:eastAsia="zh-CN"/>
        </w:rPr>
        <w:t>）</w:t>
      </w:r>
    </w:p>
    <w:p w14:paraId="7721490E">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新一代HIS系统（含临床诊疗、电子病历、医疗管理、医技管理、药事管理、患者服务、运营管理、护理文书</w:t>
      </w:r>
      <w:bookmarkStart w:id="1" w:name="_GoBack"/>
      <w:bookmarkEnd w:id="1"/>
      <w:r>
        <w:rPr>
          <w:rFonts w:hint="eastAsia" w:asciiTheme="minorEastAsia" w:hAnsiTheme="minorEastAsia" w:eastAsiaTheme="minorEastAsia"/>
          <w:sz w:val="24"/>
          <w:szCs w:val="24"/>
          <w:lang w:val="en-US" w:eastAsia="zh-CN"/>
        </w:rPr>
        <w:t>）</w:t>
      </w:r>
    </w:p>
    <w:p w14:paraId="25BE9C26">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非夜班移动护理</w:t>
      </w:r>
    </w:p>
    <w:p w14:paraId="66AFEF20">
      <w:pPr>
        <w:pStyle w:val="14"/>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抗菌药物科学化管理系统</w:t>
      </w:r>
    </w:p>
    <w:p w14:paraId="03E5AD6B">
      <w:pPr>
        <w:pStyle w:val="14"/>
        <w:spacing w:line="360" w:lineRule="auto"/>
        <w:ind w:left="900" w:firstLine="0" w:firstLineChars="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服务内容包含上述系统所有功能</w:t>
      </w:r>
      <w:r>
        <w:rPr>
          <w:rFonts w:hint="eastAsia" w:cs="宋体" w:asciiTheme="minorEastAsia" w:hAnsiTheme="minorEastAsia" w:eastAsiaTheme="minorEastAsia"/>
          <w:sz w:val="24"/>
          <w:szCs w:val="24"/>
          <w:lang w:eastAsia="zh-CN"/>
        </w:rPr>
        <w:t>与数据开发</w:t>
      </w:r>
      <w:r>
        <w:rPr>
          <w:rFonts w:hint="eastAsia" w:cs="宋体" w:asciiTheme="minorEastAsia" w:hAnsiTheme="minorEastAsia" w:eastAsiaTheme="minorEastAsia"/>
          <w:sz w:val="24"/>
          <w:szCs w:val="24"/>
          <w:lang w:val="en-US" w:eastAsia="zh-CN"/>
        </w:rPr>
        <w:t>服务</w:t>
      </w:r>
      <w:r>
        <w:rPr>
          <w:rFonts w:hint="eastAsia" w:cs="宋体" w:asciiTheme="minorEastAsia" w:hAnsiTheme="minorEastAsia" w:eastAsiaTheme="minorEastAsia"/>
          <w:sz w:val="24"/>
          <w:szCs w:val="24"/>
        </w:rPr>
        <w:t>。</w:t>
      </w:r>
    </w:p>
    <w:p w14:paraId="7946DF49">
      <w:pPr>
        <w:numPr>
          <w:ilvl w:val="1"/>
          <w:numId w:val="3"/>
        </w:numPr>
        <w:tabs>
          <w:tab w:val="left" w:pos="1145"/>
        </w:tabs>
        <w:spacing w:line="360" w:lineRule="auto"/>
        <w:ind w:left="709" w:leftChars="0" w:hanging="489"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项目内容</w:t>
      </w:r>
    </w:p>
    <w:p w14:paraId="4272B4B1">
      <w:pPr>
        <w:numPr>
          <w:ilvl w:val="0"/>
          <w:numId w:val="0"/>
        </w:numPr>
        <w:tabs>
          <w:tab w:val="left" w:pos="1145"/>
        </w:tabs>
        <w:spacing w:line="360" w:lineRule="auto"/>
        <w:ind w:left="220" w:leftChars="0" w:firstLine="720" w:firstLineChars="3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本条款所界定的服务是指服务方在“软件”运维过程中提供给院方的服务，包括软件日常维护、修改调整、集成服务、系统集成服务、业务系统数据库维护服务、项目管理、需求分析服务。</w:t>
      </w:r>
      <w:r>
        <w:rPr>
          <w:rFonts w:hint="eastAsia" w:cs="宋体" w:asciiTheme="minorEastAsia" w:hAnsiTheme="minorEastAsia" w:eastAsiaTheme="minorEastAsia"/>
          <w:sz w:val="24"/>
          <w:highlight w:val="none"/>
          <w:lang w:val="en-US" w:eastAsia="zh-CN"/>
        </w:rPr>
        <w:t>在本项目服务期</w:t>
      </w:r>
      <w:r>
        <w:rPr>
          <w:rFonts w:hint="eastAsia" w:cs="宋体" w:asciiTheme="minorEastAsia" w:hAnsiTheme="minorEastAsia" w:eastAsiaTheme="minorEastAsia"/>
          <w:sz w:val="24"/>
          <w:highlight w:val="none"/>
          <w:lang w:eastAsia="zh-CN"/>
        </w:rPr>
        <w:t>内，由服务商开发的新项目和新系统验收后，自动转入本项目进行维护，不再另行签订合同和收费。</w:t>
      </w:r>
    </w:p>
    <w:p w14:paraId="05760666">
      <w:pPr>
        <w:pStyle w:val="14"/>
        <w:keepNext/>
        <w:keepLines/>
        <w:numPr>
          <w:ilvl w:val="0"/>
          <w:numId w:val="1"/>
        </w:numPr>
        <w:spacing w:line="578" w:lineRule="auto"/>
        <w:ind w:firstLineChars="0"/>
        <w:outlineLvl w:val="0"/>
        <w:rPr>
          <w:rFonts w:ascii="宋体" w:hAnsi="宋体" w:eastAsia="宋体"/>
          <w:b/>
          <w:bCs/>
          <w:vanish/>
          <w:kern w:val="44"/>
          <w:sz w:val="44"/>
          <w:szCs w:val="44"/>
        </w:rPr>
      </w:pPr>
    </w:p>
    <w:p w14:paraId="5148F6DA">
      <w:pPr>
        <w:pStyle w:val="14"/>
        <w:keepNext/>
        <w:keepLines/>
        <w:numPr>
          <w:ilvl w:val="0"/>
          <w:numId w:val="1"/>
        </w:numPr>
        <w:spacing w:line="578" w:lineRule="auto"/>
        <w:ind w:firstLineChars="0"/>
        <w:outlineLvl w:val="0"/>
        <w:rPr>
          <w:rFonts w:ascii="宋体" w:hAnsi="宋体" w:eastAsia="宋体"/>
          <w:b/>
          <w:bCs/>
          <w:vanish/>
          <w:kern w:val="44"/>
          <w:sz w:val="44"/>
          <w:szCs w:val="44"/>
        </w:rPr>
      </w:pPr>
    </w:p>
    <w:p w14:paraId="1490BE98">
      <w:pPr>
        <w:pStyle w:val="14"/>
        <w:keepNext/>
        <w:keepLines/>
        <w:numPr>
          <w:ilvl w:val="0"/>
          <w:numId w:val="1"/>
        </w:numPr>
        <w:spacing w:line="578" w:lineRule="auto"/>
        <w:ind w:firstLineChars="0"/>
        <w:outlineLvl w:val="0"/>
        <w:rPr>
          <w:rFonts w:ascii="宋体" w:hAnsi="宋体" w:eastAsia="宋体"/>
          <w:b/>
          <w:bCs/>
          <w:vanish/>
          <w:kern w:val="44"/>
          <w:sz w:val="44"/>
          <w:szCs w:val="44"/>
        </w:rPr>
      </w:pPr>
    </w:p>
    <w:p w14:paraId="318EEBDA">
      <w:pPr>
        <w:pStyle w:val="14"/>
        <w:keepNext/>
        <w:keepLines/>
        <w:numPr>
          <w:ilvl w:val="1"/>
          <w:numId w:val="1"/>
        </w:numPr>
        <w:spacing w:line="578" w:lineRule="auto"/>
        <w:ind w:firstLineChars="0"/>
        <w:outlineLvl w:val="0"/>
        <w:rPr>
          <w:rFonts w:ascii="宋体" w:hAnsi="宋体" w:eastAsia="宋体"/>
          <w:b/>
          <w:bCs/>
          <w:vanish/>
          <w:kern w:val="44"/>
          <w:sz w:val="44"/>
          <w:szCs w:val="44"/>
        </w:rPr>
      </w:pPr>
    </w:p>
    <w:p w14:paraId="66D8F0C9">
      <w:pPr>
        <w:numPr>
          <w:ilvl w:val="0"/>
          <w:numId w:val="5"/>
        </w:numPr>
        <w:tabs>
          <w:tab w:val="left" w:pos="0"/>
        </w:tabs>
        <w:spacing w:before="156" w:beforeLines="50" w:line="360" w:lineRule="auto"/>
        <w:ind w:left="0" w:leftChars="0" w:firstLine="422" w:firstLineChars="200"/>
        <w:outlineLvl w:val="0"/>
        <w:rPr>
          <w:rFonts w:ascii="宋体" w:hAnsi="宋体"/>
          <w:b/>
          <w:szCs w:val="21"/>
        </w:rPr>
      </w:pPr>
      <w:bookmarkStart w:id="0" w:name="_6.1.2、容器服务器"/>
      <w:bookmarkEnd w:id="0"/>
      <w:r>
        <w:rPr>
          <w:rFonts w:hint="eastAsia" w:ascii="宋体" w:hAnsi="宋体"/>
          <w:b/>
          <w:szCs w:val="21"/>
        </w:rPr>
        <w:t>日常维护</w:t>
      </w:r>
    </w:p>
    <w:p w14:paraId="255B3E68">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稳定运行保障</w:t>
      </w:r>
    </w:p>
    <w:p w14:paraId="0E510592">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制定和调整系统检查和维护方案，保证在用各系统及其功能</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接口</w:t>
      </w:r>
      <w:r>
        <w:rPr>
          <w:rFonts w:hint="eastAsia" w:cs="宋体" w:asciiTheme="minorEastAsia" w:hAnsiTheme="minorEastAsia" w:eastAsiaTheme="minorEastAsia"/>
          <w:sz w:val="24"/>
        </w:rPr>
        <w:t>的完整及正确性，能承受不断增加的业务和数据压力，保证系统运行的高效、稳定。</w:t>
      </w:r>
    </w:p>
    <w:p w14:paraId="3788855E">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系统错误修复</w:t>
      </w:r>
    </w:p>
    <w:p w14:paraId="5824D8C0">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系统在使用过程中发现的错误，在2个工作日完成修复。</w:t>
      </w:r>
    </w:p>
    <w:p w14:paraId="2DF92DE3">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系统数据修复</w:t>
      </w:r>
    </w:p>
    <w:p w14:paraId="170F2616">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系统使用过程中，因用户误操作等原因导致的数据错误，查明原因和进行数据修复。在5个工作日完成修复。</w:t>
      </w:r>
    </w:p>
    <w:p w14:paraId="77428F58">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实施培训</w:t>
      </w:r>
    </w:p>
    <w:p w14:paraId="3B660AC4">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负责因各种原因变化增加的项目实施和人员培训工作。</w:t>
      </w:r>
    </w:p>
    <w:p w14:paraId="5FC7AFA9">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修改调整</w:t>
      </w:r>
    </w:p>
    <w:p w14:paraId="1A6B144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根据院方的要求改进或扩充信息系统使其更完善、适应环境的变化，并将这些修改调整加以实施、培训、后续服务。</w:t>
      </w:r>
    </w:p>
    <w:p w14:paraId="011A63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针对院方提出的功能调整，服务商需进行</w:t>
      </w:r>
      <w:r>
        <w:rPr>
          <w:rFonts w:hint="eastAsia" w:cs="宋体" w:asciiTheme="minorEastAsia" w:hAnsiTheme="minorEastAsia" w:eastAsiaTheme="minorEastAsia"/>
          <w:sz w:val="24"/>
        </w:rPr>
        <w:t>日常需求调研、需求文档整理。程序更换前测试、更换程序期间以及更换程序后的维护服务。</w:t>
      </w:r>
    </w:p>
    <w:p w14:paraId="7A5CB22C">
      <w:pPr>
        <w:spacing w:line="360" w:lineRule="auto"/>
        <w:ind w:firstLine="480" w:firstLineChars="200"/>
        <w:rPr>
          <w:rFonts w:ascii="宋体" w:hAnsi="宋体"/>
          <w:szCs w:val="21"/>
        </w:rPr>
      </w:pPr>
      <w:r>
        <w:rPr>
          <w:rFonts w:hint="eastAsia" w:asciiTheme="minorEastAsia" w:hAnsiTheme="minorEastAsia" w:eastAsiaTheme="minorEastAsia"/>
          <w:sz w:val="24"/>
        </w:rPr>
        <w:t>服务商根据院方所提出的需求，对软件进行本地化修改过程中，涉及数据库表结构，视图以及存储过程的变更，需要通过院方信息部门的评审，评审通过后方可修改。</w:t>
      </w:r>
    </w:p>
    <w:p w14:paraId="1BE9B704">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完善性调整</w:t>
      </w:r>
    </w:p>
    <w:p w14:paraId="7AC27DFC">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支持为达致符合政府规范、要求所必须进行的修改。</w:t>
      </w:r>
    </w:p>
    <w:p w14:paraId="7A713189">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在系统结构允许的范围内，根据院方管理和业务变化做出必要的流程变更、功能新增、调整和修改，执行和实施信息系统软件升级。</w:t>
      </w:r>
    </w:p>
    <w:p w14:paraId="31212262">
      <w:pPr>
        <w:numPr>
          <w:ilvl w:val="0"/>
          <w:numId w:val="8"/>
        </w:numPr>
        <w:spacing w:line="360" w:lineRule="auto"/>
        <w:ind w:left="420" w:leftChars="0"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满足医院对外数据上报接口的修改。</w:t>
      </w:r>
    </w:p>
    <w:p w14:paraId="36FB215E">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适应性调整</w:t>
      </w:r>
    </w:p>
    <w:p w14:paraId="1B8A7173">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维护期内，信息系统的应适应支撑系统软件（包括服务器端、客户端），如操作系统、数据库系统、浏览器等发生改变而做相应的调整。</w:t>
      </w:r>
    </w:p>
    <w:p w14:paraId="1B10268F">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安全要求调整</w:t>
      </w:r>
    </w:p>
    <w:p w14:paraId="7BAD07ED">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当现有系统存在安全漏洞时，服务商必须及时免费整改修复。</w:t>
      </w:r>
    </w:p>
    <w:p w14:paraId="41709269">
      <w:pPr>
        <w:spacing w:line="360" w:lineRule="auto"/>
        <w:ind w:left="480"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院</w:t>
      </w:r>
      <w:r>
        <w:rPr>
          <w:rFonts w:hint="eastAsia" w:cs="宋体" w:asciiTheme="minorEastAsia" w:hAnsiTheme="minorEastAsia" w:eastAsiaTheme="minorEastAsia"/>
          <w:sz w:val="24"/>
        </w:rPr>
        <w:t>方每年进行系统等保复测，</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必须按等保复测提出的整改要求及时完成系统整改</w:t>
      </w:r>
      <w:r>
        <w:rPr>
          <w:rFonts w:hint="eastAsia" w:cs="宋体" w:asciiTheme="minorEastAsia" w:hAnsiTheme="minorEastAsia" w:eastAsiaTheme="minorEastAsia"/>
          <w:sz w:val="24"/>
          <w:lang w:eastAsia="zh-CN"/>
        </w:rPr>
        <w:t>。</w:t>
      </w:r>
    </w:p>
    <w:p w14:paraId="56E59456">
      <w:pPr>
        <w:numPr>
          <w:ilvl w:val="0"/>
          <w:numId w:val="7"/>
        </w:numPr>
        <w:spacing w:line="360" w:lineRule="auto"/>
        <w:ind w:left="845" w:leftChars="0"/>
        <w:rPr>
          <w:rFonts w:asciiTheme="minorEastAsia" w:hAnsiTheme="minorEastAsia" w:eastAsiaTheme="minorEastAsia"/>
          <w:sz w:val="24"/>
        </w:rPr>
      </w:pPr>
      <w:r>
        <w:rPr>
          <w:rFonts w:hint="eastAsia" w:asciiTheme="minorEastAsia" w:hAnsiTheme="minorEastAsia" w:eastAsiaTheme="minorEastAsia"/>
          <w:sz w:val="24"/>
        </w:rPr>
        <w:t>部分系统正在或即将更换</w:t>
      </w:r>
    </w:p>
    <w:p w14:paraId="44D0FD92">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财务系统、体检中心健康管理系统只进行日常维护，不做功能修改调整。</w:t>
      </w:r>
    </w:p>
    <w:p w14:paraId="23CBD4FF">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集成</w:t>
      </w:r>
      <w:r>
        <w:rPr>
          <w:rFonts w:hint="eastAsia" w:ascii="宋体" w:hAnsi="宋体"/>
          <w:b/>
          <w:szCs w:val="21"/>
          <w:lang w:eastAsia="zh-CN"/>
        </w:rPr>
        <w:t>维护</w:t>
      </w:r>
    </w:p>
    <w:p w14:paraId="36E87480">
      <w:pPr>
        <w:numPr>
          <w:ilvl w:val="0"/>
          <w:numId w:val="9"/>
        </w:numPr>
        <w:spacing w:line="360" w:lineRule="auto"/>
        <w:ind w:left="845" w:left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在本项目服务期内</w:t>
      </w:r>
      <w:r>
        <w:rPr>
          <w:rFonts w:hint="eastAsia" w:asciiTheme="minorEastAsia" w:hAnsiTheme="minorEastAsia" w:eastAsiaTheme="minorEastAsia"/>
          <w:sz w:val="24"/>
          <w:highlight w:val="none"/>
          <w:lang w:eastAsia="zh-CN"/>
        </w:rPr>
        <w:t>，医院购买的第三方软件需要集成到</w:t>
      </w:r>
      <w:r>
        <w:rPr>
          <w:rFonts w:hint="eastAsia" w:asciiTheme="minorEastAsia" w:hAnsiTheme="minorEastAsia" w:eastAsiaTheme="minorEastAsia"/>
          <w:color w:val="auto"/>
          <w:sz w:val="24"/>
        </w:rPr>
        <w:t>合同项目范围内</w:t>
      </w:r>
      <w:r>
        <w:rPr>
          <w:rFonts w:hint="eastAsia" w:asciiTheme="minorEastAsia" w:hAnsiTheme="minorEastAsia" w:eastAsiaTheme="minorEastAsia"/>
          <w:sz w:val="24"/>
          <w:highlight w:val="none"/>
          <w:lang w:val="en-US" w:eastAsia="zh-CN"/>
        </w:rPr>
        <w:t>的系统模块</w:t>
      </w:r>
      <w:r>
        <w:rPr>
          <w:rFonts w:hint="eastAsia" w:asciiTheme="minorEastAsia" w:hAnsiTheme="minorEastAsia" w:eastAsiaTheme="minorEastAsia"/>
          <w:sz w:val="24"/>
          <w:highlight w:val="none"/>
          <w:lang w:eastAsia="zh-CN"/>
        </w:rPr>
        <w:t>时，服务商负责完成软件的接口开发工作。</w:t>
      </w:r>
    </w:p>
    <w:p w14:paraId="1371266E">
      <w:pPr>
        <w:numPr>
          <w:ilvl w:val="0"/>
          <w:numId w:val="9"/>
        </w:numPr>
        <w:spacing w:line="360" w:lineRule="auto"/>
        <w:ind w:left="845" w:leftChars="0"/>
        <w:rPr>
          <w:rFonts w:asciiTheme="minorEastAsia" w:hAnsiTheme="minorEastAsia" w:eastAsiaTheme="minorEastAsia"/>
          <w:sz w:val="24"/>
        </w:rPr>
      </w:pPr>
      <w:r>
        <w:rPr>
          <w:rFonts w:hint="eastAsia" w:asciiTheme="minorEastAsia" w:hAnsiTheme="minorEastAsia" w:eastAsiaTheme="minorEastAsia"/>
          <w:sz w:val="24"/>
          <w:highlight w:val="none"/>
        </w:rPr>
        <w:t>在本项目服务期内</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rPr>
        <w:t>对维护范围内的系统、在系统结构允许范围内，按院方要求提供数据开发服务。</w:t>
      </w:r>
    </w:p>
    <w:p w14:paraId="47A86ECD">
      <w:pPr>
        <w:numPr>
          <w:ilvl w:val="0"/>
          <w:numId w:val="5"/>
        </w:numPr>
        <w:tabs>
          <w:tab w:val="left" w:pos="0"/>
        </w:tabs>
        <w:spacing w:before="156" w:beforeLines="50" w:line="360" w:lineRule="auto"/>
        <w:ind w:left="0" w:leftChars="0" w:firstLine="422" w:firstLineChars="200"/>
        <w:outlineLvl w:val="0"/>
        <w:rPr>
          <w:rFonts w:ascii="宋体" w:hAnsi="宋体"/>
          <w:b/>
          <w:szCs w:val="21"/>
        </w:rPr>
      </w:pPr>
      <w:r>
        <w:rPr>
          <w:rFonts w:hint="eastAsia" w:ascii="宋体" w:hAnsi="宋体"/>
          <w:b/>
          <w:szCs w:val="21"/>
        </w:rPr>
        <w:t>系统集成服务</w:t>
      </w:r>
      <w:r>
        <w:rPr>
          <w:rFonts w:hint="eastAsia" w:cs="宋体" w:asciiTheme="minorEastAsia" w:hAnsiTheme="minorEastAsia" w:eastAsiaTheme="minorEastAsia"/>
          <w:sz w:val="24"/>
        </w:rPr>
        <w:t>（指服务器硬件和系统软件集成服务）</w:t>
      </w:r>
    </w:p>
    <w:p w14:paraId="251F9431">
      <w:pPr>
        <w:numPr>
          <w:ilvl w:val="0"/>
          <w:numId w:val="10"/>
        </w:numPr>
        <w:spacing w:line="360" w:lineRule="auto"/>
        <w:ind w:left="840" w:leftChars="0"/>
        <w:rPr>
          <w:rFonts w:asciiTheme="minorEastAsia" w:hAnsiTheme="minorEastAsia" w:eastAsiaTheme="minorEastAsia"/>
          <w:color w:val="auto"/>
          <w:sz w:val="24"/>
        </w:rPr>
      </w:pPr>
      <w:r>
        <w:rPr>
          <w:rFonts w:hint="eastAsia" w:asciiTheme="minorEastAsia" w:hAnsiTheme="minorEastAsia" w:eastAsiaTheme="minorEastAsia"/>
          <w:color w:val="auto"/>
          <w:sz w:val="24"/>
        </w:rPr>
        <w:t>系统维护：负责对合同项目范围内的系统模块所包含的自建应用服务以及相关中间件的管理、监控和维护；协助医院对操作系统、数据库系统平台软件的管理、监控和维护。</w:t>
      </w:r>
    </w:p>
    <w:p w14:paraId="69919A87">
      <w:pPr>
        <w:numPr>
          <w:ilvl w:val="0"/>
          <w:numId w:val="10"/>
        </w:numPr>
        <w:spacing w:line="360" w:lineRule="auto"/>
        <w:ind w:left="840" w:leftChars="0"/>
        <w:rPr>
          <w:rFonts w:asciiTheme="minorEastAsia" w:hAnsiTheme="minorEastAsia" w:eastAsiaTheme="minorEastAsia"/>
          <w:sz w:val="24"/>
        </w:rPr>
      </w:pPr>
      <w:r>
        <w:rPr>
          <w:rFonts w:hint="eastAsia" w:asciiTheme="minorEastAsia" w:hAnsiTheme="minorEastAsia" w:eastAsiaTheme="minorEastAsia"/>
          <w:sz w:val="24"/>
        </w:rPr>
        <w:t>系统安全：协助医院信息系统安全性方案的总体规划、设计和监控。</w:t>
      </w:r>
    </w:p>
    <w:p w14:paraId="21C3E254">
      <w:pPr>
        <w:numPr>
          <w:ilvl w:val="0"/>
          <w:numId w:val="10"/>
        </w:numPr>
        <w:spacing w:line="360" w:lineRule="auto"/>
        <w:ind w:left="840" w:leftChars="0"/>
        <w:rPr>
          <w:rFonts w:asciiTheme="minorEastAsia" w:hAnsiTheme="minorEastAsia" w:eastAsiaTheme="minorEastAsia"/>
          <w:sz w:val="24"/>
        </w:rPr>
      </w:pPr>
      <w:r>
        <w:rPr>
          <w:rFonts w:hint="eastAsia" w:asciiTheme="minorEastAsia" w:hAnsiTheme="minorEastAsia" w:eastAsiaTheme="minorEastAsia"/>
          <w:sz w:val="24"/>
        </w:rPr>
        <w:t>数据备份：协助医院数据备份包括实时备份和系统安全性方案的设计和实施。</w:t>
      </w:r>
    </w:p>
    <w:p w14:paraId="4680F07F">
      <w:pPr>
        <w:numPr>
          <w:ilvl w:val="0"/>
          <w:numId w:val="5"/>
        </w:numPr>
        <w:tabs>
          <w:tab w:val="left" w:pos="0"/>
        </w:tabs>
        <w:spacing w:before="156" w:beforeLines="50" w:line="360" w:lineRule="auto"/>
        <w:ind w:left="0" w:leftChars="0" w:firstLine="482" w:firstLineChars="200"/>
        <w:outlineLvl w:val="0"/>
        <w:rPr>
          <w:rFonts w:asciiTheme="minorEastAsia" w:hAnsiTheme="minorEastAsia" w:eastAsiaTheme="minorEastAsia"/>
          <w:b/>
          <w:sz w:val="24"/>
        </w:rPr>
      </w:pPr>
      <w:r>
        <w:rPr>
          <w:rFonts w:hint="eastAsia" w:cs="宋体" w:asciiTheme="minorEastAsia" w:hAnsiTheme="minorEastAsia" w:eastAsiaTheme="minorEastAsia"/>
          <w:b/>
          <w:sz w:val="24"/>
        </w:rPr>
        <w:t>业务系统数据库维护</w:t>
      </w:r>
    </w:p>
    <w:p w14:paraId="1D1DB1A8">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业务数据库巡检：服务商必须在每月对维护范围内的业务数据库进行一次巡检，包括业务运行情况、存储空间情况、业务数据库运行情况，</w:t>
      </w:r>
      <w:r>
        <w:rPr>
          <w:rFonts w:cs="宋体" w:asciiTheme="minorEastAsia" w:hAnsiTheme="minorEastAsia" w:eastAsiaTheme="minorEastAsia"/>
          <w:sz w:val="24"/>
          <w:szCs w:val="24"/>
        </w:rPr>
        <w:t>并提交巡检报告</w:t>
      </w:r>
      <w:r>
        <w:rPr>
          <w:rFonts w:hint="eastAsia" w:cs="宋体" w:asciiTheme="minorEastAsia" w:hAnsiTheme="minorEastAsia" w:eastAsiaTheme="minorEastAsia"/>
          <w:sz w:val="24"/>
          <w:szCs w:val="24"/>
        </w:rPr>
        <w:t>。</w:t>
      </w:r>
    </w:p>
    <w:p w14:paraId="62FD31E7">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配合数据库维护：配合</w:t>
      </w:r>
      <w:r>
        <w:rPr>
          <w:rFonts w:hint="eastAsia" w:cs="宋体" w:asciiTheme="minorEastAsia" w:hAnsiTheme="minorEastAsia" w:eastAsiaTheme="minorEastAsia"/>
          <w:sz w:val="24"/>
          <w:szCs w:val="24"/>
          <w:lang w:eastAsia="zh-CN"/>
        </w:rPr>
        <w:t>院方</w:t>
      </w:r>
      <w:r>
        <w:rPr>
          <w:rFonts w:hint="eastAsia" w:cs="宋体" w:asciiTheme="minorEastAsia" w:hAnsiTheme="minorEastAsia" w:eastAsiaTheme="minorEastAsia"/>
          <w:sz w:val="24"/>
          <w:szCs w:val="24"/>
        </w:rPr>
        <w:t>完成数据库系统升级、维护等工作，提供业务层面的技术支持。处理</w:t>
      </w:r>
      <w:r>
        <w:rPr>
          <w:rFonts w:cs="宋体" w:asciiTheme="minorEastAsia" w:hAnsiTheme="minorEastAsia" w:eastAsiaTheme="minorEastAsia"/>
          <w:sz w:val="24"/>
          <w:szCs w:val="24"/>
        </w:rPr>
        <w:t>数据库日常报错</w:t>
      </w:r>
      <w:r>
        <w:rPr>
          <w:rFonts w:hint="eastAsia" w:cs="宋体" w:asciiTheme="minorEastAsia" w:hAnsiTheme="minorEastAsia" w:eastAsiaTheme="minorEastAsia"/>
          <w:sz w:val="24"/>
          <w:szCs w:val="24"/>
        </w:rPr>
        <w:t>。</w:t>
      </w:r>
    </w:p>
    <w:p w14:paraId="666C590C">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配合备份管理：配合</w:t>
      </w:r>
      <w:r>
        <w:rPr>
          <w:rFonts w:hint="eastAsia" w:cs="宋体" w:asciiTheme="minorEastAsia" w:hAnsiTheme="minorEastAsia" w:eastAsiaTheme="minorEastAsia"/>
          <w:sz w:val="24"/>
          <w:szCs w:val="24"/>
          <w:lang w:eastAsia="zh-CN"/>
        </w:rPr>
        <w:t>院方</w:t>
      </w:r>
      <w:r>
        <w:rPr>
          <w:rFonts w:hint="eastAsia" w:cs="宋体" w:asciiTheme="minorEastAsia" w:hAnsiTheme="minorEastAsia" w:eastAsiaTheme="minorEastAsia"/>
          <w:sz w:val="24"/>
          <w:szCs w:val="24"/>
        </w:rPr>
        <w:t>完成</w:t>
      </w:r>
      <w:r>
        <w:rPr>
          <w:rFonts w:cs="宋体" w:asciiTheme="minorEastAsia" w:hAnsiTheme="minorEastAsia" w:eastAsiaTheme="minorEastAsia"/>
          <w:sz w:val="24"/>
          <w:szCs w:val="24"/>
        </w:rPr>
        <w:t>数据库日常备份管理，按需求梳理并调整不同数据库的备份方式和计划</w:t>
      </w:r>
      <w:r>
        <w:rPr>
          <w:rFonts w:hint="eastAsia" w:cs="宋体" w:asciiTheme="minorEastAsia" w:hAnsiTheme="minorEastAsia" w:eastAsiaTheme="minorEastAsia"/>
          <w:sz w:val="24"/>
          <w:szCs w:val="24"/>
          <w:lang w:eastAsia="zh-CN"/>
        </w:rPr>
        <w:t>。</w:t>
      </w:r>
    </w:p>
    <w:p w14:paraId="2ABD281B">
      <w:pPr>
        <w:pStyle w:val="14"/>
        <w:numPr>
          <w:ilvl w:val="0"/>
          <w:numId w:val="11"/>
        </w:numPr>
        <w:spacing w:line="360" w:lineRule="auto"/>
        <w:ind w:left="0" w:leftChars="0" w:firstLine="42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配合数据库优化：对合同项目范围内的系统模块的数据库（oracle、sql server等）性能优化、故障处理及运行报告；对高消耗SQL进行分析，并提出优化方案。</w:t>
      </w:r>
    </w:p>
    <w:p w14:paraId="48968BC4">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配合数据库迁移：</w:t>
      </w:r>
      <w:r>
        <w:rPr>
          <w:rFonts w:cs="宋体" w:asciiTheme="minorEastAsia" w:hAnsiTheme="minorEastAsia" w:eastAsiaTheme="minorEastAsia"/>
          <w:sz w:val="24"/>
          <w:szCs w:val="24"/>
        </w:rPr>
        <w:t>数据库迁移工作以及迁移变更前后对新旧环境的检查及配置</w:t>
      </w:r>
      <w:r>
        <w:rPr>
          <w:rFonts w:hint="eastAsia" w:cs="宋体" w:asciiTheme="minorEastAsia" w:hAnsiTheme="minorEastAsia" w:eastAsiaTheme="minorEastAsia"/>
          <w:sz w:val="24"/>
          <w:szCs w:val="24"/>
        </w:rPr>
        <w:t>。</w:t>
      </w:r>
    </w:p>
    <w:p w14:paraId="62C2D3B6">
      <w:pPr>
        <w:pStyle w:val="14"/>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配合数据库监控：对在用系统</w:t>
      </w:r>
      <w:r>
        <w:rPr>
          <w:rFonts w:cs="宋体" w:asciiTheme="minorEastAsia" w:hAnsiTheme="minorEastAsia" w:eastAsiaTheme="minorEastAsia"/>
          <w:sz w:val="24"/>
          <w:szCs w:val="24"/>
        </w:rPr>
        <w:t>数据库</w:t>
      </w:r>
      <w:r>
        <w:rPr>
          <w:rFonts w:hint="eastAsia" w:cs="宋体" w:asciiTheme="minorEastAsia" w:hAnsiTheme="minorEastAsia" w:eastAsiaTheme="minorEastAsia"/>
          <w:sz w:val="24"/>
          <w:szCs w:val="24"/>
        </w:rPr>
        <w:t>进行</w:t>
      </w:r>
      <w:r>
        <w:rPr>
          <w:rFonts w:cs="宋体" w:asciiTheme="minorEastAsia" w:hAnsiTheme="minorEastAsia" w:eastAsiaTheme="minorEastAsia"/>
          <w:sz w:val="24"/>
          <w:szCs w:val="24"/>
        </w:rPr>
        <w:t>运行监控、报告工作，提出风险报告及应对措施</w:t>
      </w:r>
      <w:r>
        <w:rPr>
          <w:rFonts w:hint="eastAsia" w:cs="宋体" w:asciiTheme="minorEastAsia" w:hAnsiTheme="minorEastAsia" w:eastAsiaTheme="minorEastAsia"/>
          <w:sz w:val="24"/>
          <w:szCs w:val="24"/>
        </w:rPr>
        <w:t>。</w:t>
      </w:r>
    </w:p>
    <w:p w14:paraId="79DB417E">
      <w:pPr>
        <w:numPr>
          <w:ilvl w:val="0"/>
          <w:numId w:val="5"/>
        </w:numPr>
        <w:tabs>
          <w:tab w:val="left" w:pos="0"/>
        </w:tabs>
        <w:spacing w:before="156" w:beforeLines="50" w:line="360" w:lineRule="auto"/>
        <w:ind w:left="0" w:leftChars="0" w:firstLine="480" w:firstLineChars="200"/>
        <w:outlineLvl w:val="0"/>
        <w:rPr>
          <w:rFonts w:asciiTheme="minorEastAsia" w:hAnsiTheme="minorEastAsia" w:eastAsiaTheme="minorEastAsia"/>
          <w:sz w:val="24"/>
        </w:rPr>
      </w:pPr>
      <w:r>
        <w:rPr>
          <w:rFonts w:hint="eastAsia" w:cs="宋体" w:asciiTheme="minorEastAsia" w:hAnsiTheme="minorEastAsia" w:eastAsiaTheme="minorEastAsia"/>
          <w:sz w:val="24"/>
        </w:rPr>
        <w:t>项目管理</w:t>
      </w:r>
    </w:p>
    <w:p w14:paraId="7A457D6C">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院方、服务商指派代表组成立软件项目管理小组，管理本软件的开发和实施。提供管理小组成员名单和通讯方式。院方、服务商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14:paraId="1BD74CB9">
      <w:pPr>
        <w:numPr>
          <w:ilvl w:val="0"/>
          <w:numId w:val="5"/>
        </w:numPr>
        <w:tabs>
          <w:tab w:val="left" w:pos="0"/>
        </w:tabs>
        <w:spacing w:before="156" w:beforeLines="50" w:line="360" w:lineRule="auto"/>
        <w:ind w:left="0" w:leftChars="0" w:firstLine="480" w:firstLineChars="200"/>
        <w:outlineLvl w:val="0"/>
        <w:rPr>
          <w:rFonts w:ascii="宋体"/>
          <w:b w:val="0"/>
          <w:bCs/>
          <w:kern w:val="0"/>
          <w:sz w:val="24"/>
        </w:rPr>
      </w:pPr>
      <w:r>
        <w:rPr>
          <w:rFonts w:hint="eastAsia" w:ascii="宋体" w:hAnsi="宋体"/>
          <w:b w:val="0"/>
          <w:bCs/>
          <w:kern w:val="0"/>
          <w:sz w:val="24"/>
        </w:rPr>
        <w:t>需求分析</w:t>
      </w:r>
    </w:p>
    <w:p w14:paraId="2363594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为保证“软件”更好地满足</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的工作需要，</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将在实施过程中，阶段性地向</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征集产品需求，发放需求调查表。</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项目管理人员在收到产品需求调查表，在10个工作日内，向</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提交填写完成的产品需求调查表。</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在收到</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反馈产品需求调查表后，应在10个工作日内完成需求分析书。该需求分析书经</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认可，并由甲、乙双方签字后作为项目实施过程中的文件，由甲、乙双方项目经理各自保存。对于</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主动提出的需求，</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应予以积极配合，并在收到需求信息后10个工作日内完成需求分析书。该需求分析书经双方签字后作为项目实施文件，由甲、乙双方项目经理各自保存。对于双方确定的需求，</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应积极履行开发及实施责任。</w:t>
      </w:r>
    </w:p>
    <w:p w14:paraId="67B1F8A4">
      <w:pPr>
        <w:spacing w:line="360" w:lineRule="auto"/>
        <w:rPr>
          <w:rFonts w:cs="宋体" w:asciiTheme="minorEastAsia" w:hAnsiTheme="minorEastAsia" w:eastAsiaTheme="minorEastAsia"/>
          <w:sz w:val="24"/>
        </w:rPr>
      </w:pPr>
    </w:p>
    <w:p w14:paraId="5D37CD6B">
      <w:pPr>
        <w:pStyle w:val="2"/>
        <w:numPr>
          <w:ilvl w:val="0"/>
          <w:numId w:val="2"/>
        </w:numPr>
        <w:spacing w:before="0" w:after="0"/>
        <w:rPr>
          <w:rFonts w:ascii="宋体" w:hAnsi="宋体"/>
          <w:sz w:val="32"/>
          <w:szCs w:val="32"/>
        </w:rPr>
      </w:pPr>
      <w:r>
        <w:rPr>
          <w:rFonts w:hint="eastAsia" w:ascii="宋体" w:hAnsi="宋体"/>
          <w:sz w:val="32"/>
          <w:szCs w:val="32"/>
        </w:rPr>
        <w:t>服务方式</w:t>
      </w:r>
    </w:p>
    <w:p w14:paraId="38140433">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服务商成立专门的项目组开展工作，同时应指派专人分别负责日常现场运维，功能调整修改和接口开发，按时完成工作内容。</w:t>
      </w:r>
    </w:p>
    <w:p w14:paraId="657A2C5A">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以现场服务为主，其它电话、邮件指导、远程维护、技术交流方式不限。</w:t>
      </w:r>
    </w:p>
    <w:p w14:paraId="35DDB3DD">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服务商需按照院方要求</w:t>
      </w:r>
      <w:r>
        <w:rPr>
          <w:rFonts w:hint="eastAsia" w:cs="宋体" w:asciiTheme="minorEastAsia" w:hAnsiTheme="minorEastAsia" w:eastAsiaTheme="minorEastAsia"/>
          <w:sz w:val="24"/>
          <w:lang w:val="en-US" w:eastAsia="zh-CN"/>
        </w:rPr>
        <w:t>至少</w:t>
      </w:r>
      <w:r>
        <w:rPr>
          <w:rFonts w:hint="eastAsia" w:cs="宋体" w:asciiTheme="minorEastAsia" w:hAnsiTheme="minorEastAsia" w:eastAsiaTheme="minorEastAsia"/>
          <w:sz w:val="24"/>
          <w:lang w:eastAsia="zh-CN"/>
        </w:rPr>
        <w:t>提供</w:t>
      </w:r>
      <w:r>
        <w:rPr>
          <w:rFonts w:hint="eastAsia" w:cs="宋体" w:asciiTheme="minorEastAsia" w:hAnsiTheme="minorEastAsia" w:eastAsiaTheme="minorEastAsia"/>
          <w:sz w:val="24"/>
          <w:lang w:val="en-US" w:eastAsia="zh-CN"/>
        </w:rPr>
        <w:t>3位</w:t>
      </w:r>
      <w:r>
        <w:rPr>
          <w:rFonts w:hint="eastAsia" w:cs="宋体" w:asciiTheme="minorEastAsia" w:hAnsiTheme="minorEastAsia" w:eastAsiaTheme="minorEastAsia"/>
          <w:sz w:val="24"/>
          <w:lang w:eastAsia="zh-CN"/>
        </w:rPr>
        <w:t>具备专业技能的系统运维人员专人进行运维服务。系统运维人员要求具备三年或三年以上的系统开发或维护工作经验，能较快处理系统在运行中的故障问题。</w:t>
      </w:r>
    </w:p>
    <w:p w14:paraId="1F57AF2F">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服务商需向院方提供驻场人员名单、具体每位驻点人员负责维护的系统范围。驻场服务人员原则上不得随意更换，如需更换须征求院方管理部门同意。</w:t>
      </w:r>
    </w:p>
    <w:p w14:paraId="220324F9">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服务人员服务时间：正常工作日早上8:00—下午18:00。</w:t>
      </w:r>
      <w:r>
        <w:rPr>
          <w:rFonts w:hint="eastAsia" w:cs="宋体" w:asciiTheme="minorEastAsia" w:hAnsiTheme="minorEastAsia" w:eastAsiaTheme="minorEastAsia"/>
          <w:b/>
          <w:bCs/>
          <w:sz w:val="24"/>
          <w:u w:val="single"/>
          <w:lang w:eastAsia="zh-CN"/>
        </w:rPr>
        <w:t>非工作时间应安排值班人员。</w:t>
      </w:r>
    </w:p>
    <w:p w14:paraId="61F994D1">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专人服务地点：广东省人民医院院方指定地点。</w:t>
      </w:r>
    </w:p>
    <w:p w14:paraId="742DB971">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服务人员工作时应注意言行举止，要求佩戴工作证。</w:t>
      </w:r>
    </w:p>
    <w:p w14:paraId="6B4B5E51">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服务人员休假超过1天时服务商安排其他人员补充并提前告知院方。</w:t>
      </w:r>
    </w:p>
    <w:p w14:paraId="0D3E6B77">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服务人员需登记记录故障及处理情况，定期交院方项目负责人确认；服务商在每月5日前完成上月维护服务记录整理、提交院方信息管理处。</w:t>
      </w:r>
    </w:p>
    <w:p w14:paraId="436C729D">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服务商需在每月25日前需提供“节假日期间值班安排”给院方信息管理处。</w:t>
      </w:r>
    </w:p>
    <w:p w14:paraId="7CE51708">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服务商需配合院方信息管理处定期走访医院重点用户部门，与用户进行现场交流，并解答用户问题。</w:t>
      </w:r>
    </w:p>
    <w:p w14:paraId="29F9605B">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应对服务质量予以保证，院方有权根据院方、服务商双方协商认可的服务评级方案（见附件《广东省人民医院信息项目供应商履约评价方案确认书》），每季度对HIS维护的服务质量及每次版本实施的效果进行评价考核。评价考核结果与运维年度维护验收挂钩。</w:t>
      </w:r>
    </w:p>
    <w:p w14:paraId="303DF11A">
      <w:pPr>
        <w:numPr>
          <w:ilvl w:val="0"/>
          <w:numId w:val="0"/>
        </w:numPr>
        <w:tabs>
          <w:tab w:val="left" w:pos="1145"/>
        </w:tabs>
        <w:spacing w:line="360" w:lineRule="auto"/>
        <w:ind w:left="220" w:leftChars="0"/>
        <w:jc w:val="left"/>
        <w:rPr>
          <w:rFonts w:hint="eastAsia" w:cs="宋体" w:asciiTheme="minorEastAsia" w:hAnsiTheme="minorEastAsia" w:eastAsiaTheme="minorEastAsia"/>
          <w:sz w:val="24"/>
          <w:lang w:eastAsia="zh-CN"/>
        </w:rPr>
      </w:pPr>
    </w:p>
    <w:p w14:paraId="57775ECD">
      <w:pPr>
        <w:pStyle w:val="2"/>
        <w:numPr>
          <w:ilvl w:val="0"/>
          <w:numId w:val="2"/>
        </w:numPr>
        <w:spacing w:before="0" w:after="0"/>
        <w:rPr>
          <w:rFonts w:ascii="宋体" w:hAnsi="宋体"/>
          <w:sz w:val="32"/>
          <w:szCs w:val="32"/>
        </w:rPr>
      </w:pPr>
      <w:r>
        <w:rPr>
          <w:rFonts w:hint="eastAsia" w:ascii="宋体" w:hAnsi="宋体"/>
          <w:sz w:val="32"/>
          <w:szCs w:val="32"/>
        </w:rPr>
        <w:t>服务时间</w:t>
      </w:r>
    </w:p>
    <w:p w14:paraId="206D915D">
      <w:pPr>
        <w:tabs>
          <w:tab w:val="left" w:pos="567"/>
        </w:tabs>
        <w:spacing w:before="156" w:beforeLines="50" w:line="360" w:lineRule="auto"/>
        <w:ind w:firstLine="480" w:firstLineChars="200"/>
        <w:outlineLvl w:val="0"/>
        <w:rPr>
          <w:rFonts w:hint="eastAsia" w:ascii="宋体" w:hAnsi="宋体"/>
          <w:szCs w:val="21"/>
        </w:rPr>
      </w:pPr>
      <w:r>
        <w:rPr>
          <w:rFonts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年</w:t>
      </w:r>
      <w:r>
        <w:rPr>
          <w:rFonts w:cs="宋体" w:asciiTheme="minorEastAsia" w:hAnsiTheme="minorEastAsia" w:eastAsiaTheme="minorEastAsia"/>
          <w:sz w:val="24"/>
        </w:rPr>
        <w:t>12</w:t>
      </w:r>
      <w:r>
        <w:rPr>
          <w:rFonts w:hint="eastAsia" w:cs="宋体" w:asciiTheme="minorEastAsia" w:hAnsiTheme="minorEastAsia" w:eastAsiaTheme="minorEastAsia"/>
          <w:sz w:val="24"/>
        </w:rPr>
        <w:t>月</w:t>
      </w:r>
      <w:r>
        <w:rPr>
          <w:rFonts w:cs="宋体" w:asciiTheme="minorEastAsia" w:hAnsiTheme="minorEastAsia" w:eastAsiaTheme="minorEastAsia"/>
          <w:sz w:val="24"/>
        </w:rPr>
        <w:t>2</w:t>
      </w:r>
      <w:r>
        <w:rPr>
          <w:rFonts w:hint="eastAsia" w:cs="宋体" w:asciiTheme="minorEastAsia" w:hAnsiTheme="minorEastAsia" w:eastAsiaTheme="minorEastAsia"/>
          <w:sz w:val="24"/>
        </w:rPr>
        <w:t>日至</w:t>
      </w:r>
      <w:r>
        <w:rPr>
          <w:rFonts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年</w:t>
      </w:r>
      <w:r>
        <w:rPr>
          <w:rFonts w:cs="宋体" w:asciiTheme="minorEastAsia" w:hAnsiTheme="minorEastAsia" w:eastAsiaTheme="minorEastAsia"/>
          <w:sz w:val="24"/>
        </w:rPr>
        <w:t>12</w:t>
      </w:r>
      <w:r>
        <w:rPr>
          <w:rFonts w:hint="eastAsia" w:cs="宋体" w:asciiTheme="minorEastAsia" w:hAnsiTheme="minorEastAsia" w:eastAsiaTheme="minorEastAsia"/>
          <w:sz w:val="24"/>
        </w:rPr>
        <w:t>月</w:t>
      </w:r>
      <w:r>
        <w:rPr>
          <w:rFonts w:cs="宋体" w:asciiTheme="minorEastAsia" w:hAnsiTheme="minorEastAsia" w:eastAsiaTheme="minorEastAsia"/>
          <w:sz w:val="24"/>
        </w:rPr>
        <w:t>1</w:t>
      </w:r>
      <w:r>
        <w:rPr>
          <w:rFonts w:hint="eastAsia" w:cs="宋体" w:asciiTheme="minorEastAsia" w:hAnsiTheme="minorEastAsia" w:eastAsiaTheme="minorEastAsia"/>
          <w:sz w:val="24"/>
        </w:rPr>
        <w:t>日</w:t>
      </w:r>
      <w:r>
        <w:rPr>
          <w:rFonts w:hint="eastAsia" w:ascii="宋体" w:hAnsi="宋体"/>
          <w:szCs w:val="21"/>
        </w:rPr>
        <w:t>。</w:t>
      </w:r>
    </w:p>
    <w:p w14:paraId="6912F16E">
      <w:pPr>
        <w:tabs>
          <w:tab w:val="left" w:pos="567"/>
        </w:tabs>
        <w:spacing w:before="156" w:beforeLines="50" w:line="360" w:lineRule="auto"/>
        <w:ind w:firstLine="420" w:firstLineChars="200"/>
        <w:outlineLvl w:val="0"/>
        <w:rPr>
          <w:rFonts w:hint="eastAsia" w:ascii="宋体" w:hAnsi="宋体"/>
          <w:szCs w:val="21"/>
        </w:rPr>
      </w:pPr>
    </w:p>
    <w:p w14:paraId="7A5A084A">
      <w:pPr>
        <w:pStyle w:val="2"/>
        <w:numPr>
          <w:ilvl w:val="0"/>
          <w:numId w:val="2"/>
        </w:numPr>
        <w:spacing w:before="0" w:after="0"/>
        <w:rPr>
          <w:rFonts w:ascii="宋体" w:hAnsi="宋体"/>
          <w:sz w:val="32"/>
          <w:szCs w:val="32"/>
        </w:rPr>
      </w:pPr>
      <w:r>
        <w:rPr>
          <w:rFonts w:hint="eastAsia" w:ascii="宋体" w:hAnsi="宋体"/>
          <w:sz w:val="32"/>
          <w:szCs w:val="32"/>
        </w:rPr>
        <w:t>服务响应要求</w:t>
      </w:r>
    </w:p>
    <w:p w14:paraId="622683A9">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日常维护响应</w:t>
      </w:r>
    </w:p>
    <w:p w14:paraId="54230EFF">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工作期间（正常工作日8：00-18：00），信息系统故障响应时间不超过0.5小时，到达现场时间不超过1小时；非工作期间，信息系统故障响应时间不超过1小时，到达现场时间不超过2小时。服务商应提出故障解决方案，工作至故障修妥完全恢复正常服务为止，修复时间不超过2个工作日。</w:t>
      </w:r>
    </w:p>
    <w:p w14:paraId="1849E76E">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修改调整、系统集成响应</w:t>
      </w:r>
    </w:p>
    <w:p w14:paraId="5E16C9B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服务商应在院方提交修改调整内容后的20天内落实交付。</w:t>
      </w:r>
    </w:p>
    <w:p w14:paraId="75C959D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若服务商未能及时进行需求响应，院方有权终止维护合同。</w:t>
      </w:r>
    </w:p>
    <w:p w14:paraId="141301A0">
      <w:pPr>
        <w:numPr>
          <w:ilvl w:val="1"/>
          <w:numId w:val="13"/>
        </w:numPr>
        <w:tabs>
          <w:tab w:val="left" w:pos="1145"/>
        </w:tabs>
        <w:spacing w:line="360" w:lineRule="auto"/>
        <w:ind w:left="9" w:leftChars="0" w:firstLine="211" w:firstLineChars="0"/>
        <w:jc w:val="left"/>
        <w:rPr>
          <w:rFonts w:ascii="宋体" w:hAnsi="宋体"/>
          <w:szCs w:val="21"/>
        </w:rPr>
      </w:pPr>
      <w:r>
        <w:rPr>
          <w:rFonts w:hint="eastAsia" w:cs="宋体" w:asciiTheme="minorEastAsia" w:hAnsiTheme="minorEastAsia" w:eastAsiaTheme="minorEastAsia"/>
          <w:sz w:val="24"/>
          <w:lang w:eastAsia="zh-CN"/>
        </w:rPr>
        <w:t>服务商应作出无推诿承诺</w:t>
      </w:r>
    </w:p>
    <w:p w14:paraId="1BBEEEB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即服务商在收到院方报修通知及要求后，须立即派技术人员到场，全力协助、使系统尽快恢复正常。</w:t>
      </w:r>
    </w:p>
    <w:p w14:paraId="50216D4F">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提供详细的维护人员清单</w:t>
      </w:r>
    </w:p>
    <w:p w14:paraId="28FD820A">
      <w:pPr>
        <w:tabs>
          <w:tab w:val="left" w:pos="0"/>
          <w:tab w:val="left" w:pos="210"/>
          <w:tab w:val="left" w:pos="567"/>
        </w:tabs>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服务商应有专门的维护部门并指定固定技术力量用于信息系统维护，并向用户提供详细的维护人员清单及其联系方式。</w:t>
      </w:r>
    </w:p>
    <w:p w14:paraId="64F15050">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系统维护工作要求</w:t>
      </w:r>
    </w:p>
    <w:p w14:paraId="4EF018B5">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服务商须有完整的维护记录管理，确保所有问题提出及处理有记录，有供双方共同记录反馈的简捷的操作方式，达到经双方确认真实可信，可跟踪问题解决情况，查询所有维护记录，并可作为验收依据。</w:t>
      </w:r>
    </w:p>
    <w:p w14:paraId="0EDE9F6D">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服务商需根据院方要求，安排维护人员使用院方项目管理平台系统中的需求管理模块和缺陷（报障）管理模块，接收院方相关报障及需求信息，并反馈相应处理信息，该维护记录可作为维保履约证明。</w:t>
      </w:r>
    </w:p>
    <w:p w14:paraId="6AF674CB">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color w:val="000000"/>
          <w:sz w:val="24"/>
        </w:rPr>
      </w:pPr>
      <w:r>
        <w:rPr>
          <w:rFonts w:hint="eastAsia" w:asciiTheme="minorEastAsia" w:hAnsiTheme="minorEastAsia" w:eastAsiaTheme="minorEastAsia"/>
          <w:sz w:val="24"/>
        </w:rPr>
        <w:t>定期（每月）进行系统巡检，对系统运行的软硬件情况（尤其是数据库环境）进行监控，并出具巡检报告，针对潜在的风险应提供解决方案并实施。</w:t>
      </w:r>
    </w:p>
    <w:p w14:paraId="22324E30">
      <w:pPr>
        <w:tabs>
          <w:tab w:val="left" w:pos="0"/>
          <w:tab w:val="left" w:pos="210"/>
          <w:tab w:val="left" w:pos="567"/>
        </w:tabs>
        <w:spacing w:line="360" w:lineRule="auto"/>
        <w:ind w:left="420" w:leftChars="200"/>
        <w:rPr>
          <w:rFonts w:asciiTheme="minorEastAsia" w:hAnsiTheme="minorEastAsia" w:eastAsiaTheme="minorEastAsia"/>
          <w:color w:val="000000"/>
          <w:sz w:val="24"/>
        </w:rPr>
      </w:pPr>
    </w:p>
    <w:p w14:paraId="133DE9E2"/>
    <w:p w14:paraId="1ACC3D56">
      <w:pPr>
        <w:pStyle w:val="2"/>
        <w:numPr>
          <w:ilvl w:val="0"/>
          <w:numId w:val="2"/>
        </w:numPr>
        <w:spacing w:before="0" w:after="0"/>
        <w:rPr>
          <w:rFonts w:ascii="宋体" w:hAnsi="宋体"/>
          <w:sz w:val="32"/>
          <w:szCs w:val="32"/>
        </w:rPr>
      </w:pPr>
      <w:r>
        <w:rPr>
          <w:rFonts w:hint="eastAsia" w:ascii="宋体" w:hAnsi="宋体"/>
          <w:sz w:val="32"/>
          <w:szCs w:val="32"/>
        </w:rPr>
        <w:t>维护</w:t>
      </w:r>
      <w:r>
        <w:rPr>
          <w:rFonts w:ascii="宋体" w:hAnsi="宋体"/>
          <w:sz w:val="32"/>
          <w:szCs w:val="32"/>
        </w:rPr>
        <w:t>服务</w:t>
      </w:r>
      <w:r>
        <w:rPr>
          <w:rFonts w:hint="eastAsia" w:ascii="宋体" w:hAnsi="宋体"/>
          <w:sz w:val="32"/>
          <w:szCs w:val="32"/>
        </w:rPr>
        <w:t>验收</w:t>
      </w:r>
    </w:p>
    <w:p w14:paraId="51AE056D">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验收时间</w:t>
      </w:r>
    </w:p>
    <w:p w14:paraId="444A8783">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由服务商向院方申请验收。</w:t>
      </w:r>
    </w:p>
    <w:p w14:paraId="46FC25DC">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验收人员：</w:t>
      </w:r>
    </w:p>
    <w:p w14:paraId="7EDE540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双方相关人员。</w:t>
      </w:r>
    </w:p>
    <w:p w14:paraId="6AD6C61D">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验收标准</w:t>
      </w:r>
    </w:p>
    <w:p w14:paraId="7484F33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服务商提供维护记录（日常维护记录、履约评分情况、服务器巡检记录，需求完成进度记录）经院方审核确认后验收。</w:t>
      </w:r>
    </w:p>
    <w:p w14:paraId="2EA403CF">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双方约定</w:t>
      </w:r>
    </w:p>
    <w:p w14:paraId="11069CD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双方同意，任何一方以非正当理由拖延验收，将承担相应责任。</w:t>
      </w:r>
    </w:p>
    <w:p w14:paraId="28CA7405">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服务商提交给院方的实施产出物包括：</w:t>
      </w:r>
    </w:p>
    <w:p w14:paraId="621229BC">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正常运作于院方真实环境下的本项目标的修改调整、集成服务及其相关配套、支持。</w:t>
      </w:r>
    </w:p>
    <w:p w14:paraId="1B3E2DF8">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须向院方提供所有有关本项目执行的技术文件，包括但不限于：系统管理及维护手册、用户操作手册、服务商的测试报告、数据结构说明书、系统源代码和程序结构说明。上述技术文件应包含保证院方能够正确进行操作、检查、维修、维护、测试和调试需要的所有内容。如果项目必需但合同又未作规定的要服务商才能提供的技术文件，服务商也应及时向院方提供。</w:t>
      </w:r>
    </w:p>
    <w:p w14:paraId="7EBD5917">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服务商提供的文档和资料均应以磁介质(或光盘)和纸张为载体，文件格式为Word文档或PDF文档或其他可视化文件。</w:t>
      </w:r>
    </w:p>
    <w:p w14:paraId="510E60AE">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院方如发现服务商未提供有关文件，可以推迟付款，直至服务商补齐有关文件。</w:t>
      </w:r>
    </w:p>
    <w:p w14:paraId="267410A9">
      <w:pPr>
        <w:widowControl w:val="0"/>
        <w:numPr>
          <w:ilvl w:val="0"/>
          <w:numId w:val="0"/>
        </w:numPr>
        <w:tabs>
          <w:tab w:val="left" w:pos="0"/>
          <w:tab w:val="left" w:pos="210"/>
          <w:tab w:val="left" w:pos="567"/>
        </w:tabs>
        <w:spacing w:line="360" w:lineRule="auto"/>
        <w:jc w:val="both"/>
        <w:rPr>
          <w:rFonts w:hint="eastAsia" w:asciiTheme="minorEastAsia" w:hAnsiTheme="minorEastAsia" w:eastAsiaTheme="minorEastAsia"/>
          <w:sz w:val="24"/>
        </w:rPr>
      </w:pPr>
    </w:p>
    <w:p w14:paraId="073A5E5D">
      <w:pPr>
        <w:pStyle w:val="2"/>
        <w:numPr>
          <w:ilvl w:val="0"/>
          <w:numId w:val="2"/>
        </w:numPr>
        <w:spacing w:before="0" w:after="0"/>
        <w:rPr>
          <w:rFonts w:asciiTheme="minorEastAsia" w:hAnsiTheme="minorEastAsia" w:eastAsiaTheme="minorEastAsia"/>
          <w:sz w:val="24"/>
        </w:rPr>
      </w:pPr>
      <w:r>
        <w:rPr>
          <w:rFonts w:hint="eastAsia" w:ascii="宋体" w:hAnsi="宋体"/>
          <w:sz w:val="32"/>
          <w:szCs w:val="32"/>
        </w:rPr>
        <w:t>售后服务、版权、保密等要求</w:t>
      </w:r>
    </w:p>
    <w:p w14:paraId="7E2F74A9">
      <w:pPr>
        <w:numPr>
          <w:ilvl w:val="1"/>
          <w:numId w:val="17"/>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修改调整部分的售后服务。</w:t>
      </w:r>
    </w:p>
    <w:p w14:paraId="061B1E22">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服务内容：技术支持和指导，“软件”系统的局部改进完善以及全院性故障等情况下的现场问题解决。</w:t>
      </w:r>
    </w:p>
    <w:p w14:paraId="6EA91B55">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服务方式：电话/邮件指导、远程维护、技术交流、现场服务。</w:t>
      </w:r>
    </w:p>
    <w:p w14:paraId="5102AC96">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服务响应时间：工作期间（正常工作日8：00-18：00）软件故障响应时间不超过0.5小时，到达现场时间不超过1小时；非工作期间软件故障响应时间不超过1小时，到达现场时间不超过2小时。</w:t>
      </w:r>
    </w:p>
    <w:p w14:paraId="731C24C1">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有偿售后服务：服务商提供终身有偿售后服务。具体服务内容、服务方式及费用等由双方协商后另签合同。</w:t>
      </w:r>
    </w:p>
    <w:p w14:paraId="61F0AA0E">
      <w:pPr>
        <w:numPr>
          <w:ilvl w:val="1"/>
          <w:numId w:val="17"/>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售后服务、版权、保密等要求</w:t>
      </w:r>
    </w:p>
    <w:p w14:paraId="546DF481">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院方责任</w:t>
      </w:r>
    </w:p>
    <w:p w14:paraId="5C04C04D">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）按照约定按时付款，以保证工程的顺利进行和系统使用。</w:t>
      </w:r>
    </w:p>
    <w:p w14:paraId="5DDD8F53">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）提供培训场地，组织参加培训的人员按时出席，并配合服务商对操作人员的考核。</w:t>
      </w:r>
    </w:p>
    <w:p w14:paraId="517BEE8E">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）负责“软件”系统运行环境的准备，保证提供的硬件系统和网络环境达到“软件”系统运行的基本条件，确保“软件”在每一工作站点有可连接的网络接口，并保证网络连接的稳定性。</w:t>
      </w:r>
    </w:p>
    <w:p w14:paraId="7856A616">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）指派专人负责收集整理“软件”运行所需数据，并保证数据的完整性和正确性。</w:t>
      </w:r>
    </w:p>
    <w:p w14:paraId="19915E16">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）负责提供直线电话或“软件”系统实施所需的基础设施（包括为今后远程服务需要所应配备的联网接入条件）。</w:t>
      </w:r>
    </w:p>
    <w:p w14:paraId="2B7A48B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w:t>
      </w:r>
      <w:r>
        <w:rPr>
          <w:rFonts w:hint="eastAsia" w:cs="宋体" w:asciiTheme="minorEastAsia" w:hAnsiTheme="minorEastAsia" w:eastAsiaTheme="minorEastAsia"/>
          <w:sz w:val="24"/>
        </w:rPr>
        <w:t>）负责帮助协调信息系统维护服务与第三方相关软件连接（如</w:t>
      </w:r>
      <w:r>
        <w:rPr>
          <w:rFonts w:cs="宋体" w:asciiTheme="minorEastAsia" w:hAnsiTheme="minorEastAsia" w:eastAsiaTheme="minorEastAsia"/>
          <w:sz w:val="24"/>
        </w:rPr>
        <w:t>HIS</w:t>
      </w:r>
      <w:r>
        <w:rPr>
          <w:rFonts w:hint="eastAsia" w:cs="宋体" w:asciiTheme="minorEastAsia" w:hAnsiTheme="minorEastAsia" w:eastAsiaTheme="minorEastAsia"/>
          <w:sz w:val="24"/>
        </w:rPr>
        <w:t>、</w:t>
      </w:r>
      <w:r>
        <w:rPr>
          <w:rFonts w:cs="宋体" w:asciiTheme="minorEastAsia" w:hAnsiTheme="minorEastAsia" w:eastAsiaTheme="minorEastAsia"/>
          <w:sz w:val="24"/>
        </w:rPr>
        <w:t>PACS</w:t>
      </w:r>
      <w:r>
        <w:rPr>
          <w:rFonts w:hint="eastAsia" w:cs="宋体" w:asciiTheme="minorEastAsia" w:hAnsiTheme="minorEastAsia" w:eastAsiaTheme="minorEastAsia"/>
          <w:sz w:val="24"/>
        </w:rPr>
        <w:t>、</w:t>
      </w:r>
      <w:r>
        <w:rPr>
          <w:rFonts w:cs="宋体" w:asciiTheme="minorEastAsia" w:hAnsiTheme="minorEastAsia" w:eastAsiaTheme="minorEastAsia"/>
          <w:sz w:val="24"/>
        </w:rPr>
        <w:t>LIS</w:t>
      </w:r>
      <w:r>
        <w:rPr>
          <w:rFonts w:hint="eastAsia" w:cs="宋体" w:asciiTheme="minorEastAsia" w:hAnsiTheme="minorEastAsia" w:eastAsiaTheme="minorEastAsia"/>
          <w:sz w:val="24"/>
        </w:rPr>
        <w:t>等）的接口工作，提供服务商要求的第三方软件标准的数据接口。</w:t>
      </w:r>
    </w:p>
    <w:p w14:paraId="6305404E">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w:t>
      </w:r>
      <w:r>
        <w:rPr>
          <w:rFonts w:hint="eastAsia" w:cs="宋体" w:asciiTheme="minorEastAsia" w:hAnsiTheme="minorEastAsia" w:eastAsiaTheme="minorEastAsia"/>
          <w:sz w:val="24"/>
        </w:rPr>
        <w:t>）对于院方自行修改软件导致的损失及责任由院方承担。</w:t>
      </w:r>
    </w:p>
    <w:p w14:paraId="7988C98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）为不影响院方正常业务，服务商可能需要利用休息时间或者节假日，院方应积极配合并协调好各部门的关系。</w:t>
      </w:r>
    </w:p>
    <w:p w14:paraId="2D44FC12">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服务商责任</w:t>
      </w:r>
    </w:p>
    <w:p w14:paraId="3BC49728">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）提供“软件”及按用户需求书中的文档要求提供软件相关文档。</w:t>
      </w:r>
    </w:p>
    <w:p w14:paraId="705E52CE">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）保证“软件”功能与服务商提供给院方的方案和演示系统中的“软件”功能描述一致。</w:t>
      </w:r>
    </w:p>
    <w:p w14:paraId="419A2E61">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）服务商应保护院方在使用该系统时不受第三方提出侵权指控。</w:t>
      </w:r>
    </w:p>
    <w:p w14:paraId="50830F3C">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）保证整体信息系统维护服务运行安全、稳定、高效和数据完整准确。</w:t>
      </w:r>
    </w:p>
    <w:p w14:paraId="63E23F5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）负责院方“软件”系统维护人员及信息系统维护服务软件骨干操作人员的培训。</w:t>
      </w:r>
    </w:p>
    <w:p w14:paraId="4F475200">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w:t>
      </w:r>
      <w:r>
        <w:rPr>
          <w:rFonts w:hint="eastAsia" w:cs="宋体" w:asciiTheme="minorEastAsia" w:hAnsiTheme="minorEastAsia" w:eastAsiaTheme="minorEastAsia"/>
          <w:sz w:val="24"/>
        </w:rPr>
        <w:t>）负责“软件”系统的安装、调试工作。</w:t>
      </w:r>
    </w:p>
    <w:p w14:paraId="0E86610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w:t>
      </w:r>
      <w:r>
        <w:rPr>
          <w:rFonts w:hint="eastAsia" w:cs="宋体" w:asciiTheme="minorEastAsia" w:hAnsiTheme="minorEastAsia" w:eastAsiaTheme="minorEastAsia"/>
          <w:sz w:val="24"/>
        </w:rPr>
        <w:t>）负责“软件”系统与医院其它信息管理系统的接口，并保证在收到院方相关接口需求后于</w:t>
      </w:r>
      <w:r>
        <w:rPr>
          <w:rFonts w:cs="宋体" w:asciiTheme="minorEastAsia" w:hAnsiTheme="minorEastAsia" w:eastAsiaTheme="minorEastAsia"/>
          <w:sz w:val="24"/>
        </w:rPr>
        <w:t>20</w:t>
      </w:r>
      <w:r>
        <w:rPr>
          <w:rFonts w:hint="eastAsia" w:cs="宋体" w:asciiTheme="minorEastAsia" w:hAnsiTheme="minorEastAsia" w:eastAsiaTheme="minorEastAsia"/>
          <w:sz w:val="24"/>
        </w:rPr>
        <w:t>工作日内完成相应接口工作。</w:t>
      </w:r>
    </w:p>
    <w:p w14:paraId="4139A876">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）负责“软件”的客户化修改工作，按照《软件系统客户化需求说明书》规定的内容和工期，完成“软件”范围内的客户化修改，并按用户需求书中的文档要求提供软件相关文档（电子版）。</w:t>
      </w:r>
    </w:p>
    <w:p w14:paraId="7A219013">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9</w:t>
      </w:r>
      <w:r>
        <w:rPr>
          <w:rFonts w:hint="eastAsia" w:cs="宋体" w:asciiTheme="minorEastAsia" w:hAnsiTheme="minorEastAsia" w:eastAsiaTheme="minorEastAsia"/>
          <w:sz w:val="24"/>
        </w:rPr>
        <w:t>）服务商承诺对影响“软件”系统正常运转的故障响应时间小于</w:t>
      </w:r>
      <w:r>
        <w:rPr>
          <w:rFonts w:cs="宋体" w:asciiTheme="minorEastAsia" w:hAnsiTheme="minorEastAsia" w:eastAsiaTheme="minorEastAsia"/>
          <w:sz w:val="24"/>
        </w:rPr>
        <w:t>1</w:t>
      </w:r>
      <w:r>
        <w:rPr>
          <w:rFonts w:hint="eastAsia" w:cs="宋体" w:asciiTheme="minorEastAsia" w:hAnsiTheme="minorEastAsia" w:eastAsiaTheme="minorEastAsia"/>
          <w:sz w:val="24"/>
        </w:rPr>
        <w:t>小时。</w:t>
      </w:r>
    </w:p>
    <w:p w14:paraId="3B0D9C80">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w:t>
      </w:r>
      <w:r>
        <w:rPr>
          <w:rFonts w:hint="eastAsia" w:cs="宋体" w:asciiTheme="minorEastAsia" w:hAnsiTheme="minorEastAsia" w:eastAsiaTheme="minorEastAsia"/>
          <w:sz w:val="24"/>
        </w:rPr>
        <w:t>）服务商向院方提供“软件”系统，并根据院方业务需要进行适当的修改和定制，同时负责该信息系统的升级工作。</w:t>
      </w:r>
    </w:p>
    <w:p w14:paraId="15E01D53">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11</w:t>
      </w:r>
      <w:r>
        <w:rPr>
          <w:rFonts w:hint="eastAsia" w:cs="宋体" w:asciiTheme="minorEastAsia" w:hAnsiTheme="minorEastAsia" w:eastAsiaTheme="minorEastAsia"/>
          <w:sz w:val="24"/>
        </w:rPr>
        <w:t>）服务商应保证开发修改工作的质量，服务商根据院方需求开发修改的功能，应保证能够在不经院方测试的情况下在院方的业务环境中正常运行。</w:t>
      </w:r>
    </w:p>
    <w:p w14:paraId="40DBDC36">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版权</w:t>
      </w:r>
    </w:p>
    <w:p w14:paraId="023785EC">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）根据院方需求由服务商开发功能部分之软件版权归双方共有。</w:t>
      </w:r>
    </w:p>
    <w:p w14:paraId="6B491DF8">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）院方应尊重从服务商购置的应用软件的注册版权，遵守国家《计算机软件保护条例》有关规定，不得以任何形式再次转让、租赁服务商具有完整版权的软件，并不得以任何形式或手段解密该软件。</w:t>
      </w:r>
    </w:p>
    <w:p w14:paraId="359B7E44">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）院方在遵循法律及上述两项条款框架内使用系统软件时，不受服务商任何其他约束限制。</w:t>
      </w:r>
    </w:p>
    <w:p w14:paraId="31EB52A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）系统采集之所有数据，所有权归院方所有。</w:t>
      </w:r>
    </w:p>
    <w:p w14:paraId="4AD4D176">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保密原则</w:t>
      </w:r>
    </w:p>
    <w:p w14:paraId="2002FB01">
      <w:pPr>
        <w:spacing w:line="360" w:lineRule="auto"/>
        <w:ind w:firstLine="480" w:firstLineChars="200"/>
        <w:rPr>
          <w:rFonts w:ascii="宋体" w:hAnsi="宋体"/>
          <w:szCs w:val="21"/>
        </w:rPr>
      </w:pPr>
      <w:r>
        <w:rPr>
          <w:rFonts w:hint="eastAsia" w:cs="宋体" w:asciiTheme="minorEastAsia" w:hAnsiTheme="minorEastAsia" w:eastAsiaTheme="minorEastAsia"/>
          <w:sz w:val="24"/>
        </w:rPr>
        <w:t>项目中所涉及的双方的内部资料、数据和其他商业信息，未经信息拥有方的许可，信息获得方不得以任何形式用于合同之外的目的，不得以任何形式向第三方泄露。服务商不得在软件系统中留有任何可能导致院方数据泄密的软件“后门”。发生泄密事件，信息拥有方有权追究泄密方的经济和法律责任。</w:t>
      </w:r>
    </w:p>
    <w:p w14:paraId="67D8A4BB">
      <w:pPr>
        <w:tabs>
          <w:tab w:val="left" w:pos="0"/>
          <w:tab w:val="left" w:pos="210"/>
          <w:tab w:val="left" w:pos="567"/>
        </w:tabs>
        <w:spacing w:line="360" w:lineRule="auto"/>
        <w:ind w:left="420"/>
        <w:rPr>
          <w:rFonts w:ascii="宋体" w:hAnsi="宋体"/>
          <w:szCs w:val="21"/>
        </w:rPr>
      </w:pPr>
    </w:p>
    <w:p w14:paraId="463B75C0">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14:paraId="66B874F7">
      <w:pPr>
        <w:spacing w:line="360" w:lineRule="auto"/>
        <w:ind w:firstLine="452" w:firstLineChars="200"/>
        <w:rPr>
          <w:rFonts w:hint="eastAsia" w:cs="宋体" w:asciiTheme="minorEastAsia" w:hAnsiTheme="minorEastAsia" w:eastAsiaTheme="minorEastAsia"/>
          <w:sz w:val="24"/>
        </w:rPr>
      </w:pPr>
      <w:r>
        <w:rPr>
          <w:rFonts w:ascii="黑体" w:hAnsi="黑体" w:eastAsia="黑体" w:cs="黑体"/>
          <w:spacing w:val="-12"/>
          <w:sz w:val="25"/>
          <w:szCs w:val="25"/>
        </w:rPr>
        <w:t>(</w:t>
      </w:r>
      <w:r>
        <w:rPr>
          <w:rFonts w:hint="eastAsia" w:cs="宋体" w:asciiTheme="minorEastAsia" w:hAnsiTheme="minorEastAsia" w:eastAsiaTheme="minorEastAsia"/>
          <w:sz w:val="24"/>
        </w:rPr>
        <w:t>一)服务期开始后，</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在收到</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开具相应金额正式发票后，向</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支付 合同总金额的30%。</w:t>
      </w:r>
    </w:p>
    <w:p w14:paraId="1C7D3D4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(二)维护期达6个月后，</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提供半年度维护服务记录及开具相应金额正式 发票后，</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向</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支付合同总金额的30%。</w:t>
      </w:r>
    </w:p>
    <w:p w14:paraId="030073F8">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(三)合同期满(维护期达12个月)后，</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提供完整维护服务记录及开具相应金额正式发票后，</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向</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支付合同总金额的20%。</w:t>
      </w:r>
    </w:p>
    <w:p w14:paraId="2F9F479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(四)合同期满(维护期达12个月)通过维护验收，</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根据</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在运维年</w:t>
      </w:r>
    </w:p>
    <w:p w14:paraId="76E61574">
      <w:pPr>
        <w:spacing w:line="360" w:lineRule="auto"/>
        <w:ind w:firstLine="480" w:firstLineChars="200"/>
        <w:rPr>
          <w:rFonts w:ascii="宋体" w:hAnsi="宋体" w:cs="宋体"/>
          <w:b/>
          <w:color w:val="FF0000"/>
          <w:sz w:val="30"/>
          <w:szCs w:val="30"/>
        </w:rPr>
      </w:pPr>
      <w:r>
        <w:rPr>
          <w:rFonts w:hint="eastAsia" w:cs="宋体" w:asciiTheme="minorEastAsia" w:hAnsiTheme="minorEastAsia" w:eastAsiaTheme="minorEastAsia"/>
          <w:sz w:val="24"/>
        </w:rPr>
        <w:t>度的评价考核结果办理费用结算后予以付款。</w:t>
      </w:r>
      <w:r>
        <w:rPr>
          <w:rFonts w:ascii="宋体" w:hAnsi="宋体" w:cs="宋体"/>
          <w:b/>
          <w:color w:val="FF0000"/>
          <w:sz w:val="30"/>
          <w:szCs w:val="30"/>
        </w:rPr>
        <w:br w:type="page"/>
      </w:r>
    </w:p>
    <w:p w14:paraId="3D970B6B">
      <w:pPr>
        <w:spacing w:after="156" w:afterLines="50"/>
        <w:ind w:right="-733" w:rightChars="-349"/>
        <w:rPr>
          <w:rFonts w:ascii="黑体" w:hAnsi="黑体" w:eastAsia="黑体" w:cs="黑体"/>
          <w:color w:val="auto"/>
          <w:sz w:val="32"/>
          <w:szCs w:val="32"/>
        </w:rPr>
      </w:pPr>
      <w:r>
        <w:rPr>
          <w:rFonts w:hint="eastAsia" w:ascii="黑体" w:hAnsi="黑体" w:eastAsia="黑体" w:cs="黑体"/>
          <w:color w:val="auto"/>
          <w:sz w:val="32"/>
          <w:szCs w:val="32"/>
        </w:rPr>
        <w:t>附件</w:t>
      </w:r>
    </w:p>
    <w:p w14:paraId="0F83C259">
      <w:pPr>
        <w:ind w:right="-733" w:rightChars="-349"/>
        <w:jc w:val="center"/>
        <w:rPr>
          <w:rFonts w:ascii="宋体" w:hAnsi="宋体" w:cs="黑体"/>
          <w:b/>
          <w:bCs/>
          <w:color w:val="auto"/>
          <w:kern w:val="0"/>
          <w:sz w:val="36"/>
          <w:szCs w:val="36"/>
          <w:lang w:val="zh-CN"/>
        </w:rPr>
      </w:pPr>
      <w:r>
        <w:rPr>
          <w:rFonts w:hint="eastAsia" w:ascii="宋体" w:hAnsi="宋体" w:cs="黑体"/>
          <w:b/>
          <w:bCs/>
          <w:color w:val="auto"/>
          <w:kern w:val="0"/>
          <w:sz w:val="36"/>
          <w:szCs w:val="36"/>
          <w:lang w:val="zh-CN"/>
        </w:rPr>
        <w:t>广东省人民医院信息项目供应商</w:t>
      </w:r>
    </w:p>
    <w:p w14:paraId="3629121A">
      <w:pPr>
        <w:spacing w:after="240"/>
        <w:ind w:right="-733" w:rightChars="-349"/>
        <w:jc w:val="center"/>
        <w:rPr>
          <w:rFonts w:ascii="宋体" w:hAnsi="宋体" w:cs="黑体"/>
          <w:b/>
          <w:bCs/>
          <w:color w:val="auto"/>
          <w:kern w:val="0"/>
          <w:sz w:val="36"/>
          <w:szCs w:val="36"/>
        </w:rPr>
      </w:pPr>
      <w:r>
        <w:rPr>
          <w:rFonts w:hint="eastAsia" w:ascii="宋体" w:hAnsi="宋体" w:cs="黑体"/>
          <w:b/>
          <w:bCs/>
          <w:color w:val="auto"/>
          <w:kern w:val="0"/>
          <w:sz w:val="36"/>
          <w:szCs w:val="36"/>
          <w:lang w:val="zh-CN"/>
        </w:rPr>
        <w:t>履约评价方案</w:t>
      </w:r>
      <w:r>
        <w:rPr>
          <w:rFonts w:hint="eastAsia" w:ascii="宋体" w:hAnsi="宋体" w:cs="黑体"/>
          <w:b/>
          <w:bCs/>
          <w:color w:val="auto"/>
          <w:kern w:val="0"/>
          <w:sz w:val="36"/>
          <w:szCs w:val="36"/>
        </w:rPr>
        <w:t>确认书</w:t>
      </w:r>
    </w:p>
    <w:p w14:paraId="49481523">
      <w:pPr>
        <w:ind w:right="-733" w:rightChars="-349" w:firstLine="560" w:firstLineChars="200"/>
        <w:jc w:val="left"/>
        <w:rPr>
          <w:rFonts w:ascii="仿宋" w:hAnsi="仿宋" w:eastAsia="仿宋" w:cs="黑体"/>
          <w:bCs/>
          <w:color w:val="auto"/>
          <w:kern w:val="0"/>
          <w:sz w:val="28"/>
          <w:szCs w:val="28"/>
          <w:lang w:val="zh-CN"/>
        </w:rPr>
      </w:pPr>
      <w:r>
        <w:rPr>
          <w:rFonts w:hint="eastAsia" w:ascii="仿宋" w:hAnsi="仿宋" w:eastAsia="仿宋" w:cs="黑体"/>
          <w:bCs/>
          <w:color w:val="auto"/>
          <w:kern w:val="0"/>
          <w:sz w:val="28"/>
          <w:szCs w:val="28"/>
          <w:lang w:val="zh-CN"/>
        </w:rPr>
        <w:t>为进一步完善对信息项目</w:t>
      </w:r>
      <w:r>
        <w:rPr>
          <w:rFonts w:ascii="仿宋" w:hAnsi="仿宋" w:eastAsia="仿宋" w:cs="黑体"/>
          <w:bCs/>
          <w:color w:val="auto"/>
          <w:kern w:val="0"/>
          <w:sz w:val="28"/>
          <w:szCs w:val="28"/>
          <w:lang w:val="zh-CN"/>
        </w:rPr>
        <w:t>供应商</w:t>
      </w:r>
      <w:r>
        <w:rPr>
          <w:rFonts w:hint="eastAsia" w:ascii="仿宋" w:hAnsi="仿宋" w:eastAsia="仿宋" w:cs="黑体"/>
          <w:bCs/>
          <w:color w:val="auto"/>
          <w:kern w:val="0"/>
          <w:sz w:val="28"/>
          <w:szCs w:val="28"/>
          <w:lang w:val="zh-CN"/>
        </w:rPr>
        <w:t>管理、加强监管及有效推进项目进度，</w:t>
      </w:r>
      <w:r>
        <w:rPr>
          <w:rFonts w:ascii="仿宋" w:hAnsi="仿宋" w:eastAsia="仿宋" w:cs="黑体"/>
          <w:bCs/>
          <w:color w:val="auto"/>
          <w:kern w:val="0"/>
          <w:sz w:val="28"/>
          <w:szCs w:val="28"/>
          <w:lang w:val="zh-CN"/>
        </w:rPr>
        <w:t>建立信息项目合作供应商履约</w:t>
      </w:r>
      <w:r>
        <w:rPr>
          <w:rFonts w:hint="eastAsia" w:ascii="仿宋" w:hAnsi="仿宋" w:eastAsia="仿宋" w:cs="黑体"/>
          <w:bCs/>
          <w:color w:val="auto"/>
          <w:kern w:val="0"/>
          <w:sz w:val="28"/>
          <w:szCs w:val="28"/>
          <w:lang w:val="zh-CN"/>
        </w:rPr>
        <w:t>评价反馈机制、具体方案如下：</w:t>
      </w:r>
    </w:p>
    <w:p w14:paraId="5988EFD9">
      <w:pPr>
        <w:pStyle w:val="14"/>
        <w:numPr>
          <w:ilvl w:val="0"/>
          <w:numId w:val="20"/>
        </w:numPr>
        <w:ind w:left="709" w:right="-733" w:rightChars="-349" w:hanging="651" w:firstLineChars="0"/>
        <w:jc w:val="left"/>
        <w:rPr>
          <w:rFonts w:ascii="仿宋" w:hAnsi="仿宋" w:eastAsia="仿宋"/>
          <w:b/>
          <w:color w:val="auto"/>
          <w:sz w:val="28"/>
          <w:szCs w:val="28"/>
        </w:rPr>
      </w:pPr>
      <w:r>
        <w:rPr>
          <w:rFonts w:hint="eastAsia" w:ascii="仿宋" w:hAnsi="仿宋" w:eastAsia="仿宋"/>
          <w:b/>
          <w:color w:val="auto"/>
          <w:sz w:val="28"/>
          <w:szCs w:val="28"/>
        </w:rPr>
        <w:t>评价反馈范围</w:t>
      </w:r>
    </w:p>
    <w:p w14:paraId="444A9FFE">
      <w:pPr>
        <w:ind w:right="-733" w:rightChars="-349" w:firstLine="560" w:firstLineChars="200"/>
        <w:jc w:val="left"/>
        <w:rPr>
          <w:rFonts w:ascii="仿宋" w:hAnsi="仿宋" w:eastAsia="仿宋" w:cs="黑体"/>
          <w:bCs/>
          <w:color w:val="auto"/>
          <w:kern w:val="0"/>
          <w:sz w:val="28"/>
          <w:szCs w:val="28"/>
          <w:lang w:val="zh-CN"/>
        </w:rPr>
      </w:pPr>
      <w:r>
        <w:rPr>
          <w:rFonts w:hint="eastAsia" w:ascii="仿宋" w:hAnsi="仿宋" w:eastAsia="仿宋" w:cs="黑体"/>
          <w:bCs/>
          <w:color w:val="auto"/>
          <w:kern w:val="0"/>
          <w:sz w:val="28"/>
          <w:szCs w:val="28"/>
          <w:lang w:val="zh-CN"/>
        </w:rPr>
        <w:t>通过招标采购方式的在建信息项目（即尚未完成验收信息项目）。</w:t>
      </w:r>
    </w:p>
    <w:p w14:paraId="265359B9">
      <w:pPr>
        <w:pStyle w:val="14"/>
        <w:numPr>
          <w:ilvl w:val="0"/>
          <w:numId w:val="20"/>
        </w:numPr>
        <w:ind w:left="709" w:right="-733" w:rightChars="-349" w:hanging="651" w:firstLineChars="0"/>
        <w:jc w:val="left"/>
        <w:rPr>
          <w:rFonts w:ascii="仿宋" w:hAnsi="仿宋" w:eastAsia="仿宋"/>
          <w:b/>
          <w:color w:val="auto"/>
          <w:sz w:val="28"/>
          <w:szCs w:val="28"/>
        </w:rPr>
      </w:pPr>
      <w:r>
        <w:rPr>
          <w:rFonts w:hint="eastAsia" w:ascii="仿宋" w:hAnsi="仿宋" w:eastAsia="仿宋"/>
          <w:b/>
          <w:color w:val="auto"/>
          <w:sz w:val="28"/>
          <w:szCs w:val="28"/>
        </w:rPr>
        <w:t>评价反馈周期</w:t>
      </w:r>
    </w:p>
    <w:p w14:paraId="2212AA18">
      <w:pPr>
        <w:ind w:right="-733" w:rightChars="-349" w:firstLine="560" w:firstLineChars="200"/>
        <w:jc w:val="left"/>
        <w:rPr>
          <w:rFonts w:ascii="仿宋" w:hAnsi="仿宋" w:eastAsia="仿宋" w:cs="黑体"/>
          <w:bCs/>
          <w:color w:val="auto"/>
          <w:kern w:val="0"/>
          <w:sz w:val="28"/>
          <w:szCs w:val="28"/>
          <w:lang w:val="zh-CN"/>
        </w:rPr>
      </w:pPr>
      <w:r>
        <w:rPr>
          <w:rFonts w:hint="eastAsia" w:ascii="仿宋" w:hAnsi="仿宋" w:eastAsia="仿宋" w:cs="黑体"/>
          <w:bCs/>
          <w:color w:val="auto"/>
          <w:kern w:val="0"/>
          <w:sz w:val="28"/>
          <w:szCs w:val="28"/>
          <w:lang w:val="en-US" w:eastAsia="zh-CN"/>
        </w:rPr>
        <w:t>不定期（至少每三个月一次）</w:t>
      </w:r>
      <w:r>
        <w:rPr>
          <w:rFonts w:hint="eastAsia" w:ascii="仿宋" w:hAnsi="仿宋" w:eastAsia="仿宋" w:cs="黑体"/>
          <w:bCs/>
          <w:color w:val="auto"/>
          <w:kern w:val="0"/>
          <w:sz w:val="28"/>
          <w:szCs w:val="28"/>
          <w:lang w:val="zh-CN"/>
        </w:rPr>
        <w:t>对项目承建</w:t>
      </w:r>
      <w:r>
        <w:rPr>
          <w:rFonts w:ascii="仿宋" w:hAnsi="仿宋" w:eastAsia="仿宋" w:cs="黑体"/>
          <w:bCs/>
          <w:color w:val="auto"/>
          <w:kern w:val="0"/>
          <w:sz w:val="28"/>
          <w:szCs w:val="28"/>
          <w:lang w:val="zh-CN"/>
        </w:rPr>
        <w:t>供应商进行</w:t>
      </w:r>
      <w:r>
        <w:rPr>
          <w:rFonts w:hint="eastAsia" w:ascii="仿宋" w:hAnsi="仿宋" w:eastAsia="仿宋" w:cs="黑体"/>
          <w:bCs/>
          <w:color w:val="auto"/>
          <w:kern w:val="0"/>
          <w:sz w:val="28"/>
          <w:szCs w:val="28"/>
          <w:lang w:val="zh-CN"/>
        </w:rPr>
        <w:t>评价反馈。</w:t>
      </w:r>
    </w:p>
    <w:p w14:paraId="390E7D5E">
      <w:pPr>
        <w:pStyle w:val="14"/>
        <w:numPr>
          <w:ilvl w:val="0"/>
          <w:numId w:val="20"/>
        </w:numPr>
        <w:ind w:left="709" w:right="-733" w:rightChars="-349" w:hanging="651" w:firstLineChars="0"/>
        <w:jc w:val="left"/>
        <w:rPr>
          <w:rFonts w:ascii="仿宋" w:hAnsi="仿宋" w:eastAsia="仿宋"/>
          <w:b/>
          <w:color w:val="auto"/>
          <w:sz w:val="28"/>
          <w:szCs w:val="28"/>
        </w:rPr>
      </w:pPr>
      <w:r>
        <w:rPr>
          <w:rFonts w:hint="eastAsia" w:ascii="仿宋" w:hAnsi="仿宋" w:eastAsia="仿宋"/>
          <w:b/>
          <w:color w:val="auto"/>
          <w:sz w:val="28"/>
          <w:szCs w:val="28"/>
        </w:rPr>
        <w:t>评价评分机制</w:t>
      </w:r>
    </w:p>
    <w:p w14:paraId="67F9F3F3">
      <w:pPr>
        <w:numPr>
          <w:ilvl w:val="0"/>
          <w:numId w:val="21"/>
        </w:numPr>
        <w:ind w:right="-733" w:rightChars="-349" w:firstLine="560" w:firstLineChars="200"/>
        <w:jc w:val="left"/>
        <w:rPr>
          <w:rFonts w:ascii="仿宋" w:hAnsi="仿宋" w:eastAsia="仿宋"/>
          <w:color w:val="auto"/>
          <w:sz w:val="28"/>
          <w:szCs w:val="28"/>
        </w:rPr>
      </w:pPr>
      <w:r>
        <w:rPr>
          <w:rFonts w:hint="eastAsia" w:ascii="仿宋" w:hAnsi="仿宋" w:eastAsia="仿宋"/>
          <w:color w:val="auto"/>
          <w:sz w:val="28"/>
          <w:szCs w:val="28"/>
        </w:rPr>
        <w:t>由项目主管对项目承建供应商的履约情况进行评分，并填写《信息项目承建供应商履约评分表》（详见附件）、由项目监管对评分进行审核签字。</w:t>
      </w:r>
    </w:p>
    <w:p w14:paraId="79614B56">
      <w:pPr>
        <w:numPr>
          <w:ilvl w:val="0"/>
          <w:numId w:val="21"/>
        </w:numPr>
        <w:ind w:right="-733" w:rightChars="-349" w:firstLine="560" w:firstLineChars="200"/>
        <w:jc w:val="left"/>
        <w:rPr>
          <w:rFonts w:ascii="仿宋" w:hAnsi="仿宋" w:eastAsia="仿宋"/>
          <w:color w:val="auto"/>
          <w:sz w:val="28"/>
          <w:szCs w:val="28"/>
        </w:rPr>
      </w:pPr>
      <w:r>
        <w:rPr>
          <w:rFonts w:hint="eastAsia" w:ascii="仿宋" w:hAnsi="仿宋" w:eastAsia="仿宋"/>
          <w:color w:val="auto"/>
          <w:sz w:val="28"/>
          <w:szCs w:val="28"/>
        </w:rPr>
        <w:t>由信管处业务管理科收集汇总每季度各信息项目承建供应商的履约评分情况、提交信管处处务会通报并呈报信息主管副院长。</w:t>
      </w:r>
    </w:p>
    <w:p w14:paraId="330BD204">
      <w:pPr>
        <w:numPr>
          <w:ilvl w:val="0"/>
          <w:numId w:val="21"/>
        </w:numPr>
        <w:ind w:right="-733" w:rightChars="-349" w:firstLine="560" w:firstLineChars="200"/>
        <w:jc w:val="left"/>
        <w:rPr>
          <w:rFonts w:ascii="仿宋" w:hAnsi="仿宋" w:eastAsia="仿宋"/>
          <w:color w:val="auto"/>
          <w:sz w:val="28"/>
          <w:szCs w:val="28"/>
        </w:rPr>
      </w:pPr>
      <w:r>
        <w:rPr>
          <w:rFonts w:hint="eastAsia" w:ascii="仿宋" w:hAnsi="仿宋" w:eastAsia="仿宋"/>
          <w:color w:val="auto"/>
          <w:sz w:val="28"/>
          <w:szCs w:val="28"/>
        </w:rPr>
        <w:t>根据评分结果，对履约评分低于70分的供应商采取敦促措施如下：</w:t>
      </w:r>
    </w:p>
    <w:p w14:paraId="2072EE4C">
      <w:pPr>
        <w:pStyle w:val="14"/>
        <w:numPr>
          <w:ilvl w:val="0"/>
          <w:numId w:val="22"/>
        </w:numPr>
        <w:tabs>
          <w:tab w:val="left" w:pos="1276"/>
        </w:tabs>
        <w:ind w:left="17" w:right="-733" w:rightChars="-349" w:firstLine="560"/>
        <w:jc w:val="left"/>
        <w:rPr>
          <w:rFonts w:ascii="仿宋" w:hAnsi="仿宋" w:eastAsia="仿宋"/>
          <w:color w:val="auto"/>
          <w:sz w:val="28"/>
          <w:szCs w:val="28"/>
        </w:rPr>
      </w:pPr>
      <w:r>
        <w:rPr>
          <w:rFonts w:hint="eastAsia" w:ascii="仿宋" w:hAnsi="仿宋" w:eastAsia="仿宋"/>
          <w:color w:val="auto"/>
          <w:sz w:val="28"/>
          <w:szCs w:val="28"/>
        </w:rPr>
        <w:t>首次</w:t>
      </w:r>
      <w:r>
        <w:rPr>
          <w:rFonts w:ascii="仿宋" w:hAnsi="仿宋" w:eastAsia="仿宋"/>
          <w:color w:val="auto"/>
          <w:sz w:val="28"/>
          <w:szCs w:val="28"/>
        </w:rPr>
        <w:t>履约</w:t>
      </w:r>
      <w:r>
        <w:rPr>
          <w:rFonts w:hint="eastAsia" w:ascii="仿宋" w:hAnsi="仿宋" w:eastAsia="仿宋"/>
          <w:color w:val="auto"/>
          <w:sz w:val="28"/>
          <w:szCs w:val="28"/>
        </w:rPr>
        <w:t>评分低于70分（含70分）：</w:t>
      </w:r>
      <w:r>
        <w:rPr>
          <w:rFonts w:ascii="仿宋" w:hAnsi="仿宋" w:eastAsia="仿宋"/>
          <w:color w:val="auto"/>
          <w:sz w:val="28"/>
          <w:szCs w:val="28"/>
        </w:rPr>
        <w:t>由</w:t>
      </w:r>
      <w:r>
        <w:rPr>
          <w:rFonts w:hint="eastAsia" w:ascii="仿宋" w:hAnsi="仿宋" w:eastAsia="仿宋"/>
          <w:color w:val="auto"/>
          <w:sz w:val="28"/>
          <w:szCs w:val="28"/>
        </w:rPr>
        <w:t>信管处业务管理科</w:t>
      </w:r>
      <w:r>
        <w:rPr>
          <w:rFonts w:ascii="仿宋" w:hAnsi="仿宋" w:eastAsia="仿宋"/>
          <w:color w:val="auto"/>
          <w:sz w:val="28"/>
          <w:szCs w:val="28"/>
        </w:rPr>
        <w:t>联同项目组约谈供应商</w:t>
      </w:r>
      <w:r>
        <w:rPr>
          <w:rFonts w:hint="eastAsia" w:ascii="仿宋" w:hAnsi="仿宋" w:eastAsia="仿宋"/>
          <w:color w:val="auto"/>
          <w:sz w:val="28"/>
          <w:szCs w:val="28"/>
        </w:rPr>
        <w:t>，并将约谈记录和评分结果和通过公函正式反馈供应商。</w:t>
      </w:r>
    </w:p>
    <w:p w14:paraId="7070B343">
      <w:pPr>
        <w:pStyle w:val="14"/>
        <w:numPr>
          <w:ilvl w:val="0"/>
          <w:numId w:val="22"/>
        </w:numPr>
        <w:tabs>
          <w:tab w:val="left" w:pos="1276"/>
        </w:tabs>
        <w:ind w:left="17" w:right="-733" w:rightChars="-349" w:firstLine="560"/>
        <w:jc w:val="left"/>
        <w:rPr>
          <w:rFonts w:ascii="仿宋" w:hAnsi="仿宋" w:eastAsia="仿宋"/>
          <w:color w:val="auto"/>
          <w:sz w:val="28"/>
          <w:szCs w:val="28"/>
        </w:rPr>
      </w:pPr>
      <w:r>
        <w:rPr>
          <w:rFonts w:hint="eastAsia" w:ascii="仿宋" w:hAnsi="仿宋" w:eastAsia="仿宋"/>
          <w:color w:val="auto"/>
          <w:sz w:val="28"/>
          <w:szCs w:val="28"/>
        </w:rPr>
        <w:t>连续两</w:t>
      </w:r>
      <w:r>
        <w:rPr>
          <w:rFonts w:hint="eastAsia" w:ascii="仿宋" w:hAnsi="仿宋" w:eastAsia="仿宋"/>
          <w:color w:val="auto"/>
          <w:sz w:val="28"/>
          <w:szCs w:val="28"/>
          <w:lang w:val="en-US" w:eastAsia="zh-CN"/>
        </w:rPr>
        <w:t>次</w:t>
      </w:r>
      <w:r>
        <w:rPr>
          <w:rFonts w:hint="eastAsia" w:ascii="仿宋" w:hAnsi="仿宋" w:eastAsia="仿宋"/>
          <w:color w:val="auto"/>
          <w:sz w:val="28"/>
          <w:szCs w:val="28"/>
        </w:rPr>
        <w:t>履约评分低于70分（含70分）：由信管处业务管理科呈报提请信息</w:t>
      </w:r>
      <w:r>
        <w:rPr>
          <w:rFonts w:ascii="仿宋" w:hAnsi="仿宋" w:eastAsia="仿宋"/>
          <w:color w:val="auto"/>
          <w:sz w:val="28"/>
          <w:szCs w:val="28"/>
        </w:rPr>
        <w:t>主管</w:t>
      </w:r>
      <w:r>
        <w:rPr>
          <w:rFonts w:hint="eastAsia" w:ascii="仿宋" w:hAnsi="仿宋" w:eastAsia="仿宋"/>
          <w:color w:val="auto"/>
          <w:sz w:val="28"/>
          <w:szCs w:val="28"/>
        </w:rPr>
        <w:t>副院长</w:t>
      </w:r>
      <w:r>
        <w:rPr>
          <w:rFonts w:ascii="仿宋" w:hAnsi="仿宋" w:eastAsia="仿宋"/>
          <w:color w:val="auto"/>
          <w:sz w:val="28"/>
          <w:szCs w:val="28"/>
        </w:rPr>
        <w:t>约谈供应商</w:t>
      </w:r>
      <w:r>
        <w:rPr>
          <w:rFonts w:hint="eastAsia" w:ascii="仿宋" w:hAnsi="仿宋" w:eastAsia="仿宋"/>
          <w:color w:val="auto"/>
          <w:sz w:val="28"/>
          <w:szCs w:val="28"/>
        </w:rPr>
        <w:t>；将约谈记录和评分结果正式通过公函反馈供应商，并对应扣罚20%履约保证金。</w:t>
      </w:r>
      <w:r>
        <w:rPr>
          <w:rFonts w:hint="eastAsia" w:ascii="仿宋" w:hAnsi="仿宋" w:eastAsia="仿宋"/>
          <w:color w:val="auto"/>
          <w:sz w:val="28"/>
          <w:szCs w:val="28"/>
          <w:lang w:eastAsia="zh-CN"/>
        </w:rPr>
        <w:t>我院有权单方解除合同。</w:t>
      </w:r>
    </w:p>
    <w:p w14:paraId="6D1775C6">
      <w:pPr>
        <w:pStyle w:val="14"/>
        <w:numPr>
          <w:ilvl w:val="0"/>
          <w:numId w:val="22"/>
        </w:numPr>
        <w:tabs>
          <w:tab w:val="left" w:pos="1276"/>
        </w:tabs>
        <w:ind w:left="17" w:right="-733" w:rightChars="-349" w:firstLine="560"/>
        <w:jc w:val="left"/>
        <w:rPr>
          <w:rFonts w:ascii="仿宋" w:hAnsi="仿宋" w:eastAsia="仿宋"/>
          <w:color w:val="auto"/>
          <w:sz w:val="28"/>
          <w:szCs w:val="28"/>
        </w:rPr>
      </w:pPr>
      <w:r>
        <w:rPr>
          <w:rFonts w:hint="eastAsia" w:ascii="仿宋" w:hAnsi="仿宋" w:eastAsia="仿宋"/>
          <w:color w:val="auto"/>
          <w:sz w:val="28"/>
          <w:szCs w:val="28"/>
        </w:rPr>
        <w:t>连续三</w:t>
      </w:r>
      <w:r>
        <w:rPr>
          <w:rFonts w:hint="eastAsia" w:ascii="仿宋" w:hAnsi="仿宋" w:eastAsia="仿宋"/>
          <w:color w:val="auto"/>
          <w:sz w:val="28"/>
          <w:szCs w:val="28"/>
          <w:lang w:val="en-US" w:eastAsia="zh-CN"/>
        </w:rPr>
        <w:t>次</w:t>
      </w:r>
      <w:r>
        <w:rPr>
          <w:rFonts w:hint="eastAsia" w:ascii="仿宋" w:hAnsi="仿宋" w:eastAsia="仿宋"/>
          <w:color w:val="auto"/>
          <w:sz w:val="28"/>
          <w:szCs w:val="28"/>
        </w:rPr>
        <w:t>季度履约评分低于70分（含70分）：由信管处形成报告</w:t>
      </w:r>
      <w:r>
        <w:rPr>
          <w:rFonts w:ascii="仿宋" w:hAnsi="仿宋" w:eastAsia="仿宋"/>
          <w:color w:val="auto"/>
          <w:sz w:val="28"/>
          <w:szCs w:val="28"/>
        </w:rPr>
        <w:t>呈报院长办公会</w:t>
      </w:r>
      <w:r>
        <w:rPr>
          <w:rFonts w:hint="eastAsia" w:ascii="仿宋" w:hAnsi="仿宋" w:eastAsia="仿宋"/>
          <w:color w:val="auto"/>
          <w:sz w:val="28"/>
          <w:szCs w:val="28"/>
        </w:rPr>
        <w:t>、提请将该供应商列入我院采购黑名单、并扣罚该项目剩余</w:t>
      </w:r>
      <w:r>
        <w:rPr>
          <w:rFonts w:ascii="仿宋" w:hAnsi="仿宋" w:eastAsia="仿宋"/>
          <w:color w:val="auto"/>
          <w:sz w:val="28"/>
          <w:szCs w:val="28"/>
        </w:rPr>
        <w:t>履约保证金。</w:t>
      </w:r>
      <w:r>
        <w:rPr>
          <w:rFonts w:hint="eastAsia" w:ascii="仿宋" w:hAnsi="仿宋" w:eastAsia="仿宋"/>
          <w:color w:val="auto"/>
          <w:sz w:val="28"/>
          <w:szCs w:val="28"/>
          <w:lang w:eastAsia="zh-CN"/>
        </w:rPr>
        <w:t>我院有权单方解除合同。</w:t>
      </w:r>
    </w:p>
    <w:p w14:paraId="15F80655">
      <w:pPr>
        <w:pStyle w:val="14"/>
        <w:numPr>
          <w:ilvl w:val="0"/>
          <w:numId w:val="20"/>
        </w:numPr>
        <w:ind w:left="709" w:right="-733" w:rightChars="-349" w:hanging="651" w:firstLineChars="0"/>
        <w:jc w:val="left"/>
        <w:rPr>
          <w:rFonts w:ascii="仿宋" w:hAnsi="仿宋" w:eastAsia="仿宋"/>
          <w:b/>
          <w:color w:val="auto"/>
          <w:sz w:val="28"/>
          <w:szCs w:val="28"/>
        </w:rPr>
      </w:pPr>
      <w:r>
        <w:rPr>
          <w:rFonts w:hint="eastAsia" w:ascii="仿宋" w:hAnsi="仿宋" w:eastAsia="仿宋"/>
          <w:b/>
          <w:color w:val="auto"/>
          <w:sz w:val="28"/>
          <w:szCs w:val="28"/>
        </w:rPr>
        <w:t>其他</w:t>
      </w:r>
    </w:p>
    <w:p w14:paraId="5215FF83">
      <w:pPr>
        <w:ind w:left="6" w:right="-733" w:rightChars="-349" w:firstLine="560" w:firstLineChars="200"/>
        <w:jc w:val="left"/>
        <w:rPr>
          <w:rFonts w:ascii="仿宋" w:hAnsi="仿宋" w:eastAsia="仿宋"/>
          <w:color w:val="auto"/>
          <w:sz w:val="28"/>
          <w:szCs w:val="28"/>
        </w:rPr>
      </w:pPr>
      <w:r>
        <w:rPr>
          <w:rFonts w:ascii="仿宋" w:hAnsi="仿宋" w:eastAsia="仿宋"/>
          <w:color w:val="auto"/>
          <w:sz w:val="28"/>
          <w:szCs w:val="28"/>
        </w:rPr>
        <w:t>本</w:t>
      </w:r>
      <w:r>
        <w:rPr>
          <w:rFonts w:hint="eastAsia" w:ascii="仿宋" w:hAnsi="仿宋" w:eastAsia="仿宋"/>
          <w:color w:val="auto"/>
          <w:sz w:val="28"/>
          <w:szCs w:val="28"/>
        </w:rPr>
        <w:t>确认书</w:t>
      </w:r>
      <w:r>
        <w:rPr>
          <w:rFonts w:ascii="仿宋" w:hAnsi="仿宋" w:eastAsia="仿宋"/>
          <w:color w:val="auto"/>
          <w:sz w:val="28"/>
          <w:szCs w:val="28"/>
        </w:rPr>
        <w:t>一式</w:t>
      </w:r>
      <w:r>
        <w:rPr>
          <w:rFonts w:hint="eastAsia" w:ascii="仿宋" w:hAnsi="仿宋" w:eastAsia="仿宋"/>
          <w:color w:val="auto"/>
          <w:sz w:val="28"/>
          <w:szCs w:val="28"/>
        </w:rPr>
        <w:t>两</w:t>
      </w:r>
      <w:r>
        <w:rPr>
          <w:rFonts w:ascii="仿宋" w:hAnsi="仿宋" w:eastAsia="仿宋"/>
          <w:color w:val="auto"/>
          <w:sz w:val="28"/>
          <w:szCs w:val="28"/>
        </w:rPr>
        <w:t>份，甲方</w:t>
      </w:r>
      <w:r>
        <w:rPr>
          <w:rFonts w:hint="eastAsia" w:ascii="仿宋" w:hAnsi="仿宋" w:eastAsia="仿宋"/>
          <w:color w:val="auto"/>
          <w:sz w:val="28"/>
          <w:szCs w:val="28"/>
        </w:rPr>
        <w:t>一</w:t>
      </w:r>
      <w:r>
        <w:rPr>
          <w:rFonts w:ascii="仿宋" w:hAnsi="仿宋" w:eastAsia="仿宋"/>
          <w:color w:val="auto"/>
          <w:sz w:val="28"/>
          <w:szCs w:val="28"/>
        </w:rPr>
        <w:t>份，乙</w:t>
      </w:r>
      <w:r>
        <w:rPr>
          <w:rFonts w:hint="eastAsia" w:ascii="仿宋" w:hAnsi="仿宋" w:eastAsia="仿宋"/>
          <w:color w:val="auto"/>
          <w:sz w:val="28"/>
          <w:szCs w:val="28"/>
        </w:rPr>
        <w:t>方</w:t>
      </w:r>
      <w:r>
        <w:rPr>
          <w:rFonts w:ascii="仿宋" w:hAnsi="仿宋" w:eastAsia="仿宋"/>
          <w:color w:val="auto"/>
          <w:sz w:val="28"/>
          <w:szCs w:val="28"/>
        </w:rPr>
        <w:t>一份，</w:t>
      </w:r>
      <w:r>
        <w:rPr>
          <w:rFonts w:hint="eastAsia" w:ascii="仿宋" w:hAnsi="仿宋" w:eastAsia="仿宋"/>
          <w:color w:val="auto"/>
          <w:sz w:val="28"/>
          <w:szCs w:val="28"/>
        </w:rPr>
        <w:t>两</w:t>
      </w:r>
      <w:r>
        <w:rPr>
          <w:rFonts w:ascii="仿宋" w:hAnsi="仿宋" w:eastAsia="仿宋"/>
          <w:color w:val="auto"/>
          <w:sz w:val="28"/>
          <w:szCs w:val="28"/>
        </w:rPr>
        <w:t>份协议具有同等法律效力。本</w:t>
      </w:r>
      <w:r>
        <w:rPr>
          <w:rFonts w:hint="eastAsia" w:ascii="仿宋" w:hAnsi="仿宋" w:eastAsia="仿宋"/>
          <w:color w:val="auto"/>
          <w:sz w:val="28"/>
          <w:szCs w:val="28"/>
        </w:rPr>
        <w:t>确认书</w:t>
      </w:r>
      <w:r>
        <w:rPr>
          <w:rFonts w:ascii="仿宋" w:hAnsi="仿宋" w:eastAsia="仿宋"/>
          <w:color w:val="auto"/>
          <w:sz w:val="28"/>
          <w:szCs w:val="28"/>
        </w:rPr>
        <w:t>自乙方盖章之日起生效。</w:t>
      </w:r>
    </w:p>
    <w:p w14:paraId="6B5CB151">
      <w:pPr>
        <w:ind w:left="645" w:right="-733" w:rightChars="-349"/>
        <w:jc w:val="left"/>
        <w:rPr>
          <w:rFonts w:ascii="仿宋" w:hAnsi="仿宋" w:eastAsia="仿宋"/>
          <w:color w:val="auto"/>
          <w:sz w:val="28"/>
          <w:szCs w:val="28"/>
        </w:rPr>
      </w:pPr>
    </w:p>
    <w:p w14:paraId="354D0912">
      <w:pPr>
        <w:ind w:left="6" w:right="-733" w:rightChars="-349" w:firstLine="560" w:firstLineChars="200"/>
        <w:jc w:val="left"/>
        <w:rPr>
          <w:rFonts w:ascii="仿宋" w:hAnsi="仿宋" w:eastAsia="仿宋"/>
          <w:color w:val="auto"/>
          <w:sz w:val="28"/>
          <w:szCs w:val="28"/>
        </w:rPr>
      </w:pPr>
      <w:r>
        <w:rPr>
          <w:rFonts w:hint="eastAsia" w:ascii="仿宋" w:hAnsi="仿宋" w:eastAsia="仿宋"/>
          <w:color w:val="auto"/>
          <w:sz w:val="28"/>
          <w:szCs w:val="28"/>
        </w:rPr>
        <w:t>附件</w:t>
      </w:r>
      <w:r>
        <w:rPr>
          <w:rFonts w:ascii="仿宋" w:hAnsi="仿宋" w:eastAsia="仿宋"/>
          <w:color w:val="auto"/>
          <w:sz w:val="28"/>
          <w:szCs w:val="28"/>
        </w:rPr>
        <w:t>：</w:t>
      </w:r>
      <w:r>
        <w:rPr>
          <w:rFonts w:hint="eastAsia" w:ascii="仿宋" w:hAnsi="仿宋" w:eastAsia="仿宋"/>
          <w:color w:val="auto"/>
          <w:sz w:val="28"/>
          <w:szCs w:val="28"/>
        </w:rPr>
        <w:t>信息项目承建供应商履约评分表</w:t>
      </w:r>
    </w:p>
    <w:p w14:paraId="2B9595E1">
      <w:pPr>
        <w:ind w:left="1065" w:right="-733" w:rightChars="-349"/>
        <w:jc w:val="left"/>
        <w:rPr>
          <w:rFonts w:ascii="仿宋" w:hAnsi="仿宋" w:eastAsia="仿宋"/>
          <w:color w:val="auto"/>
          <w:sz w:val="28"/>
          <w:szCs w:val="28"/>
        </w:rPr>
      </w:pPr>
    </w:p>
    <w:p w14:paraId="7055C934">
      <w:pPr>
        <w:spacing w:line="360" w:lineRule="auto"/>
        <w:ind w:left="1066" w:right="-733" w:rightChars="-349"/>
        <w:jc w:val="right"/>
        <w:rPr>
          <w:rFonts w:ascii="仿宋" w:hAnsi="仿宋" w:eastAsia="仿宋"/>
          <w:b/>
          <w:color w:val="auto"/>
          <w:sz w:val="28"/>
          <w:szCs w:val="28"/>
        </w:rPr>
      </w:pPr>
      <w:r>
        <w:rPr>
          <w:rFonts w:hint="eastAsia" w:ascii="仿宋" w:hAnsi="仿宋" w:eastAsia="仿宋"/>
          <w:b/>
          <w:color w:val="auto"/>
          <w:sz w:val="28"/>
          <w:szCs w:val="28"/>
        </w:rPr>
        <w:t xml:space="preserve">广东省人民医院   </w:t>
      </w:r>
    </w:p>
    <w:p w14:paraId="6343C874">
      <w:pPr>
        <w:spacing w:line="360" w:lineRule="auto"/>
        <w:ind w:left="1066" w:right="-733" w:rightChars="-349"/>
        <w:jc w:val="right"/>
        <w:rPr>
          <w:rFonts w:ascii="仿宋" w:hAnsi="仿宋" w:eastAsia="仿宋"/>
          <w:b/>
          <w:color w:val="auto"/>
          <w:sz w:val="28"/>
          <w:szCs w:val="28"/>
        </w:rPr>
      </w:pPr>
      <w:r>
        <w:rPr>
          <w:rFonts w:hint="eastAsia" w:ascii="仿宋" w:hAnsi="仿宋" w:eastAsia="仿宋"/>
          <w:b/>
          <w:color w:val="auto"/>
          <w:sz w:val="28"/>
          <w:szCs w:val="28"/>
        </w:rPr>
        <w:t xml:space="preserve">信息管理处 </w:t>
      </w:r>
      <w:r>
        <w:rPr>
          <w:rFonts w:ascii="仿宋" w:hAnsi="仿宋" w:eastAsia="仿宋"/>
          <w:b/>
          <w:color w:val="auto"/>
          <w:sz w:val="28"/>
          <w:szCs w:val="28"/>
        </w:rPr>
        <w:t xml:space="preserve">   </w:t>
      </w:r>
    </w:p>
    <w:p w14:paraId="0F009ABD">
      <w:pPr>
        <w:spacing w:line="360" w:lineRule="auto"/>
        <w:ind w:left="1066" w:right="-733" w:rightChars="-349"/>
        <w:jc w:val="right"/>
        <w:rPr>
          <w:rFonts w:ascii="仿宋" w:hAnsi="仿宋" w:eastAsia="仿宋"/>
          <w:b/>
          <w:color w:val="auto"/>
          <w:sz w:val="28"/>
          <w:szCs w:val="28"/>
        </w:rPr>
      </w:pPr>
      <w:r>
        <w:rPr>
          <w:rFonts w:hint="eastAsia" w:ascii="仿宋" w:hAnsi="仿宋" w:eastAsia="仿宋"/>
          <w:b/>
          <w:color w:val="auto"/>
          <w:sz w:val="28"/>
          <w:szCs w:val="28"/>
        </w:rPr>
        <w:t>202    年    月    日</w:t>
      </w:r>
    </w:p>
    <w:p w14:paraId="0EB969B1">
      <w:pPr>
        <w:widowControl/>
        <w:ind w:right="-733" w:rightChars="-349"/>
        <w:jc w:val="left"/>
        <w:rPr>
          <w:rFonts w:ascii="仿宋" w:hAnsi="仿宋" w:eastAsia="仿宋"/>
          <w:b/>
          <w:color w:val="auto"/>
          <w:sz w:val="28"/>
          <w:szCs w:val="28"/>
        </w:rPr>
      </w:pPr>
    </w:p>
    <w:p w14:paraId="1EA227F1">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供应商名称（盖章）：</w:t>
      </w:r>
    </w:p>
    <w:p w14:paraId="61EEBA9B">
      <w:pPr>
        <w:widowControl/>
        <w:ind w:right="-733" w:rightChars="-349" w:firstLine="562" w:firstLineChars="200"/>
        <w:jc w:val="left"/>
        <w:rPr>
          <w:rFonts w:ascii="仿宋" w:hAnsi="仿宋" w:eastAsia="仿宋"/>
          <w:b/>
          <w:color w:val="auto"/>
          <w:sz w:val="28"/>
          <w:szCs w:val="28"/>
        </w:rPr>
      </w:pPr>
      <w:r>
        <w:rPr>
          <w:rFonts w:hint="eastAsia" w:ascii="仿宋" w:hAnsi="仿宋" w:eastAsia="仿宋"/>
          <w:b/>
          <w:color w:val="auto"/>
          <w:sz w:val="28"/>
          <w:szCs w:val="28"/>
        </w:rPr>
        <w:t>我司同意执行贵院的履约评价方案。</w:t>
      </w:r>
    </w:p>
    <w:p w14:paraId="1A5C93FB">
      <w:pPr>
        <w:widowControl/>
        <w:ind w:right="-733" w:rightChars="-349" w:firstLine="562" w:firstLineChars="200"/>
        <w:jc w:val="left"/>
        <w:rPr>
          <w:rFonts w:ascii="仿宋" w:hAnsi="仿宋" w:eastAsia="仿宋"/>
          <w:b/>
          <w:color w:val="auto"/>
          <w:sz w:val="28"/>
          <w:szCs w:val="28"/>
        </w:rPr>
      </w:pPr>
    </w:p>
    <w:p w14:paraId="14C776CA">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项 目 名称：</w:t>
      </w:r>
    </w:p>
    <w:p w14:paraId="5DCA93E3">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项目负责人：</w:t>
      </w:r>
    </w:p>
    <w:p w14:paraId="7A767F4E">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手  机  号：</w:t>
      </w:r>
    </w:p>
    <w:p w14:paraId="11113AA1">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邮      箱：</w:t>
      </w:r>
    </w:p>
    <w:p w14:paraId="70723151">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日      期：</w:t>
      </w:r>
    </w:p>
    <w:p w14:paraId="01BFAA66">
      <w:pPr>
        <w:spacing w:after="156" w:afterLines="50"/>
        <w:jc w:val="center"/>
        <w:rPr>
          <w:rFonts w:hint="eastAsia" w:ascii="仿宋" w:hAnsi="仿宋" w:eastAsia="仿宋"/>
          <w:b/>
          <w:sz w:val="32"/>
          <w:szCs w:val="32"/>
        </w:rPr>
      </w:pPr>
      <w:r>
        <w:rPr>
          <w:rFonts w:ascii="仿宋" w:hAnsi="仿宋" w:eastAsia="仿宋"/>
          <w:b/>
          <w:color w:val="auto"/>
          <w:sz w:val="28"/>
          <w:szCs w:val="28"/>
        </w:rPr>
        <w:br w:type="page"/>
      </w:r>
    </w:p>
    <w:p w14:paraId="427FA428">
      <w:pPr>
        <w:spacing w:after="156" w:afterLines="50"/>
        <w:jc w:val="center"/>
        <w:rPr>
          <w:rFonts w:ascii="仿宋" w:hAnsi="仿宋" w:eastAsia="仿宋"/>
          <w:b/>
          <w:sz w:val="32"/>
          <w:szCs w:val="32"/>
        </w:rPr>
      </w:pPr>
      <w:r>
        <w:rPr>
          <w:rFonts w:hint="eastAsia" w:ascii="仿宋" w:hAnsi="仿宋" w:eastAsia="仿宋"/>
          <w:b/>
          <w:sz w:val="32"/>
          <w:szCs w:val="32"/>
        </w:rPr>
        <w:t>广东省人民医院在建信息项目承建供应商履约评分表</w:t>
      </w:r>
    </w:p>
    <w:p w14:paraId="577D75A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 w:hAnsi="仿宋" w:eastAsia="仿宋"/>
          <w:b/>
          <w:sz w:val="28"/>
          <w:szCs w:val="28"/>
          <w:lang w:eastAsia="zh-CN"/>
        </w:rPr>
      </w:pPr>
      <w:r>
        <w:rPr>
          <w:rFonts w:hint="eastAsia" w:ascii="仿宋" w:hAnsi="仿宋" w:eastAsia="仿宋"/>
          <w:b/>
          <w:sz w:val="28"/>
          <w:szCs w:val="28"/>
        </w:rPr>
        <w:t>评分周期：</w:t>
      </w:r>
    </w:p>
    <w:p w14:paraId="1306739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仿宋" w:hAnsi="仿宋" w:eastAsia="仿宋"/>
          <w:b/>
          <w:sz w:val="28"/>
          <w:szCs w:val="28"/>
        </w:rPr>
      </w:pPr>
      <w:r>
        <w:rPr>
          <w:rFonts w:hint="eastAsia" w:ascii="仿宋" w:hAnsi="仿宋" w:eastAsia="仿宋"/>
          <w:b/>
          <w:sz w:val="28"/>
          <w:szCs w:val="28"/>
        </w:rPr>
        <w:t>项目名称：</w:t>
      </w:r>
    </w:p>
    <w:p w14:paraId="3200DC9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仿宋" w:hAnsi="仿宋" w:eastAsia="仿宋"/>
          <w:b/>
          <w:sz w:val="28"/>
          <w:szCs w:val="28"/>
          <w:lang w:val="en-US" w:eastAsia="zh-CN"/>
        </w:rPr>
      </w:pPr>
      <w:r>
        <w:rPr>
          <w:rFonts w:hint="eastAsia" w:ascii="仿宋" w:hAnsi="仿宋" w:eastAsia="仿宋"/>
          <w:b/>
          <w:sz w:val="28"/>
          <w:szCs w:val="28"/>
        </w:rPr>
        <w:t>供应商名称：</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140"/>
        <w:gridCol w:w="1269"/>
        <w:gridCol w:w="1638"/>
        <w:gridCol w:w="2987"/>
        <w:gridCol w:w="695"/>
        <w:gridCol w:w="666"/>
        <w:gridCol w:w="824"/>
      </w:tblGrid>
      <w:tr w14:paraId="12FA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3BC46">
            <w:pPr>
              <w:jc w:val="left"/>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序号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67ED5">
            <w:pPr>
              <w:jc w:val="left"/>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评分维度</w:t>
            </w:r>
          </w:p>
        </w:tc>
        <w:tc>
          <w:tcPr>
            <w:tcW w:w="29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CFD3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考核办法</w:t>
            </w:r>
          </w:p>
        </w:tc>
        <w:tc>
          <w:tcPr>
            <w:tcW w:w="2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BBC57">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评分细则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520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不满意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3F02">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基本满意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B07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满意</w:t>
            </w:r>
          </w:p>
        </w:tc>
      </w:tr>
      <w:tr w14:paraId="4749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14ED2">
            <w:pPr>
              <w:jc w:val="left"/>
              <w:rPr>
                <w:rFonts w:hint="eastAsia" w:ascii="仿宋" w:hAnsi="仿宋" w:eastAsia="仿宋" w:cs="仿宋"/>
                <w:b/>
                <w:bCs/>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921F">
            <w:pPr>
              <w:jc w:val="left"/>
              <w:rPr>
                <w:rFonts w:hint="eastAsia" w:ascii="仿宋" w:hAnsi="仿宋" w:eastAsia="仿宋" w:cs="仿宋"/>
                <w:b/>
                <w:bCs/>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4A90">
            <w:pPr>
              <w:jc w:val="left"/>
              <w:rPr>
                <w:rFonts w:hint="eastAsia" w:ascii="仿宋" w:hAnsi="仿宋" w:eastAsia="仿宋" w:cs="仿宋"/>
                <w:b/>
                <w:bCs/>
                <w:i w:val="0"/>
                <w:iCs w:val="0"/>
                <w:color w:val="000000"/>
                <w:sz w:val="21"/>
                <w:szCs w:val="21"/>
                <w:u w:val="none"/>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C202">
            <w:pPr>
              <w:jc w:val="left"/>
              <w:rPr>
                <w:rFonts w:hint="eastAsia" w:ascii="仿宋" w:hAnsi="仿宋" w:eastAsia="仿宋" w:cs="仿宋"/>
                <w:b/>
                <w:bCs/>
                <w:i w:val="0"/>
                <w:iCs w:val="0"/>
                <w:color w:val="000000"/>
                <w:sz w:val="21"/>
                <w:szCs w:val="2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126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（0～70分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589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（71～89分）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141">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（90～100分）</w:t>
            </w:r>
          </w:p>
        </w:tc>
      </w:tr>
      <w:tr w14:paraId="3CCE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25B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1C0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需求响应速度</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E77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乙方需在甲方正式提交需求后的7个工作日内将需求提交计划反馈甲方。</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773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不按时反馈需求提交计划的，每次扣2分。</w:t>
            </w:r>
          </w:p>
        </w:tc>
        <w:tc>
          <w:tcPr>
            <w:tcW w:w="695" w:type="dxa"/>
            <w:vMerge w:val="restart"/>
            <w:tcBorders>
              <w:top w:val="single" w:color="000000" w:sz="4" w:space="0"/>
              <w:left w:val="single" w:color="000000" w:sz="4" w:space="0"/>
              <w:right w:val="single" w:color="000000" w:sz="4" w:space="0"/>
            </w:tcBorders>
            <w:shd w:val="clear" w:color="auto" w:fill="auto"/>
            <w:vAlign w:val="center"/>
          </w:tcPr>
          <w:p w14:paraId="59B66E52">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right w:val="single" w:color="000000" w:sz="4" w:space="0"/>
            </w:tcBorders>
            <w:shd w:val="clear" w:color="auto" w:fill="auto"/>
            <w:vAlign w:val="center"/>
          </w:tcPr>
          <w:p w14:paraId="6A76B5ED">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305D9B89">
            <w:pPr>
              <w:jc w:val="left"/>
              <w:rPr>
                <w:rFonts w:hint="eastAsia" w:ascii="仿宋" w:hAnsi="仿宋" w:eastAsia="仿宋" w:cs="仿宋"/>
                <w:i w:val="0"/>
                <w:iCs w:val="0"/>
                <w:color w:val="000000"/>
                <w:sz w:val="21"/>
                <w:szCs w:val="21"/>
                <w:u w:val="none"/>
                <w:lang w:val="en-US" w:eastAsia="zh-CN"/>
              </w:rPr>
            </w:pPr>
          </w:p>
        </w:tc>
      </w:tr>
      <w:tr w14:paraId="4493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8368">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2E19">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4C1A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乙方积极加班加点实现甲方的紧急需求（如医保政策调整要求下月初必须上线，而按正常进度又难以排期的，或者如非典突发需求；或者类似医院重大事故导致网站紧急维护。</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55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经甲方确认后，每次加10分。</w:t>
            </w:r>
          </w:p>
        </w:tc>
        <w:tc>
          <w:tcPr>
            <w:tcW w:w="695" w:type="dxa"/>
            <w:vMerge w:val="continue"/>
            <w:tcBorders>
              <w:left w:val="single" w:color="000000" w:sz="4" w:space="0"/>
              <w:bottom w:val="single" w:color="000000" w:sz="4" w:space="0"/>
              <w:right w:val="single" w:color="000000" w:sz="4" w:space="0"/>
            </w:tcBorders>
            <w:shd w:val="clear" w:color="auto" w:fill="auto"/>
            <w:vAlign w:val="center"/>
          </w:tcPr>
          <w:p w14:paraId="7CF1A072">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bottom w:val="single" w:color="000000" w:sz="4" w:space="0"/>
              <w:right w:val="single" w:color="000000" w:sz="4" w:space="0"/>
            </w:tcBorders>
            <w:shd w:val="clear" w:color="auto" w:fill="auto"/>
            <w:vAlign w:val="center"/>
          </w:tcPr>
          <w:p w14:paraId="109D0DFC">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18C6E720">
            <w:pPr>
              <w:jc w:val="left"/>
              <w:rPr>
                <w:rFonts w:hint="eastAsia" w:ascii="仿宋" w:hAnsi="仿宋" w:eastAsia="仿宋" w:cs="仿宋"/>
                <w:i w:val="0"/>
                <w:iCs w:val="0"/>
                <w:color w:val="000000"/>
                <w:sz w:val="21"/>
                <w:szCs w:val="21"/>
                <w:u w:val="none"/>
                <w:lang w:val="en-US" w:eastAsia="zh-CN"/>
              </w:rPr>
            </w:pPr>
          </w:p>
        </w:tc>
      </w:tr>
      <w:tr w14:paraId="3E94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AF8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0C3E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需求版本质量</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AA0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乙方应按照甲方要求（需要说明书）实现系统功能，减少软件缺陷。</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9C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以下情况，每出现一次，扣3分。1、系统未实现需求说明书中的功能。2、系统出现了需求说明书中指明不应该出现的错误。3、系统出现了需求说明书中未提到或未确认的功能。4、软件运行缓慢。</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1BDC6">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E9CA3">
            <w:pPr>
              <w:jc w:val="left"/>
              <w:rPr>
                <w:rFonts w:hint="eastAsia" w:ascii="仿宋" w:hAnsi="仿宋" w:eastAsia="仿宋" w:cs="仿宋"/>
                <w:i w:val="0"/>
                <w:iCs w:val="0"/>
                <w:color w:val="000000"/>
                <w:sz w:val="21"/>
                <w:szCs w:val="21"/>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627F0">
            <w:pPr>
              <w:jc w:val="left"/>
              <w:rPr>
                <w:rFonts w:hint="eastAsia" w:ascii="仿宋" w:hAnsi="仿宋" w:eastAsia="仿宋" w:cs="仿宋"/>
                <w:i w:val="0"/>
                <w:iCs w:val="0"/>
                <w:color w:val="000000"/>
                <w:sz w:val="21"/>
                <w:szCs w:val="21"/>
                <w:u w:val="none"/>
                <w:lang w:val="en-US" w:eastAsia="zh-CN"/>
              </w:rPr>
            </w:pPr>
          </w:p>
        </w:tc>
      </w:tr>
      <w:tr w14:paraId="127B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9453">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D1A7">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0A1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乙方每项需求提交测试环境供甲方项目负责人核对，按季度统计核对结果一次性通过率要求。</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D3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版本一次性测试通过率要求≥90%</w:t>
            </w:r>
          </w:p>
          <w:p w14:paraId="3B27F2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1、一次性测试通过率≥90%的，本项不扣分。</w:t>
            </w:r>
          </w:p>
          <w:p w14:paraId="3DCF72A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2、一次性测试通过率在85%—90%的，扣4分。</w:t>
            </w:r>
          </w:p>
          <w:p w14:paraId="4596787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3、一次性测试通过率在80%—85%的，扣8分。</w:t>
            </w:r>
          </w:p>
          <w:p w14:paraId="2533987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4、一次性通过率低于80%的，扣10分。</w:t>
            </w:r>
          </w:p>
          <w:p w14:paraId="23FB58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如果因用户原因导致不通过的，不纳入此项统计。</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F93D">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2659">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AA57">
            <w:pPr>
              <w:jc w:val="left"/>
              <w:rPr>
                <w:rFonts w:hint="eastAsia" w:ascii="仿宋" w:hAnsi="仿宋" w:eastAsia="仿宋" w:cs="仿宋"/>
                <w:i w:val="0"/>
                <w:iCs w:val="0"/>
                <w:color w:val="000000"/>
                <w:sz w:val="21"/>
                <w:szCs w:val="21"/>
                <w:u w:val="none"/>
              </w:rPr>
            </w:pPr>
          </w:p>
        </w:tc>
      </w:tr>
      <w:tr w14:paraId="388E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379B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5B1A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重大故障出现次数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9FA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由于乙方故障（非甲方责任）造成的以下重大IT系统事故的：</w:t>
            </w:r>
          </w:p>
          <w:p w14:paraId="7BD42A5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1、核心系统（门诊挂号、缴费、医保等）无法正常运行导致对外业务和服务不能开展，影响营业持续时间超过1小时。</w:t>
            </w:r>
          </w:p>
          <w:p w14:paraId="31F5A1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2、非核心系统无法正常运行导致服务不能开展，影响工作持续时间超过8小时。</w:t>
            </w:r>
          </w:p>
          <w:p w14:paraId="1BE9059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3、核心系统生产类数据丢失、无法恢复造成医院损失。</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B7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每发生一次，扣15分。</w:t>
            </w:r>
          </w:p>
        </w:tc>
        <w:tc>
          <w:tcPr>
            <w:tcW w:w="695" w:type="dxa"/>
            <w:vMerge w:val="restart"/>
            <w:tcBorders>
              <w:top w:val="single" w:color="000000" w:sz="4" w:space="0"/>
              <w:left w:val="single" w:color="000000" w:sz="4" w:space="0"/>
              <w:right w:val="single" w:color="000000" w:sz="4" w:space="0"/>
            </w:tcBorders>
            <w:shd w:val="clear" w:color="auto" w:fill="auto"/>
            <w:vAlign w:val="center"/>
          </w:tcPr>
          <w:p w14:paraId="20A2446A">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right w:val="single" w:color="000000" w:sz="4" w:space="0"/>
            </w:tcBorders>
            <w:shd w:val="clear" w:color="auto" w:fill="auto"/>
            <w:vAlign w:val="center"/>
          </w:tcPr>
          <w:p w14:paraId="6B71A74F">
            <w:pPr>
              <w:jc w:val="left"/>
              <w:rPr>
                <w:rFonts w:hint="eastAsia" w:ascii="仿宋" w:hAnsi="仿宋" w:eastAsia="仿宋" w:cs="仿宋"/>
                <w:i w:val="0"/>
                <w:iCs w:val="0"/>
                <w:color w:val="000000"/>
                <w:sz w:val="21"/>
                <w:szCs w:val="21"/>
                <w:u w:val="none"/>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242FFDA7">
            <w:pPr>
              <w:jc w:val="left"/>
              <w:rPr>
                <w:rFonts w:hint="eastAsia" w:ascii="仿宋" w:hAnsi="仿宋" w:eastAsia="仿宋" w:cs="仿宋"/>
                <w:i w:val="0"/>
                <w:iCs w:val="0"/>
                <w:color w:val="000000"/>
                <w:sz w:val="21"/>
                <w:szCs w:val="21"/>
                <w:u w:val="none"/>
                <w:lang w:val="en-US" w:eastAsia="zh-CN"/>
              </w:rPr>
            </w:pPr>
          </w:p>
          <w:p w14:paraId="629F75D6">
            <w:pPr>
              <w:jc w:val="left"/>
              <w:rPr>
                <w:rFonts w:hint="eastAsia" w:ascii="仿宋" w:hAnsi="仿宋" w:eastAsia="仿宋" w:cs="仿宋"/>
                <w:i w:val="0"/>
                <w:iCs w:val="0"/>
                <w:color w:val="000000"/>
                <w:sz w:val="21"/>
                <w:szCs w:val="21"/>
                <w:u w:val="none"/>
                <w:lang w:val="en-US" w:eastAsia="zh-CN"/>
              </w:rPr>
            </w:pPr>
          </w:p>
        </w:tc>
      </w:tr>
      <w:tr w14:paraId="0C20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3DC7">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0444">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303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由于乙方系统问题及运维失误引发安全事故的。</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89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每发生一次，扣10分。</w:t>
            </w:r>
          </w:p>
        </w:tc>
        <w:tc>
          <w:tcPr>
            <w:tcW w:w="695" w:type="dxa"/>
            <w:vMerge w:val="continue"/>
            <w:tcBorders>
              <w:left w:val="single" w:color="000000" w:sz="4" w:space="0"/>
              <w:bottom w:val="single" w:color="000000" w:sz="4" w:space="0"/>
              <w:right w:val="single" w:color="000000" w:sz="4" w:space="0"/>
            </w:tcBorders>
            <w:shd w:val="clear" w:color="auto" w:fill="auto"/>
            <w:vAlign w:val="center"/>
          </w:tcPr>
          <w:p w14:paraId="171C2D69">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bottom w:val="single" w:color="000000" w:sz="4" w:space="0"/>
              <w:right w:val="single" w:color="000000" w:sz="4" w:space="0"/>
            </w:tcBorders>
            <w:shd w:val="clear" w:color="auto" w:fill="auto"/>
            <w:vAlign w:val="center"/>
          </w:tcPr>
          <w:p w14:paraId="3DDE9E1D">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429305D8">
            <w:pPr>
              <w:jc w:val="left"/>
              <w:rPr>
                <w:rFonts w:hint="eastAsia" w:ascii="仿宋" w:hAnsi="仿宋" w:eastAsia="仿宋" w:cs="仿宋"/>
                <w:i w:val="0"/>
                <w:iCs w:val="0"/>
                <w:color w:val="000000"/>
                <w:sz w:val="21"/>
                <w:szCs w:val="21"/>
                <w:u w:val="none"/>
                <w:lang w:val="en-US" w:eastAsia="zh-CN"/>
              </w:rPr>
            </w:pPr>
          </w:p>
        </w:tc>
      </w:tr>
      <w:tr w14:paraId="3C9B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0B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C72C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重大故障处理情况</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D59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乙方需与甲方共同定义故障级别、并按以下处理时间要求处理：</w:t>
            </w:r>
          </w:p>
          <w:p w14:paraId="7E66EE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1、重大故障：严重影响正常业务运行，或业务中断，需在1小时内处理完成。</w:t>
            </w:r>
          </w:p>
          <w:p w14:paraId="18B6DD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2、中等故障：影响正常业务运行，但通过其他方式可折中处理，需在12小时内处理完成。</w:t>
            </w:r>
          </w:p>
          <w:p w14:paraId="131BA3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3、轻微故障：对正常业务无影响，但妨碍业务运行及操作，需在24小时内处理完成。</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204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针对不同级别故障处理恢复需在约定的时间内，如超出1次，扣5分</w:t>
            </w:r>
          </w:p>
        </w:tc>
        <w:tc>
          <w:tcPr>
            <w:tcW w:w="695" w:type="dxa"/>
            <w:vMerge w:val="restart"/>
            <w:tcBorders>
              <w:top w:val="single" w:color="000000" w:sz="4" w:space="0"/>
              <w:left w:val="single" w:color="000000" w:sz="4" w:space="0"/>
              <w:right w:val="single" w:color="000000" w:sz="4" w:space="0"/>
            </w:tcBorders>
            <w:shd w:val="clear" w:color="auto" w:fill="auto"/>
            <w:vAlign w:val="center"/>
          </w:tcPr>
          <w:p w14:paraId="78CE91AA">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right w:val="single" w:color="000000" w:sz="4" w:space="0"/>
            </w:tcBorders>
            <w:shd w:val="clear" w:color="auto" w:fill="auto"/>
            <w:vAlign w:val="center"/>
          </w:tcPr>
          <w:p w14:paraId="30BB67F0">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3BFB830B">
            <w:pPr>
              <w:jc w:val="left"/>
              <w:rPr>
                <w:rFonts w:hint="eastAsia" w:ascii="仿宋" w:hAnsi="仿宋" w:eastAsia="仿宋" w:cs="仿宋"/>
                <w:i w:val="0"/>
                <w:iCs w:val="0"/>
                <w:color w:val="000000"/>
                <w:sz w:val="21"/>
                <w:szCs w:val="21"/>
                <w:u w:val="none"/>
                <w:lang w:val="en-US" w:eastAsia="zh-CN"/>
              </w:rPr>
            </w:pPr>
          </w:p>
        </w:tc>
      </w:tr>
      <w:tr w14:paraId="4730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4DC4">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DED7">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C6B2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乙方需向甲方提供故障处理知识库，而且在知识库基础上需定期每季度将每次故障发生原因、解决方案、后续规避方案均需记录到文档或上传到知识库。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E03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乙方不能提供知识库或知识库不按季度更新的，扣3分。</w:t>
            </w:r>
          </w:p>
        </w:tc>
        <w:tc>
          <w:tcPr>
            <w:tcW w:w="695" w:type="dxa"/>
            <w:vMerge w:val="continue"/>
            <w:tcBorders>
              <w:left w:val="single" w:color="000000" w:sz="4" w:space="0"/>
              <w:right w:val="single" w:color="000000" w:sz="4" w:space="0"/>
            </w:tcBorders>
            <w:shd w:val="clear" w:color="auto" w:fill="auto"/>
            <w:vAlign w:val="center"/>
          </w:tcPr>
          <w:p w14:paraId="3A96D1F4">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right w:val="single" w:color="000000" w:sz="4" w:space="0"/>
            </w:tcBorders>
            <w:shd w:val="clear" w:color="auto" w:fill="auto"/>
            <w:vAlign w:val="center"/>
          </w:tcPr>
          <w:p w14:paraId="694965D2">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right w:val="single" w:color="000000" w:sz="4" w:space="0"/>
            </w:tcBorders>
            <w:shd w:val="clear" w:color="auto" w:fill="auto"/>
            <w:vAlign w:val="center"/>
          </w:tcPr>
          <w:p w14:paraId="5A35A17B">
            <w:pPr>
              <w:jc w:val="left"/>
              <w:rPr>
                <w:rFonts w:hint="eastAsia" w:ascii="仿宋" w:hAnsi="仿宋" w:eastAsia="仿宋" w:cs="仿宋"/>
                <w:i w:val="0"/>
                <w:iCs w:val="0"/>
                <w:color w:val="000000"/>
                <w:sz w:val="21"/>
                <w:szCs w:val="21"/>
                <w:u w:val="none"/>
                <w:lang w:val="en-US" w:eastAsia="zh-CN"/>
              </w:rPr>
            </w:pPr>
          </w:p>
        </w:tc>
      </w:tr>
      <w:tr w14:paraId="0A16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8454">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EEA9">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5EFF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由于甲方原因造成的重点业务及服务故障，乙方主动积极提供解决方案并协助故障处理。</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0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经甲方确认后，每次加5分。</w:t>
            </w:r>
          </w:p>
        </w:tc>
        <w:tc>
          <w:tcPr>
            <w:tcW w:w="695" w:type="dxa"/>
            <w:vMerge w:val="continue"/>
            <w:tcBorders>
              <w:left w:val="single" w:color="000000" w:sz="4" w:space="0"/>
              <w:right w:val="single" w:color="000000" w:sz="4" w:space="0"/>
            </w:tcBorders>
            <w:shd w:val="clear" w:color="auto" w:fill="auto"/>
            <w:vAlign w:val="center"/>
          </w:tcPr>
          <w:p w14:paraId="4E9C3FA8">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right w:val="single" w:color="000000" w:sz="4" w:space="0"/>
            </w:tcBorders>
            <w:shd w:val="clear" w:color="auto" w:fill="auto"/>
            <w:vAlign w:val="center"/>
          </w:tcPr>
          <w:p w14:paraId="6D7C1296">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right w:val="single" w:color="000000" w:sz="4" w:space="0"/>
            </w:tcBorders>
            <w:shd w:val="clear" w:color="auto" w:fill="auto"/>
            <w:vAlign w:val="center"/>
          </w:tcPr>
          <w:p w14:paraId="4AC372C3">
            <w:pPr>
              <w:jc w:val="left"/>
              <w:rPr>
                <w:rFonts w:hint="eastAsia" w:ascii="仿宋" w:hAnsi="仿宋" w:eastAsia="仿宋" w:cs="仿宋"/>
                <w:i w:val="0"/>
                <w:iCs w:val="0"/>
                <w:color w:val="000000"/>
                <w:sz w:val="21"/>
                <w:szCs w:val="21"/>
                <w:u w:val="none"/>
                <w:lang w:val="en-US" w:eastAsia="zh-CN"/>
              </w:rPr>
            </w:pPr>
          </w:p>
        </w:tc>
      </w:tr>
      <w:tr w14:paraId="3942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B218">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F923">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C47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乙方主动进行的系统健康措施检查，对于发现影响重要业务及服务的系统风险,提出解决措施并最终落地实施。</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8FA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经甲方确认后，每次加5分。</w:t>
            </w:r>
          </w:p>
        </w:tc>
        <w:tc>
          <w:tcPr>
            <w:tcW w:w="695" w:type="dxa"/>
            <w:vMerge w:val="continue"/>
            <w:tcBorders>
              <w:left w:val="single" w:color="000000" w:sz="4" w:space="0"/>
              <w:bottom w:val="single" w:color="000000" w:sz="4" w:space="0"/>
              <w:right w:val="single" w:color="000000" w:sz="4" w:space="0"/>
            </w:tcBorders>
            <w:shd w:val="clear" w:color="auto" w:fill="auto"/>
            <w:vAlign w:val="center"/>
          </w:tcPr>
          <w:p w14:paraId="248C8C35">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bottom w:val="single" w:color="000000" w:sz="4" w:space="0"/>
              <w:right w:val="single" w:color="000000" w:sz="4" w:space="0"/>
            </w:tcBorders>
            <w:shd w:val="clear" w:color="auto" w:fill="auto"/>
            <w:vAlign w:val="center"/>
          </w:tcPr>
          <w:p w14:paraId="7E453681">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707B4FAB">
            <w:pPr>
              <w:jc w:val="left"/>
              <w:rPr>
                <w:rFonts w:hint="eastAsia" w:ascii="仿宋" w:hAnsi="仿宋" w:eastAsia="仿宋" w:cs="仿宋"/>
                <w:i w:val="0"/>
                <w:iCs w:val="0"/>
                <w:color w:val="000000"/>
                <w:sz w:val="21"/>
                <w:szCs w:val="21"/>
                <w:u w:val="none"/>
                <w:lang w:val="en-US" w:eastAsia="zh-CN"/>
              </w:rPr>
            </w:pPr>
          </w:p>
        </w:tc>
      </w:tr>
      <w:tr w14:paraId="617D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E03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7A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同样问题或故障是否重复出现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EE2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故障反复出现</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47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每个重复出现的故障，扣15分。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E493">
            <w:pPr>
              <w:jc w:val="left"/>
              <w:rPr>
                <w:rFonts w:hint="eastAsia" w:ascii="仿宋" w:hAnsi="仿宋" w:eastAsia="仿宋" w:cs="仿宋"/>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51A4">
            <w:pPr>
              <w:jc w:val="left"/>
              <w:rPr>
                <w:rFonts w:hint="eastAsia" w:ascii="仿宋" w:hAnsi="仿宋" w:eastAsia="仿宋" w:cs="仿宋"/>
                <w:i w:val="0"/>
                <w:iCs w:val="0"/>
                <w:color w:val="000000"/>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7D1F">
            <w:pPr>
              <w:jc w:val="left"/>
              <w:rPr>
                <w:rFonts w:hint="eastAsia" w:ascii="仿宋" w:hAnsi="仿宋" w:eastAsia="仿宋" w:cs="仿宋"/>
                <w:i w:val="0"/>
                <w:iCs w:val="0"/>
                <w:color w:val="000000"/>
                <w:sz w:val="21"/>
                <w:szCs w:val="21"/>
                <w:u w:val="none"/>
                <w:lang w:val="en-US" w:eastAsia="zh-CN"/>
              </w:rPr>
            </w:pPr>
          </w:p>
        </w:tc>
      </w:tr>
      <w:tr w14:paraId="24FB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72F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0D61C">
            <w:pPr>
              <w:keepNext w:val="0"/>
              <w:keepLines w:val="0"/>
              <w:widowControl/>
              <w:suppressLineNumbers w:val="0"/>
              <w:jc w:val="left"/>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color w:val="auto"/>
                <w:kern w:val="0"/>
                <w:sz w:val="21"/>
                <w:szCs w:val="21"/>
                <w:u w:val="none"/>
                <w:lang w:val="en-US" w:eastAsia="zh-CN" w:bidi="ar"/>
              </w:rPr>
              <w:t>实施运维人员专业技能</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493D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乙方需按照甲方要求提供具备专业技能的运维人员驻场进行运维服务，并按照甲方要求进行现场管理</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EF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乙方备案驻场人员如违反甲方现场管理规定（例如旷工，不准时到岗、不佩戴工作证上岗、着装不整齐、被甲方用户部门投诉并经核实记录在案等情况），由甲方不定时抽查，每发生一次扣2分。</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F814F">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204FB">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0D248">
            <w:pPr>
              <w:jc w:val="left"/>
              <w:rPr>
                <w:rFonts w:hint="eastAsia" w:ascii="仿宋" w:hAnsi="仿宋" w:eastAsia="仿宋" w:cs="仿宋"/>
                <w:i w:val="0"/>
                <w:iCs w:val="0"/>
                <w:color w:val="000000"/>
                <w:sz w:val="21"/>
                <w:szCs w:val="21"/>
                <w:u w:val="none"/>
                <w:lang w:val="en-US" w:eastAsia="zh-CN"/>
              </w:rPr>
            </w:pPr>
          </w:p>
        </w:tc>
      </w:tr>
      <w:tr w14:paraId="05EB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F8EA">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31D7">
            <w:pPr>
              <w:jc w:val="left"/>
              <w:rPr>
                <w:rFonts w:hint="eastAsia" w:ascii="仿宋" w:hAnsi="仿宋" w:eastAsia="仿宋" w:cs="仿宋"/>
                <w:i w:val="0"/>
                <w:iCs w:val="0"/>
                <w:color w:val="FF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90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乙方提供运维服务的团队中需包括管理岗、技术支持岗、操作岗，并且乙方需将人员结构名单提供甲方备查，如人员发生变动需至少提早一个月告知甲方。</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08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乙方不按时告知甲方运维团队人员变动的，每次扣5分。</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494F">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1189">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7717">
            <w:pPr>
              <w:jc w:val="left"/>
              <w:rPr>
                <w:rFonts w:hint="eastAsia" w:ascii="仿宋" w:hAnsi="仿宋" w:eastAsia="仿宋" w:cs="仿宋"/>
                <w:i w:val="0"/>
                <w:iCs w:val="0"/>
                <w:color w:val="000000"/>
                <w:sz w:val="21"/>
                <w:szCs w:val="21"/>
                <w:u w:val="none"/>
              </w:rPr>
            </w:pPr>
          </w:p>
        </w:tc>
      </w:tr>
      <w:tr w14:paraId="5089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DC16">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EF7A">
            <w:pPr>
              <w:jc w:val="left"/>
              <w:rPr>
                <w:rFonts w:hint="eastAsia" w:ascii="仿宋" w:hAnsi="仿宋" w:eastAsia="仿宋" w:cs="仿宋"/>
                <w:i w:val="0"/>
                <w:iCs w:val="0"/>
                <w:color w:val="FF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195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乙方提供驻场运维人员需满足甲方工作要求。</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C79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乙方提供运维人员素质达不到甲方工作要求、且甲方提出更换的情况下不能在1个月内安排更换的，每发生一次扣5分。</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039B">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DFCA">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F684">
            <w:pPr>
              <w:jc w:val="left"/>
              <w:rPr>
                <w:rFonts w:hint="eastAsia" w:ascii="仿宋" w:hAnsi="仿宋" w:eastAsia="仿宋" w:cs="仿宋"/>
                <w:i w:val="0"/>
                <w:iCs w:val="0"/>
                <w:color w:val="000000"/>
                <w:sz w:val="21"/>
                <w:szCs w:val="21"/>
                <w:u w:val="none"/>
              </w:rPr>
            </w:pPr>
          </w:p>
        </w:tc>
      </w:tr>
      <w:tr w14:paraId="6D25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D2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28F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维护人员操作规范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F12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版本实施计划性：乙方应在甲方确定版本实施时间前两个工作日，提交更换系统版本及修改内容；在甲方确定版本实施时间及内容后、乙方不得擅自变更版本内容。</w:t>
            </w:r>
          </w:p>
          <w:p w14:paraId="3AC247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版本实施规范性：乙方不得擅自对生产环节应用系统的软件和配置进行改动。</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15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乙方未提前两个工作日提交更换系统版本及修改内容或擅自变更版本内容或擅自对生产环节应用系统的软件和配置进行改动的，每出现一次扣5分。</w:t>
            </w:r>
          </w:p>
        </w:tc>
        <w:tc>
          <w:tcPr>
            <w:tcW w:w="695" w:type="dxa"/>
            <w:vMerge w:val="restart"/>
            <w:tcBorders>
              <w:top w:val="single" w:color="000000" w:sz="4" w:space="0"/>
              <w:left w:val="single" w:color="000000" w:sz="4" w:space="0"/>
              <w:right w:val="single" w:color="000000" w:sz="4" w:space="0"/>
            </w:tcBorders>
            <w:shd w:val="clear" w:color="auto" w:fill="auto"/>
            <w:vAlign w:val="center"/>
          </w:tcPr>
          <w:p w14:paraId="3C4FB4FB">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right w:val="single" w:color="000000" w:sz="4" w:space="0"/>
            </w:tcBorders>
            <w:shd w:val="clear" w:color="auto" w:fill="auto"/>
            <w:vAlign w:val="center"/>
          </w:tcPr>
          <w:p w14:paraId="431CF955">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2CF3B880">
            <w:pPr>
              <w:jc w:val="left"/>
              <w:rPr>
                <w:rFonts w:hint="eastAsia" w:ascii="仿宋" w:hAnsi="仿宋" w:eastAsia="仿宋" w:cs="仿宋"/>
                <w:i w:val="0"/>
                <w:iCs w:val="0"/>
                <w:color w:val="000000"/>
                <w:sz w:val="21"/>
                <w:szCs w:val="21"/>
                <w:u w:val="none"/>
                <w:lang w:val="en-US" w:eastAsia="zh-CN"/>
              </w:rPr>
            </w:pPr>
          </w:p>
        </w:tc>
      </w:tr>
      <w:tr w14:paraId="3CB2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18A5">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5F599">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00B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每次版本发布后一周内，乙方需要更新系统数据字典、系统设计文档、系统操作使用手册、系统维护说明。</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C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不及时更新的，每出现一次扣5分。</w:t>
            </w:r>
          </w:p>
        </w:tc>
        <w:tc>
          <w:tcPr>
            <w:tcW w:w="695" w:type="dxa"/>
            <w:vMerge w:val="continue"/>
            <w:tcBorders>
              <w:left w:val="single" w:color="000000" w:sz="4" w:space="0"/>
              <w:right w:val="single" w:color="000000" w:sz="4" w:space="0"/>
            </w:tcBorders>
            <w:shd w:val="clear" w:color="auto" w:fill="auto"/>
            <w:vAlign w:val="center"/>
          </w:tcPr>
          <w:p w14:paraId="4DD0973F">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right w:val="single" w:color="000000" w:sz="4" w:space="0"/>
            </w:tcBorders>
            <w:shd w:val="clear" w:color="auto" w:fill="auto"/>
            <w:vAlign w:val="center"/>
          </w:tcPr>
          <w:p w14:paraId="62C92EDC">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right w:val="single" w:color="000000" w:sz="4" w:space="0"/>
            </w:tcBorders>
            <w:shd w:val="clear" w:color="auto" w:fill="auto"/>
            <w:vAlign w:val="center"/>
          </w:tcPr>
          <w:p w14:paraId="2473221B">
            <w:pPr>
              <w:jc w:val="left"/>
              <w:rPr>
                <w:rFonts w:hint="eastAsia" w:ascii="仿宋" w:hAnsi="仿宋" w:eastAsia="仿宋" w:cs="仿宋"/>
                <w:i w:val="0"/>
                <w:iCs w:val="0"/>
                <w:color w:val="000000"/>
                <w:sz w:val="21"/>
                <w:szCs w:val="21"/>
                <w:u w:val="none"/>
                <w:lang w:val="en-US" w:eastAsia="zh-CN"/>
              </w:rPr>
            </w:pPr>
          </w:p>
        </w:tc>
      </w:tr>
      <w:tr w14:paraId="4903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24EC">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B32F">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FB3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由于乙方版本实施操作不当导致系统故障的；在规定实施版本时间未提交程序版本或实施人员未到位的。</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CF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由于乙方版本实施操作不当导致系统故障的，每发生一次扣10分；</w:t>
            </w:r>
          </w:p>
          <w:p w14:paraId="68CA63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在规定实施版本时间未提交程序版本的，每发生一次扣10分；</w:t>
            </w:r>
          </w:p>
          <w:p w14:paraId="0FA6064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在规定实施版本时间实施人员未到位的，每发生一次扣5分。</w:t>
            </w:r>
          </w:p>
        </w:tc>
        <w:tc>
          <w:tcPr>
            <w:tcW w:w="695" w:type="dxa"/>
            <w:vMerge w:val="continue"/>
            <w:tcBorders>
              <w:left w:val="single" w:color="000000" w:sz="4" w:space="0"/>
              <w:bottom w:val="single" w:color="000000" w:sz="4" w:space="0"/>
              <w:right w:val="single" w:color="000000" w:sz="4" w:space="0"/>
            </w:tcBorders>
            <w:shd w:val="clear" w:color="auto" w:fill="auto"/>
            <w:vAlign w:val="center"/>
          </w:tcPr>
          <w:p w14:paraId="39599B2E">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bottom w:val="single" w:color="000000" w:sz="4" w:space="0"/>
              <w:right w:val="single" w:color="000000" w:sz="4" w:space="0"/>
            </w:tcBorders>
            <w:shd w:val="clear" w:color="auto" w:fill="auto"/>
            <w:vAlign w:val="center"/>
          </w:tcPr>
          <w:p w14:paraId="5356D7F7">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5E34A16A">
            <w:pPr>
              <w:jc w:val="left"/>
              <w:rPr>
                <w:rFonts w:hint="eastAsia" w:ascii="仿宋" w:hAnsi="仿宋" w:eastAsia="仿宋" w:cs="仿宋"/>
                <w:i w:val="0"/>
                <w:iCs w:val="0"/>
                <w:color w:val="000000"/>
                <w:sz w:val="21"/>
                <w:szCs w:val="21"/>
                <w:u w:val="none"/>
                <w:lang w:val="en-US" w:eastAsia="zh-CN"/>
              </w:rPr>
            </w:pPr>
          </w:p>
        </w:tc>
      </w:tr>
      <w:tr w14:paraId="6A8C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4D1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0FA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紧急现场服务响应</w:t>
            </w:r>
          </w:p>
        </w:tc>
        <w:tc>
          <w:tcPr>
            <w:tcW w:w="29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744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在版本发布后一周内需监控系统运行情况，并积极响应各类问题处理。（1）因BUG引起故障的，应在4小时内提供修复方案和脚本提交甲方审核后安排实施。（2）乙方需在版本发布后一周内向甲方提交版本发布后质量管控报告，内容需报告发现问题、核查进展和解决情况。</w:t>
            </w:r>
          </w:p>
        </w:tc>
        <w:tc>
          <w:tcPr>
            <w:tcW w:w="2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19F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不按时修复BUG引起故障的，每次扣5分；不按时提交版本发布后质量管控报告的，每次扣5分。</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A84B2">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087EF">
            <w:pPr>
              <w:jc w:val="left"/>
              <w:rPr>
                <w:rFonts w:hint="eastAsia" w:ascii="仿宋" w:hAnsi="仿宋" w:eastAsia="仿宋" w:cs="仿宋"/>
                <w:i w:val="0"/>
                <w:iCs w:val="0"/>
                <w:color w:val="000000"/>
                <w:sz w:val="21"/>
                <w:szCs w:val="21"/>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E3C7">
            <w:pPr>
              <w:jc w:val="left"/>
              <w:rPr>
                <w:rFonts w:hint="eastAsia" w:ascii="仿宋" w:hAnsi="仿宋" w:eastAsia="仿宋" w:cs="仿宋"/>
                <w:i w:val="0"/>
                <w:iCs w:val="0"/>
                <w:color w:val="000000"/>
                <w:sz w:val="21"/>
                <w:szCs w:val="21"/>
                <w:u w:val="none"/>
                <w:lang w:val="en-US" w:eastAsia="zh-CN"/>
              </w:rPr>
            </w:pPr>
          </w:p>
        </w:tc>
      </w:tr>
      <w:tr w14:paraId="0AB8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D697">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7D48">
            <w:pPr>
              <w:jc w:val="left"/>
              <w:rPr>
                <w:rFonts w:hint="eastAsia" w:ascii="仿宋" w:hAnsi="仿宋" w:eastAsia="仿宋" w:cs="仿宋"/>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1CF7">
            <w:pPr>
              <w:jc w:val="left"/>
              <w:rPr>
                <w:rFonts w:hint="eastAsia" w:ascii="仿宋" w:hAnsi="仿宋" w:eastAsia="仿宋" w:cs="仿宋"/>
                <w:i w:val="0"/>
                <w:iCs w:val="0"/>
                <w:color w:val="000000"/>
                <w:sz w:val="21"/>
                <w:szCs w:val="21"/>
                <w:u w:val="none"/>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86E9">
            <w:pPr>
              <w:jc w:val="left"/>
              <w:rPr>
                <w:rFonts w:hint="eastAsia" w:ascii="仿宋" w:hAnsi="仿宋" w:eastAsia="仿宋" w:cs="仿宋"/>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642F">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DE0F">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62E8">
            <w:pPr>
              <w:jc w:val="left"/>
              <w:rPr>
                <w:rFonts w:hint="eastAsia" w:ascii="仿宋" w:hAnsi="仿宋" w:eastAsia="仿宋" w:cs="仿宋"/>
                <w:i w:val="0"/>
                <w:iCs w:val="0"/>
                <w:color w:val="000000"/>
                <w:sz w:val="21"/>
                <w:szCs w:val="21"/>
                <w:u w:val="none"/>
              </w:rPr>
            </w:pPr>
          </w:p>
        </w:tc>
      </w:tr>
      <w:tr w14:paraId="339E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55C7">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29F3">
            <w:pPr>
              <w:jc w:val="left"/>
              <w:rPr>
                <w:rFonts w:hint="eastAsia" w:ascii="仿宋" w:hAnsi="仿宋" w:eastAsia="仿宋" w:cs="仿宋"/>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2547">
            <w:pPr>
              <w:jc w:val="left"/>
              <w:rPr>
                <w:rFonts w:hint="eastAsia" w:ascii="仿宋" w:hAnsi="仿宋" w:eastAsia="仿宋" w:cs="仿宋"/>
                <w:i w:val="0"/>
                <w:iCs w:val="0"/>
                <w:color w:val="000000"/>
                <w:sz w:val="21"/>
                <w:szCs w:val="21"/>
                <w:u w:val="none"/>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C288">
            <w:pPr>
              <w:jc w:val="left"/>
              <w:rPr>
                <w:rFonts w:hint="eastAsia" w:ascii="仿宋" w:hAnsi="仿宋" w:eastAsia="仿宋" w:cs="仿宋"/>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4631">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FEB2">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ACE1">
            <w:pPr>
              <w:jc w:val="left"/>
              <w:rPr>
                <w:rFonts w:hint="eastAsia" w:ascii="仿宋" w:hAnsi="仿宋" w:eastAsia="仿宋" w:cs="仿宋"/>
                <w:i w:val="0"/>
                <w:iCs w:val="0"/>
                <w:color w:val="000000"/>
                <w:sz w:val="21"/>
                <w:szCs w:val="21"/>
                <w:u w:val="none"/>
              </w:rPr>
            </w:pPr>
          </w:p>
        </w:tc>
      </w:tr>
      <w:tr w14:paraId="323E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E3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F1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巡检服务情况</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706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乙方需每季度对甲方HIS系统运行情况进行巡检，并在季度后的15天内向甲方提交巡检报告。</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C7B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每缺少一项内容，扣10分。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22C9">
            <w:pPr>
              <w:jc w:val="left"/>
              <w:rPr>
                <w:rFonts w:hint="eastAsia" w:ascii="仿宋" w:hAnsi="仿宋" w:eastAsia="仿宋" w:cs="仿宋"/>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CFAC">
            <w:pPr>
              <w:jc w:val="left"/>
              <w:rPr>
                <w:rFonts w:hint="eastAsia" w:ascii="仿宋" w:hAnsi="仿宋" w:eastAsia="仿宋" w:cs="仿宋"/>
                <w:i w:val="0"/>
                <w:iCs w:val="0"/>
                <w:color w:val="000000"/>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A8EB">
            <w:pPr>
              <w:jc w:val="left"/>
              <w:rPr>
                <w:rFonts w:hint="eastAsia" w:ascii="仿宋" w:hAnsi="仿宋" w:eastAsia="仿宋" w:cs="仿宋"/>
                <w:i w:val="0"/>
                <w:iCs w:val="0"/>
                <w:color w:val="000000"/>
                <w:sz w:val="21"/>
                <w:szCs w:val="21"/>
                <w:u w:val="none"/>
                <w:lang w:val="en-US" w:eastAsia="zh-CN"/>
              </w:rPr>
            </w:pPr>
          </w:p>
        </w:tc>
      </w:tr>
      <w:tr w14:paraId="43E7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2DA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43A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服务改进措施</w:t>
            </w:r>
          </w:p>
        </w:tc>
        <w:tc>
          <w:tcPr>
            <w:tcW w:w="29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D48D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乙方需每季度对甲方HIS系统进行更新、改进服务总结，形成服务改进报告。报告内容需包括但不限于：优化内容，优化前、优化后效果。</w:t>
            </w:r>
          </w:p>
        </w:tc>
        <w:tc>
          <w:tcPr>
            <w:tcW w:w="2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502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每缺少一项内容，扣5分</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B13D4">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F3E29">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130E9">
            <w:pPr>
              <w:jc w:val="left"/>
              <w:rPr>
                <w:rFonts w:hint="eastAsia" w:ascii="仿宋" w:hAnsi="仿宋" w:eastAsia="仿宋" w:cs="仿宋"/>
                <w:i w:val="0"/>
                <w:iCs w:val="0"/>
                <w:color w:val="000000"/>
                <w:sz w:val="21"/>
                <w:szCs w:val="21"/>
                <w:u w:val="none"/>
                <w:lang w:val="en-US" w:eastAsia="zh-CN"/>
              </w:rPr>
            </w:pPr>
          </w:p>
        </w:tc>
      </w:tr>
      <w:tr w14:paraId="449D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A49E">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FBA59">
            <w:pPr>
              <w:jc w:val="left"/>
              <w:rPr>
                <w:rFonts w:hint="eastAsia" w:ascii="仿宋" w:hAnsi="仿宋" w:eastAsia="仿宋" w:cs="仿宋"/>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E519">
            <w:pPr>
              <w:jc w:val="left"/>
              <w:rPr>
                <w:rFonts w:hint="eastAsia" w:ascii="仿宋" w:hAnsi="仿宋" w:eastAsia="仿宋" w:cs="仿宋"/>
                <w:i w:val="0"/>
                <w:iCs w:val="0"/>
                <w:color w:val="000000"/>
                <w:sz w:val="21"/>
                <w:szCs w:val="21"/>
                <w:u w:val="none"/>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C565">
            <w:pPr>
              <w:jc w:val="left"/>
              <w:rPr>
                <w:rFonts w:hint="eastAsia" w:ascii="仿宋" w:hAnsi="仿宋" w:eastAsia="仿宋" w:cs="仿宋"/>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90B5">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AF4D">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E82C">
            <w:pPr>
              <w:jc w:val="left"/>
              <w:rPr>
                <w:rFonts w:hint="eastAsia" w:ascii="仿宋" w:hAnsi="仿宋" w:eastAsia="仿宋" w:cs="仿宋"/>
                <w:i w:val="0"/>
                <w:iCs w:val="0"/>
                <w:color w:val="000000"/>
                <w:sz w:val="21"/>
                <w:szCs w:val="21"/>
                <w:u w:val="none"/>
              </w:rPr>
            </w:pPr>
          </w:p>
        </w:tc>
      </w:tr>
      <w:tr w14:paraId="4A84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6DDE191">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57D71EA">
            <w:pPr>
              <w:jc w:val="left"/>
              <w:rPr>
                <w:rFonts w:hint="eastAsia" w:ascii="仿宋" w:hAnsi="仿宋" w:eastAsia="仿宋" w:cs="仿宋"/>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1BC4C3E">
            <w:pPr>
              <w:jc w:val="left"/>
              <w:rPr>
                <w:rFonts w:hint="eastAsia" w:ascii="仿宋" w:hAnsi="仿宋" w:eastAsia="仿宋" w:cs="仿宋"/>
                <w:i w:val="0"/>
                <w:iCs w:val="0"/>
                <w:color w:val="000000"/>
                <w:sz w:val="21"/>
                <w:szCs w:val="21"/>
                <w:u w:val="none"/>
              </w:rPr>
            </w:pPr>
          </w:p>
        </w:tc>
        <w:tc>
          <w:tcPr>
            <w:tcW w:w="29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8929921">
            <w:pPr>
              <w:jc w:val="left"/>
              <w:rPr>
                <w:rFonts w:hint="eastAsia" w:ascii="仿宋" w:hAnsi="仿宋" w:eastAsia="仿宋" w:cs="仿宋"/>
                <w:i w:val="0"/>
                <w:iCs w:val="0"/>
                <w:color w:val="000000"/>
                <w:sz w:val="21"/>
                <w:szCs w:val="21"/>
                <w:u w:val="none"/>
              </w:rPr>
            </w:pPr>
          </w:p>
        </w:tc>
        <w:tc>
          <w:tcPr>
            <w:tcW w:w="6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10E4AA0">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AABC788">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9038775">
            <w:pPr>
              <w:jc w:val="left"/>
              <w:rPr>
                <w:rFonts w:hint="eastAsia" w:ascii="仿宋" w:hAnsi="仿宋" w:eastAsia="仿宋" w:cs="仿宋"/>
                <w:i w:val="0"/>
                <w:iCs w:val="0"/>
                <w:color w:val="000000"/>
                <w:sz w:val="21"/>
                <w:szCs w:val="21"/>
                <w:u w:val="none"/>
              </w:rPr>
            </w:pPr>
          </w:p>
        </w:tc>
      </w:tr>
      <w:tr w14:paraId="7DBE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B47072">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404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1CF46F33">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数据质量情况（此项目有数据质量评价小组勾选评价）</w:t>
            </w:r>
          </w:p>
        </w:tc>
        <w:tc>
          <w:tcPr>
            <w:tcW w:w="517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2964B2A0">
            <w:pPr>
              <w:jc w:val="left"/>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此项目是否涉及数据质量管理：</w:t>
            </w:r>
          </w:p>
          <w:p w14:paraId="7E35CFAC">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w:t>
            </w:r>
            <w:r>
              <w:rPr>
                <w:rFonts w:hint="eastAsia" w:ascii="仿宋" w:hAnsi="仿宋" w:eastAsia="仿宋" w:cs="仿宋"/>
                <w:i w:val="0"/>
                <w:iCs w:val="0"/>
                <w:color w:val="000000"/>
                <w:sz w:val="21"/>
                <w:szCs w:val="21"/>
                <w:u w:val="none"/>
                <w:lang w:val="en-US" w:eastAsia="zh-CN"/>
              </w:rPr>
              <w:t xml:space="preserve">   </w:t>
            </w:r>
            <w:r>
              <w:rPr>
                <w:rFonts w:hint="eastAsia" w:ascii="仿宋" w:hAnsi="仿宋" w:eastAsia="仿宋" w:cs="仿宋"/>
                <w:i w:val="0"/>
                <w:iCs w:val="0"/>
                <w:color w:val="000000"/>
                <w:sz w:val="21"/>
                <w:szCs w:val="21"/>
                <w:u w:val="none"/>
                <w:lang w:eastAsia="zh-CN"/>
              </w:rPr>
              <w:t>】是；</w:t>
            </w:r>
            <w:r>
              <w:rPr>
                <w:rFonts w:hint="eastAsia" w:ascii="仿宋" w:hAnsi="仿宋" w:eastAsia="仿宋" w:cs="仿宋"/>
                <w:i w:val="0"/>
                <w:iCs w:val="0"/>
                <w:color w:val="000000"/>
                <w:sz w:val="21"/>
                <w:szCs w:val="21"/>
                <w:u w:val="none"/>
                <w:lang w:val="en-US" w:eastAsia="zh-CN"/>
              </w:rPr>
              <w:t xml:space="preserve">    【    】否。</w:t>
            </w:r>
          </w:p>
          <w:p w14:paraId="48D4484D">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此项目数据质量情况：</w:t>
            </w:r>
          </w:p>
          <w:p w14:paraId="40A3FEEE">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w:t>
            </w:r>
            <w:r>
              <w:rPr>
                <w:rFonts w:hint="eastAsia" w:ascii="仿宋" w:hAnsi="仿宋" w:eastAsia="仿宋" w:cs="仿宋"/>
                <w:i w:val="0"/>
                <w:iCs w:val="0"/>
                <w:color w:val="000000"/>
                <w:sz w:val="21"/>
                <w:szCs w:val="21"/>
                <w:u w:val="none"/>
                <w:lang w:val="en-US" w:eastAsia="zh-CN"/>
              </w:rPr>
              <w:t xml:space="preserve">   </w:t>
            </w:r>
            <w:r>
              <w:rPr>
                <w:rFonts w:hint="eastAsia" w:ascii="仿宋" w:hAnsi="仿宋" w:eastAsia="仿宋" w:cs="仿宋"/>
                <w:i w:val="0"/>
                <w:iCs w:val="0"/>
                <w:color w:val="000000"/>
                <w:sz w:val="21"/>
                <w:szCs w:val="21"/>
                <w:u w:val="none"/>
                <w:lang w:eastAsia="zh-CN"/>
              </w:rPr>
              <w:t>】合格；</w:t>
            </w:r>
            <w:r>
              <w:rPr>
                <w:rFonts w:hint="eastAsia" w:ascii="仿宋" w:hAnsi="仿宋" w:eastAsia="仿宋" w:cs="仿宋"/>
                <w:i w:val="0"/>
                <w:iCs w:val="0"/>
                <w:color w:val="000000"/>
                <w:sz w:val="21"/>
                <w:szCs w:val="21"/>
                <w:u w:val="none"/>
                <w:lang w:val="en-US" w:eastAsia="zh-CN"/>
              </w:rPr>
              <w:t xml:space="preserve">    【    】不合格。</w:t>
            </w:r>
          </w:p>
        </w:tc>
      </w:tr>
      <w:tr w14:paraId="32D5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55"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14:paraId="0CDE819B">
            <w:pPr>
              <w:jc w:val="left"/>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数据质量小组评价意见：</w:t>
            </w:r>
          </w:p>
          <w:p w14:paraId="2DF4AC45">
            <w:pPr>
              <w:jc w:val="left"/>
              <w:rPr>
                <w:rFonts w:hint="eastAsia" w:ascii="仿宋" w:hAnsi="仿宋" w:eastAsia="仿宋" w:cs="仿宋"/>
                <w:b/>
                <w:bCs/>
                <w:i w:val="0"/>
                <w:iCs w:val="0"/>
                <w:color w:val="000000"/>
                <w:sz w:val="21"/>
                <w:szCs w:val="21"/>
                <w:u w:val="none"/>
                <w:lang w:val="en-US" w:eastAsia="zh-CN"/>
              </w:rPr>
            </w:pPr>
          </w:p>
          <w:p w14:paraId="77B9815A">
            <w:pPr>
              <w:jc w:val="left"/>
              <w:rPr>
                <w:rFonts w:hint="eastAsia" w:ascii="仿宋" w:hAnsi="仿宋" w:eastAsia="仿宋" w:cs="仿宋"/>
                <w:b/>
                <w:bCs/>
                <w:i w:val="0"/>
                <w:iCs w:val="0"/>
                <w:color w:val="000000"/>
                <w:sz w:val="21"/>
                <w:szCs w:val="21"/>
                <w:u w:val="none"/>
                <w:lang w:val="en-US" w:eastAsia="zh-CN"/>
              </w:rPr>
            </w:pPr>
          </w:p>
          <w:p w14:paraId="7E230456">
            <w:pPr>
              <w:jc w:val="left"/>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数据质量评价小组：                                   日期：</w:t>
            </w:r>
          </w:p>
        </w:tc>
      </w:tr>
      <w:tr w14:paraId="6402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045" w:type="dxa"/>
            <w:gridSpan w:val="3"/>
            <w:tcBorders>
              <w:top w:val="single" w:color="auto" w:sz="4" w:space="0"/>
              <w:left w:val="single" w:color="auto" w:sz="4" w:space="0"/>
              <w:bottom w:val="single" w:color="000000" w:sz="4" w:space="0"/>
              <w:right w:val="single" w:color="auto" w:sz="4" w:space="0"/>
            </w:tcBorders>
            <w:shd w:val="clear" w:color="auto" w:fill="auto"/>
            <w:vAlign w:val="center"/>
          </w:tcPr>
          <w:p w14:paraId="30E8B23F">
            <w:pPr>
              <w:jc w:val="left"/>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项目组评分（平均分）</w:t>
            </w:r>
          </w:p>
        </w:tc>
        <w:tc>
          <w:tcPr>
            <w:tcW w:w="6810" w:type="dxa"/>
            <w:gridSpan w:val="5"/>
            <w:tcBorders>
              <w:top w:val="single" w:color="auto" w:sz="4" w:space="0"/>
              <w:left w:val="single" w:color="000000" w:sz="4" w:space="0"/>
              <w:bottom w:val="single" w:color="000000" w:sz="4" w:space="0"/>
              <w:right w:val="single" w:color="auto" w:sz="4" w:space="0"/>
            </w:tcBorders>
            <w:shd w:val="clear" w:color="auto" w:fill="auto"/>
            <w:vAlign w:val="center"/>
          </w:tcPr>
          <w:p w14:paraId="03808FD3">
            <w:pPr>
              <w:jc w:val="left"/>
              <w:rPr>
                <w:rFonts w:hint="eastAsia" w:ascii="仿宋" w:hAnsi="仿宋" w:eastAsia="仿宋" w:cs="仿宋"/>
                <w:b/>
                <w:bCs/>
                <w:i w:val="0"/>
                <w:iCs w:val="0"/>
                <w:color w:val="000000"/>
                <w:sz w:val="21"/>
                <w:szCs w:val="21"/>
                <w:u w:val="none"/>
                <w:lang w:val="en-US" w:eastAsia="zh-CN"/>
              </w:rPr>
            </w:pPr>
          </w:p>
        </w:tc>
      </w:tr>
      <w:tr w14:paraId="2CC8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4" w:hRule="atLeast"/>
        </w:trPr>
        <w:tc>
          <w:tcPr>
            <w:tcW w:w="9855" w:type="dxa"/>
            <w:gridSpan w:val="8"/>
            <w:tcBorders>
              <w:top w:val="single" w:color="000000" w:sz="4" w:space="0"/>
              <w:left w:val="single" w:color="auto" w:sz="4" w:space="0"/>
              <w:bottom w:val="single" w:color="auto" w:sz="4" w:space="0"/>
              <w:right w:val="single" w:color="auto" w:sz="4" w:space="0"/>
            </w:tcBorders>
            <w:shd w:val="clear" w:color="auto" w:fill="auto"/>
            <w:vAlign w:val="center"/>
          </w:tcPr>
          <w:p w14:paraId="34C868D8">
            <w:pPr>
              <w:keepNext w:val="0"/>
              <w:keepLines w:val="0"/>
              <w:widowControl/>
              <w:suppressLineNumbers w:val="0"/>
              <w:jc w:val="left"/>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项目组评价意见：</w:t>
            </w:r>
          </w:p>
          <w:p w14:paraId="1B8EDB16">
            <w:pPr>
              <w:jc w:val="left"/>
              <w:rPr>
                <w:rFonts w:hint="eastAsia" w:ascii="仿宋" w:hAnsi="仿宋" w:eastAsia="仿宋" w:cs="仿宋"/>
                <w:b/>
                <w:bCs/>
                <w:i w:val="0"/>
                <w:iCs w:val="0"/>
                <w:color w:val="000000"/>
                <w:kern w:val="2"/>
                <w:sz w:val="21"/>
                <w:szCs w:val="21"/>
                <w:u w:val="none"/>
                <w:lang w:val="en-US" w:eastAsia="zh-CN" w:bidi="ar-SA"/>
              </w:rPr>
            </w:pPr>
          </w:p>
          <w:p w14:paraId="6D095123">
            <w:pPr>
              <w:jc w:val="left"/>
              <w:rPr>
                <w:rFonts w:hint="eastAsia" w:ascii="仿宋" w:hAnsi="仿宋" w:eastAsia="仿宋" w:cs="仿宋"/>
                <w:b/>
                <w:bCs/>
                <w:i w:val="0"/>
                <w:iCs w:val="0"/>
                <w:color w:val="000000"/>
                <w:kern w:val="2"/>
                <w:sz w:val="21"/>
                <w:szCs w:val="21"/>
                <w:u w:val="none"/>
                <w:lang w:val="en-US" w:eastAsia="zh-CN" w:bidi="ar-SA"/>
              </w:rPr>
            </w:pPr>
          </w:p>
          <w:p w14:paraId="2E2C89A3">
            <w:pPr>
              <w:jc w:val="left"/>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2"/>
                <w:sz w:val="21"/>
                <w:szCs w:val="21"/>
                <w:u w:val="none"/>
                <w:lang w:val="en-US" w:eastAsia="zh-CN" w:bidi="ar-SA"/>
              </w:rPr>
              <w:t xml:space="preserve"> </w:t>
            </w:r>
          </w:p>
          <w:p w14:paraId="2BC158F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项目主管:               日期：              项目监管：                   日期：</w:t>
            </w:r>
          </w:p>
        </w:tc>
      </w:tr>
    </w:tbl>
    <w:p w14:paraId="66ACBD85">
      <w:pPr>
        <w:spacing w:line="360" w:lineRule="auto"/>
        <w:jc w:val="left"/>
        <w:rPr>
          <w:rFonts w:ascii="仿宋" w:hAnsi="仿宋" w:eastAsia="仿宋"/>
          <w:b/>
          <w:sz w:val="24"/>
          <w:szCs w:val="32"/>
        </w:rPr>
      </w:pPr>
    </w:p>
    <w:p w14:paraId="034369D9">
      <w:pPr>
        <w:spacing w:line="360" w:lineRule="auto"/>
        <w:jc w:val="left"/>
        <w:rPr>
          <w:rFonts w:ascii="仿宋" w:hAnsi="仿宋" w:eastAsia="仿宋"/>
          <w:b/>
          <w:sz w:val="24"/>
          <w:szCs w:val="32"/>
        </w:rPr>
      </w:pPr>
    </w:p>
    <w:p w14:paraId="06709B00">
      <w:pPr>
        <w:spacing w:line="360" w:lineRule="auto"/>
        <w:jc w:val="left"/>
        <w:rPr>
          <w:rFonts w:ascii="仿宋" w:hAnsi="仿宋" w:eastAsia="仿宋"/>
          <w:b/>
          <w:sz w:val="24"/>
          <w:szCs w:val="32"/>
        </w:rPr>
      </w:pPr>
    </w:p>
    <w:p w14:paraId="49141B4E">
      <w:pPr>
        <w:spacing w:line="360" w:lineRule="auto"/>
        <w:jc w:val="left"/>
        <w:rPr>
          <w:rFonts w:ascii="仿宋" w:hAnsi="仿宋" w:eastAsia="仿宋"/>
          <w:b/>
          <w:sz w:val="24"/>
          <w:szCs w:val="32"/>
        </w:rPr>
      </w:pPr>
    </w:p>
    <w:p w14:paraId="60D5F8C0">
      <w:pPr>
        <w:spacing w:line="360" w:lineRule="auto"/>
        <w:jc w:val="left"/>
        <w:rPr>
          <w:rFonts w:ascii="仿宋" w:hAnsi="仿宋" w:eastAsia="仿宋"/>
          <w:b/>
          <w:sz w:val="24"/>
          <w:szCs w:val="32"/>
        </w:rPr>
      </w:pPr>
    </w:p>
    <w:p w14:paraId="4A773019">
      <w:pPr>
        <w:spacing w:line="360" w:lineRule="auto"/>
        <w:jc w:val="left"/>
        <w:rPr>
          <w:rFonts w:ascii="仿宋" w:hAnsi="仿宋" w:eastAsia="仿宋"/>
          <w:b/>
          <w:sz w:val="24"/>
          <w:szCs w:val="32"/>
        </w:rPr>
      </w:pPr>
    </w:p>
    <w:p w14:paraId="0EDACE5A">
      <w:pPr>
        <w:spacing w:line="360" w:lineRule="auto"/>
        <w:jc w:val="left"/>
        <w:rPr>
          <w:rFonts w:ascii="仿宋" w:hAnsi="仿宋" w:eastAsia="仿宋"/>
          <w:b/>
          <w:sz w:val="24"/>
          <w:szCs w:val="32"/>
        </w:rPr>
      </w:pPr>
    </w:p>
    <w:p w14:paraId="15DDD80E">
      <w:pPr>
        <w:spacing w:line="360" w:lineRule="auto"/>
        <w:jc w:val="left"/>
        <w:rPr>
          <w:rFonts w:ascii="仿宋" w:hAnsi="仿宋" w:eastAsia="仿宋"/>
          <w:b/>
          <w:sz w:val="24"/>
          <w:szCs w:val="32"/>
        </w:rPr>
      </w:pPr>
    </w:p>
    <w:p w14:paraId="730C440F">
      <w:pPr>
        <w:spacing w:line="360" w:lineRule="auto"/>
        <w:jc w:val="left"/>
        <w:rPr>
          <w:rFonts w:ascii="仿宋" w:hAnsi="仿宋" w:eastAsia="仿宋"/>
          <w:b/>
          <w:sz w:val="24"/>
          <w:szCs w:val="32"/>
        </w:rPr>
      </w:pPr>
    </w:p>
    <w:p w14:paraId="0B9D49AA">
      <w:pPr>
        <w:spacing w:line="360" w:lineRule="auto"/>
        <w:jc w:val="left"/>
        <w:rPr>
          <w:rFonts w:ascii="仿宋" w:hAnsi="仿宋" w:eastAsia="仿宋"/>
          <w:b/>
          <w:sz w:val="24"/>
          <w:szCs w:val="32"/>
        </w:rPr>
      </w:pPr>
    </w:p>
    <w:p w14:paraId="690F7492">
      <w:pPr>
        <w:spacing w:line="240" w:lineRule="auto"/>
        <w:jc w:val="left"/>
        <w:rPr>
          <w:rFonts w:ascii="仿宋" w:hAnsi="仿宋" w:eastAsia="仿宋"/>
          <w:b/>
          <w:sz w:val="28"/>
          <w:szCs w:val="28"/>
        </w:rPr>
      </w:pPr>
      <w:r>
        <w:rPr>
          <w:rFonts w:hint="eastAsia" w:ascii="仿宋" w:hAnsi="仿宋" w:eastAsia="仿宋"/>
          <w:b/>
          <w:sz w:val="28"/>
          <w:szCs w:val="28"/>
        </w:rPr>
        <w:t>填报</w:t>
      </w:r>
      <w:r>
        <w:rPr>
          <w:rFonts w:ascii="仿宋" w:hAnsi="仿宋" w:eastAsia="仿宋"/>
          <w:b/>
          <w:sz w:val="28"/>
          <w:szCs w:val="28"/>
        </w:rPr>
        <w:t>指引：</w:t>
      </w:r>
    </w:p>
    <w:p w14:paraId="5A60BDED">
      <w:pPr>
        <w:pStyle w:val="14"/>
        <w:numPr>
          <w:ilvl w:val="0"/>
          <w:numId w:val="23"/>
        </w:numPr>
        <w:spacing w:line="360" w:lineRule="auto"/>
        <w:ind w:firstLine="480"/>
        <w:jc w:val="left"/>
        <w:rPr>
          <w:rFonts w:ascii="仿宋" w:hAnsi="仿宋" w:eastAsia="仿宋"/>
          <w:sz w:val="24"/>
          <w:szCs w:val="32"/>
        </w:rPr>
      </w:pPr>
      <w:r>
        <w:rPr>
          <w:rFonts w:hint="eastAsia" w:ascii="仿宋" w:hAnsi="仿宋" w:eastAsia="仿宋"/>
          <w:sz w:val="24"/>
          <w:szCs w:val="32"/>
        </w:rPr>
        <w:t>重大</w:t>
      </w:r>
      <w:r>
        <w:rPr>
          <w:rFonts w:ascii="仿宋" w:hAnsi="仿宋" w:eastAsia="仿宋"/>
          <w:sz w:val="24"/>
          <w:szCs w:val="32"/>
        </w:rPr>
        <w:t>故障</w:t>
      </w:r>
      <w:r>
        <w:rPr>
          <w:rFonts w:hint="eastAsia" w:ascii="仿宋" w:hAnsi="仿宋" w:eastAsia="仿宋"/>
          <w:sz w:val="24"/>
          <w:szCs w:val="32"/>
        </w:rPr>
        <w:t>：是</w:t>
      </w:r>
      <w:r>
        <w:rPr>
          <w:rFonts w:ascii="仿宋" w:hAnsi="仿宋" w:eastAsia="仿宋"/>
          <w:sz w:val="24"/>
          <w:szCs w:val="32"/>
        </w:rPr>
        <w:t>指影响医院正常业务一小时（</w:t>
      </w:r>
      <w:r>
        <w:rPr>
          <w:rFonts w:hint="eastAsia" w:ascii="仿宋" w:hAnsi="仿宋" w:eastAsia="仿宋"/>
          <w:sz w:val="24"/>
          <w:szCs w:val="32"/>
        </w:rPr>
        <w:t>含</w:t>
      </w:r>
      <w:r>
        <w:rPr>
          <w:rFonts w:ascii="仿宋" w:hAnsi="仿宋" w:eastAsia="仿宋"/>
          <w:sz w:val="24"/>
          <w:szCs w:val="32"/>
        </w:rPr>
        <w:t>）</w:t>
      </w:r>
      <w:r>
        <w:rPr>
          <w:rFonts w:hint="eastAsia" w:ascii="仿宋" w:hAnsi="仿宋" w:eastAsia="仿宋"/>
          <w:sz w:val="24"/>
          <w:szCs w:val="32"/>
        </w:rPr>
        <w:t>以上</w:t>
      </w:r>
      <w:r>
        <w:rPr>
          <w:rFonts w:ascii="仿宋" w:hAnsi="仿宋" w:eastAsia="仿宋"/>
          <w:sz w:val="24"/>
          <w:szCs w:val="32"/>
        </w:rPr>
        <w:t>的故障</w:t>
      </w:r>
      <w:r>
        <w:rPr>
          <w:rFonts w:hint="eastAsia" w:ascii="仿宋" w:hAnsi="仿宋" w:eastAsia="仿宋"/>
          <w:sz w:val="24"/>
          <w:szCs w:val="32"/>
        </w:rPr>
        <w:t>，</w:t>
      </w:r>
      <w:r>
        <w:rPr>
          <w:rFonts w:ascii="仿宋" w:hAnsi="仿宋" w:eastAsia="仿宋"/>
          <w:sz w:val="24"/>
          <w:szCs w:val="32"/>
        </w:rPr>
        <w:t>例如挂号、</w:t>
      </w:r>
      <w:r>
        <w:rPr>
          <w:rFonts w:hint="eastAsia" w:ascii="仿宋" w:hAnsi="仿宋" w:eastAsia="仿宋"/>
          <w:sz w:val="24"/>
          <w:szCs w:val="32"/>
        </w:rPr>
        <w:t>急诊、门诊</w:t>
      </w:r>
      <w:r>
        <w:rPr>
          <w:rFonts w:ascii="仿宋" w:hAnsi="仿宋" w:eastAsia="仿宋"/>
          <w:sz w:val="24"/>
          <w:szCs w:val="32"/>
        </w:rPr>
        <w:t>缴费、</w:t>
      </w:r>
      <w:r>
        <w:rPr>
          <w:rFonts w:hint="eastAsia" w:ascii="仿宋" w:hAnsi="仿宋" w:eastAsia="仿宋"/>
          <w:sz w:val="24"/>
          <w:szCs w:val="32"/>
        </w:rPr>
        <w:t>门诊接诊</w:t>
      </w:r>
      <w:r>
        <w:rPr>
          <w:rFonts w:ascii="仿宋" w:hAnsi="仿宋" w:eastAsia="仿宋"/>
          <w:sz w:val="24"/>
          <w:szCs w:val="32"/>
        </w:rPr>
        <w:t>、</w:t>
      </w:r>
      <w:r>
        <w:rPr>
          <w:rFonts w:hint="eastAsia" w:ascii="仿宋" w:hAnsi="仿宋" w:eastAsia="仿宋"/>
          <w:sz w:val="24"/>
          <w:szCs w:val="32"/>
        </w:rPr>
        <w:t>用血</w:t>
      </w:r>
      <w:r>
        <w:rPr>
          <w:rFonts w:ascii="仿宋" w:hAnsi="仿宋" w:eastAsia="仿宋"/>
          <w:sz w:val="24"/>
          <w:szCs w:val="32"/>
        </w:rPr>
        <w:t>、</w:t>
      </w:r>
      <w:r>
        <w:rPr>
          <w:rFonts w:hint="eastAsia" w:ascii="仿宋" w:hAnsi="仿宋" w:eastAsia="仿宋"/>
          <w:sz w:val="24"/>
          <w:szCs w:val="32"/>
        </w:rPr>
        <w:t>各类</w:t>
      </w:r>
      <w:r>
        <w:rPr>
          <w:rFonts w:ascii="仿宋" w:hAnsi="仿宋" w:eastAsia="仿宋"/>
          <w:sz w:val="24"/>
          <w:szCs w:val="32"/>
        </w:rPr>
        <w:t>检查检验</w:t>
      </w:r>
      <w:r>
        <w:rPr>
          <w:rFonts w:hint="eastAsia" w:ascii="仿宋" w:hAnsi="仿宋" w:eastAsia="仿宋"/>
          <w:sz w:val="24"/>
          <w:szCs w:val="32"/>
        </w:rPr>
        <w:t>等</w:t>
      </w:r>
      <w:r>
        <w:rPr>
          <w:rFonts w:ascii="仿宋" w:hAnsi="仿宋" w:eastAsia="仿宋"/>
          <w:sz w:val="24"/>
          <w:szCs w:val="32"/>
        </w:rPr>
        <w:t>。</w:t>
      </w:r>
    </w:p>
    <w:p w14:paraId="32AB687A">
      <w:pPr>
        <w:pStyle w:val="14"/>
        <w:numPr>
          <w:ilvl w:val="0"/>
          <w:numId w:val="23"/>
        </w:numPr>
        <w:spacing w:line="360" w:lineRule="auto"/>
        <w:ind w:firstLine="480"/>
        <w:jc w:val="left"/>
        <w:rPr>
          <w:rFonts w:ascii="仿宋" w:hAnsi="仿宋" w:eastAsia="仿宋"/>
          <w:sz w:val="24"/>
          <w:szCs w:val="32"/>
        </w:rPr>
      </w:pPr>
      <w:r>
        <w:rPr>
          <w:rFonts w:hint="eastAsia" w:ascii="仿宋" w:hAnsi="仿宋" w:eastAsia="仿宋"/>
          <w:sz w:val="24"/>
          <w:szCs w:val="32"/>
        </w:rPr>
        <w:t>如评价季度</w:t>
      </w:r>
      <w:r>
        <w:rPr>
          <w:rFonts w:ascii="仿宋" w:hAnsi="仿宋" w:eastAsia="仿宋"/>
          <w:sz w:val="24"/>
          <w:szCs w:val="32"/>
        </w:rPr>
        <w:t>需求版本</w:t>
      </w:r>
      <w:r>
        <w:rPr>
          <w:rFonts w:hint="eastAsia" w:ascii="仿宋" w:hAnsi="仿宋" w:eastAsia="仿宋"/>
          <w:sz w:val="24"/>
          <w:szCs w:val="32"/>
        </w:rPr>
        <w:t>发布导致</w:t>
      </w:r>
      <w:r>
        <w:rPr>
          <w:rFonts w:ascii="仿宋" w:hAnsi="仿宋" w:eastAsia="仿宋"/>
          <w:sz w:val="24"/>
          <w:szCs w:val="32"/>
        </w:rPr>
        <w:t>重大故障，则需求版本质量</w:t>
      </w:r>
      <w:r>
        <w:rPr>
          <w:rFonts w:hint="eastAsia" w:ascii="仿宋" w:hAnsi="仿宋" w:eastAsia="仿宋"/>
          <w:sz w:val="24"/>
          <w:szCs w:val="32"/>
        </w:rPr>
        <w:t>该</w:t>
      </w:r>
      <w:r>
        <w:rPr>
          <w:rFonts w:ascii="仿宋" w:hAnsi="仿宋" w:eastAsia="仿宋"/>
          <w:sz w:val="24"/>
          <w:szCs w:val="32"/>
        </w:rPr>
        <w:t>季度考核为</w:t>
      </w:r>
      <w:r>
        <w:rPr>
          <w:rFonts w:hint="eastAsia" w:ascii="仿宋" w:hAnsi="仿宋" w:eastAsia="仿宋"/>
          <w:sz w:val="24"/>
          <w:szCs w:val="32"/>
        </w:rPr>
        <w:t>不满意</w:t>
      </w:r>
      <w:r>
        <w:rPr>
          <w:rFonts w:ascii="仿宋" w:hAnsi="仿宋" w:eastAsia="仿宋"/>
          <w:sz w:val="24"/>
          <w:szCs w:val="32"/>
        </w:rPr>
        <w:t>档次。</w:t>
      </w:r>
    </w:p>
    <w:p w14:paraId="425E0CAA">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重大故障考核期间</w:t>
      </w:r>
      <w:r>
        <w:rPr>
          <w:rFonts w:hint="eastAsia" w:ascii="仿宋" w:hAnsi="仿宋" w:eastAsia="仿宋"/>
          <w:sz w:val="24"/>
          <w:szCs w:val="32"/>
        </w:rPr>
        <w:t>大于</w:t>
      </w:r>
      <w:r>
        <w:rPr>
          <w:rFonts w:ascii="仿宋" w:hAnsi="仿宋" w:eastAsia="仿宋"/>
          <w:sz w:val="24"/>
          <w:szCs w:val="32"/>
        </w:rPr>
        <w:t>1</w:t>
      </w:r>
      <w:r>
        <w:rPr>
          <w:rFonts w:hint="eastAsia" w:ascii="仿宋" w:hAnsi="仿宋" w:eastAsia="仿宋"/>
          <w:sz w:val="24"/>
          <w:szCs w:val="32"/>
        </w:rPr>
        <w:t>次/月</w:t>
      </w:r>
      <w:r>
        <w:rPr>
          <w:rFonts w:ascii="仿宋" w:hAnsi="仿宋" w:eastAsia="仿宋"/>
          <w:sz w:val="24"/>
          <w:szCs w:val="32"/>
        </w:rPr>
        <w:t>，则重大故障出现次数考核为</w:t>
      </w:r>
      <w:r>
        <w:rPr>
          <w:rFonts w:hint="eastAsia" w:ascii="仿宋" w:hAnsi="仿宋" w:eastAsia="仿宋"/>
          <w:sz w:val="24"/>
          <w:szCs w:val="32"/>
        </w:rPr>
        <w:t>不满意</w:t>
      </w:r>
      <w:r>
        <w:rPr>
          <w:rFonts w:ascii="仿宋" w:hAnsi="仿宋" w:eastAsia="仿宋"/>
          <w:sz w:val="24"/>
          <w:szCs w:val="32"/>
        </w:rPr>
        <w:t>档次。</w:t>
      </w:r>
    </w:p>
    <w:p w14:paraId="69F90B08">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重大故障未</w:t>
      </w:r>
      <w:r>
        <w:rPr>
          <w:rFonts w:hint="eastAsia" w:ascii="仿宋" w:hAnsi="仿宋" w:eastAsia="仿宋"/>
          <w:sz w:val="24"/>
          <w:szCs w:val="32"/>
        </w:rPr>
        <w:t>在1小时</w:t>
      </w:r>
      <w:r>
        <w:rPr>
          <w:rFonts w:ascii="仿宋" w:hAnsi="仿宋" w:eastAsia="仿宋"/>
          <w:sz w:val="24"/>
          <w:szCs w:val="32"/>
        </w:rPr>
        <w:t>内处理完成</w:t>
      </w:r>
      <w:r>
        <w:rPr>
          <w:rFonts w:hint="eastAsia" w:ascii="仿宋" w:hAnsi="仿宋" w:eastAsia="仿宋"/>
          <w:sz w:val="24"/>
          <w:szCs w:val="32"/>
        </w:rPr>
        <w:t>恢复</w:t>
      </w:r>
      <w:r>
        <w:rPr>
          <w:rFonts w:ascii="仿宋" w:hAnsi="仿宋" w:eastAsia="仿宋"/>
          <w:sz w:val="24"/>
          <w:szCs w:val="32"/>
        </w:rPr>
        <w:t>，</w:t>
      </w:r>
      <w:r>
        <w:rPr>
          <w:rFonts w:hint="eastAsia" w:ascii="仿宋" w:hAnsi="仿宋" w:eastAsia="仿宋"/>
          <w:sz w:val="24"/>
          <w:szCs w:val="32"/>
        </w:rPr>
        <w:t>则重大</w:t>
      </w:r>
      <w:r>
        <w:rPr>
          <w:rFonts w:ascii="仿宋" w:hAnsi="仿宋" w:eastAsia="仿宋"/>
          <w:sz w:val="24"/>
          <w:szCs w:val="32"/>
        </w:rPr>
        <w:t>故障处理</w:t>
      </w:r>
      <w:r>
        <w:rPr>
          <w:rFonts w:hint="eastAsia" w:ascii="仿宋" w:hAnsi="仿宋" w:eastAsia="仿宋"/>
          <w:sz w:val="24"/>
          <w:szCs w:val="32"/>
        </w:rPr>
        <w:t>情况考核为不满意档次</w:t>
      </w:r>
      <w:r>
        <w:rPr>
          <w:rFonts w:ascii="仿宋" w:hAnsi="仿宋" w:eastAsia="仿宋"/>
          <w:sz w:val="24"/>
          <w:szCs w:val="32"/>
        </w:rPr>
        <w:t>。</w:t>
      </w:r>
      <w:r>
        <w:rPr>
          <w:rFonts w:hint="eastAsia" w:ascii="仿宋" w:hAnsi="仿宋" w:eastAsia="仿宋"/>
          <w:sz w:val="24"/>
          <w:szCs w:val="32"/>
        </w:rPr>
        <w:t>如</w:t>
      </w:r>
      <w:r>
        <w:rPr>
          <w:rFonts w:ascii="仿宋" w:hAnsi="仿宋" w:eastAsia="仿宋"/>
          <w:sz w:val="24"/>
          <w:szCs w:val="32"/>
        </w:rPr>
        <w:t>重大故障</w:t>
      </w:r>
      <w:r>
        <w:rPr>
          <w:rFonts w:hint="eastAsia" w:ascii="仿宋" w:hAnsi="仿宋" w:eastAsia="仿宋"/>
          <w:sz w:val="24"/>
          <w:szCs w:val="32"/>
        </w:rPr>
        <w:t>无</w:t>
      </w:r>
      <w:r>
        <w:rPr>
          <w:rFonts w:ascii="仿宋" w:hAnsi="仿宋" w:eastAsia="仿宋"/>
          <w:sz w:val="24"/>
          <w:szCs w:val="32"/>
        </w:rPr>
        <w:t>总结报告</w:t>
      </w:r>
      <w:r>
        <w:rPr>
          <w:rFonts w:hint="eastAsia" w:ascii="仿宋" w:hAnsi="仿宋" w:eastAsia="仿宋"/>
          <w:sz w:val="24"/>
          <w:szCs w:val="32"/>
        </w:rPr>
        <w:t>或者</w:t>
      </w:r>
      <w:r>
        <w:rPr>
          <w:rFonts w:ascii="仿宋" w:hAnsi="仿宋" w:eastAsia="仿宋"/>
          <w:sz w:val="24"/>
          <w:szCs w:val="32"/>
        </w:rPr>
        <w:t>报告无实质性</w:t>
      </w:r>
      <w:r>
        <w:rPr>
          <w:rFonts w:hint="eastAsia" w:ascii="仿宋" w:hAnsi="仿宋" w:eastAsia="仿宋"/>
          <w:sz w:val="24"/>
          <w:szCs w:val="32"/>
        </w:rPr>
        <w:t>原因</w:t>
      </w:r>
      <w:r>
        <w:rPr>
          <w:rFonts w:ascii="仿宋" w:hAnsi="仿宋" w:eastAsia="仿宋"/>
          <w:sz w:val="24"/>
          <w:szCs w:val="32"/>
        </w:rPr>
        <w:t>分析、</w:t>
      </w:r>
      <w:r>
        <w:rPr>
          <w:rFonts w:hint="eastAsia" w:ascii="仿宋" w:hAnsi="仿宋" w:eastAsia="仿宋"/>
          <w:sz w:val="24"/>
          <w:szCs w:val="32"/>
        </w:rPr>
        <w:t>详细</w:t>
      </w:r>
      <w:r>
        <w:rPr>
          <w:rFonts w:ascii="仿宋" w:hAnsi="仿宋" w:eastAsia="仿宋"/>
          <w:sz w:val="24"/>
          <w:szCs w:val="32"/>
        </w:rPr>
        <w:t>处理步骤、后续</w:t>
      </w:r>
      <w:r>
        <w:rPr>
          <w:rFonts w:hint="eastAsia" w:ascii="仿宋" w:hAnsi="仿宋" w:eastAsia="仿宋"/>
          <w:sz w:val="24"/>
          <w:szCs w:val="32"/>
        </w:rPr>
        <w:t>规避</w:t>
      </w:r>
      <w:r>
        <w:rPr>
          <w:rFonts w:ascii="仿宋" w:hAnsi="仿宋" w:eastAsia="仿宋"/>
          <w:sz w:val="24"/>
          <w:szCs w:val="32"/>
        </w:rPr>
        <w:t>方案</w:t>
      </w:r>
      <w:r>
        <w:rPr>
          <w:rFonts w:hint="eastAsia" w:ascii="仿宋" w:hAnsi="仿宋" w:eastAsia="仿宋"/>
          <w:sz w:val="24"/>
          <w:szCs w:val="32"/>
        </w:rPr>
        <w:t>，</w:t>
      </w:r>
      <w:r>
        <w:rPr>
          <w:rFonts w:ascii="仿宋" w:hAnsi="仿宋" w:eastAsia="仿宋"/>
          <w:sz w:val="24"/>
          <w:szCs w:val="32"/>
        </w:rPr>
        <w:t>惩罚措施</w:t>
      </w:r>
      <w:r>
        <w:rPr>
          <w:rFonts w:hint="eastAsia" w:ascii="仿宋" w:hAnsi="仿宋" w:eastAsia="仿宋"/>
          <w:sz w:val="24"/>
          <w:szCs w:val="32"/>
        </w:rPr>
        <w:t>等</w:t>
      </w:r>
      <w:r>
        <w:rPr>
          <w:rFonts w:ascii="仿宋" w:hAnsi="仿宋" w:eastAsia="仿宋"/>
          <w:sz w:val="24"/>
          <w:szCs w:val="32"/>
        </w:rPr>
        <w:t>，则</w:t>
      </w:r>
      <w:r>
        <w:rPr>
          <w:rFonts w:hint="eastAsia" w:ascii="仿宋" w:hAnsi="仿宋" w:eastAsia="仿宋"/>
          <w:sz w:val="24"/>
          <w:szCs w:val="32"/>
        </w:rPr>
        <w:t>重大</w:t>
      </w:r>
      <w:r>
        <w:rPr>
          <w:rFonts w:ascii="仿宋" w:hAnsi="仿宋" w:eastAsia="仿宋"/>
          <w:sz w:val="24"/>
          <w:szCs w:val="32"/>
        </w:rPr>
        <w:t>故障处理</w:t>
      </w:r>
      <w:r>
        <w:rPr>
          <w:rFonts w:hint="eastAsia" w:ascii="仿宋" w:hAnsi="仿宋" w:eastAsia="仿宋"/>
          <w:sz w:val="24"/>
          <w:szCs w:val="32"/>
        </w:rPr>
        <w:t>情况考核为不满意档次</w:t>
      </w:r>
      <w:r>
        <w:rPr>
          <w:rFonts w:ascii="仿宋" w:hAnsi="仿宋" w:eastAsia="仿宋"/>
          <w:sz w:val="24"/>
          <w:szCs w:val="32"/>
        </w:rPr>
        <w:t>。</w:t>
      </w:r>
    </w:p>
    <w:p w14:paraId="52C10A70">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如实施运维</w:t>
      </w:r>
      <w:r>
        <w:rPr>
          <w:rFonts w:ascii="仿宋" w:hAnsi="仿宋" w:eastAsia="仿宋"/>
          <w:sz w:val="24"/>
          <w:szCs w:val="32"/>
        </w:rPr>
        <w:t>人员专业技能</w:t>
      </w:r>
      <w:r>
        <w:rPr>
          <w:rFonts w:hint="eastAsia" w:ascii="仿宋" w:hAnsi="仿宋" w:eastAsia="仿宋"/>
          <w:sz w:val="24"/>
          <w:szCs w:val="32"/>
        </w:rPr>
        <w:t>受到</w:t>
      </w:r>
      <w:r>
        <w:rPr>
          <w:rFonts w:ascii="仿宋" w:hAnsi="仿宋" w:eastAsia="仿宋"/>
          <w:sz w:val="24"/>
          <w:szCs w:val="32"/>
        </w:rPr>
        <w:t>业务科室、信息处质疑</w:t>
      </w:r>
      <w:r>
        <w:rPr>
          <w:rFonts w:hint="eastAsia" w:ascii="仿宋" w:hAnsi="仿宋" w:eastAsia="仿宋"/>
          <w:sz w:val="24"/>
          <w:szCs w:val="32"/>
        </w:rPr>
        <w:t>，</w:t>
      </w:r>
      <w:r>
        <w:rPr>
          <w:rFonts w:ascii="仿宋" w:hAnsi="仿宋" w:eastAsia="仿宋"/>
          <w:sz w:val="24"/>
          <w:szCs w:val="32"/>
        </w:rPr>
        <w:t>供应商</w:t>
      </w:r>
      <w:r>
        <w:rPr>
          <w:rFonts w:hint="eastAsia" w:ascii="仿宋" w:hAnsi="仿宋" w:eastAsia="仿宋"/>
          <w:sz w:val="24"/>
          <w:szCs w:val="32"/>
        </w:rPr>
        <w:t>无法</w:t>
      </w:r>
      <w:r>
        <w:rPr>
          <w:rFonts w:ascii="仿宋" w:hAnsi="仿宋" w:eastAsia="仿宋"/>
          <w:sz w:val="24"/>
          <w:szCs w:val="32"/>
        </w:rPr>
        <w:t>提供证据证明其维护人员专业技能</w:t>
      </w:r>
      <w:r>
        <w:rPr>
          <w:rFonts w:hint="eastAsia" w:ascii="仿宋" w:hAnsi="仿宋" w:eastAsia="仿宋"/>
          <w:sz w:val="24"/>
          <w:szCs w:val="32"/>
        </w:rPr>
        <w:t>且</w:t>
      </w:r>
      <w:r>
        <w:rPr>
          <w:rFonts w:ascii="仿宋" w:hAnsi="仿宋" w:eastAsia="仿宋"/>
          <w:sz w:val="24"/>
          <w:szCs w:val="32"/>
        </w:rPr>
        <w:t>未有更换时，</w:t>
      </w:r>
      <w:r>
        <w:rPr>
          <w:rFonts w:hint="eastAsia" w:ascii="仿宋" w:hAnsi="仿宋" w:eastAsia="仿宋"/>
          <w:sz w:val="24"/>
          <w:szCs w:val="32"/>
        </w:rPr>
        <w:t>维护</w:t>
      </w:r>
      <w:r>
        <w:rPr>
          <w:rFonts w:ascii="仿宋" w:hAnsi="仿宋" w:eastAsia="仿宋"/>
          <w:sz w:val="24"/>
          <w:szCs w:val="32"/>
        </w:rPr>
        <w:t>人员专业技能</w:t>
      </w:r>
      <w:r>
        <w:rPr>
          <w:rFonts w:hint="eastAsia" w:ascii="仿宋" w:hAnsi="仿宋" w:eastAsia="仿宋"/>
          <w:sz w:val="24"/>
          <w:szCs w:val="32"/>
        </w:rPr>
        <w:t>考核</w:t>
      </w:r>
      <w:r>
        <w:rPr>
          <w:rFonts w:ascii="仿宋" w:hAnsi="仿宋" w:eastAsia="仿宋"/>
          <w:sz w:val="24"/>
          <w:szCs w:val="32"/>
        </w:rPr>
        <w:t>为</w:t>
      </w:r>
      <w:r>
        <w:rPr>
          <w:rFonts w:hint="eastAsia" w:ascii="仿宋" w:hAnsi="仿宋" w:eastAsia="仿宋"/>
          <w:sz w:val="24"/>
          <w:szCs w:val="32"/>
        </w:rPr>
        <w:t>不满意</w:t>
      </w:r>
      <w:r>
        <w:rPr>
          <w:rFonts w:ascii="仿宋" w:hAnsi="仿宋" w:eastAsia="仿宋"/>
          <w:sz w:val="24"/>
          <w:szCs w:val="32"/>
        </w:rPr>
        <w:t>。</w:t>
      </w:r>
    </w:p>
    <w:p w14:paraId="0927E0B2">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维护人员未按规定，私自</w:t>
      </w:r>
      <w:r>
        <w:rPr>
          <w:rFonts w:hint="eastAsia" w:ascii="仿宋" w:hAnsi="仿宋" w:eastAsia="仿宋"/>
          <w:sz w:val="24"/>
          <w:szCs w:val="32"/>
        </w:rPr>
        <w:t>更改</w:t>
      </w:r>
      <w:r>
        <w:rPr>
          <w:rFonts w:ascii="仿宋" w:hAnsi="仿宋" w:eastAsia="仿宋"/>
          <w:sz w:val="24"/>
          <w:szCs w:val="32"/>
        </w:rPr>
        <w:t>生产环境引起任何故障，则</w:t>
      </w:r>
      <w:r>
        <w:rPr>
          <w:rFonts w:hint="eastAsia" w:ascii="仿宋" w:hAnsi="仿宋" w:eastAsia="仿宋"/>
          <w:sz w:val="24"/>
          <w:szCs w:val="32"/>
        </w:rPr>
        <w:t>维护</w:t>
      </w:r>
      <w:r>
        <w:rPr>
          <w:rFonts w:ascii="仿宋" w:hAnsi="仿宋" w:eastAsia="仿宋"/>
          <w:sz w:val="24"/>
          <w:szCs w:val="32"/>
        </w:rPr>
        <w:t>人员操作规范</w:t>
      </w:r>
      <w:r>
        <w:rPr>
          <w:rFonts w:hint="eastAsia" w:ascii="仿宋" w:hAnsi="仿宋" w:eastAsia="仿宋"/>
          <w:sz w:val="24"/>
          <w:szCs w:val="32"/>
        </w:rPr>
        <w:t>考核为不满意</w:t>
      </w:r>
      <w:r>
        <w:rPr>
          <w:rFonts w:ascii="仿宋" w:hAnsi="仿宋" w:eastAsia="仿宋"/>
          <w:sz w:val="24"/>
          <w:szCs w:val="32"/>
        </w:rPr>
        <w:t>档次。</w:t>
      </w:r>
    </w:p>
    <w:p w14:paraId="2DC8EF94">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同一</w:t>
      </w:r>
      <w:r>
        <w:rPr>
          <w:rFonts w:hint="eastAsia" w:ascii="仿宋" w:hAnsi="仿宋" w:eastAsia="仿宋"/>
          <w:sz w:val="24"/>
          <w:szCs w:val="32"/>
        </w:rPr>
        <w:t>故障在</w:t>
      </w:r>
      <w:r>
        <w:rPr>
          <w:rFonts w:ascii="仿宋" w:hAnsi="仿宋" w:eastAsia="仿宋"/>
          <w:sz w:val="24"/>
          <w:szCs w:val="32"/>
        </w:rPr>
        <w:t>考核</w:t>
      </w:r>
      <w:r>
        <w:rPr>
          <w:rFonts w:hint="eastAsia" w:ascii="仿宋" w:hAnsi="仿宋" w:eastAsia="仿宋"/>
          <w:sz w:val="24"/>
          <w:szCs w:val="32"/>
        </w:rPr>
        <w:t>期间大于1次/月</w:t>
      </w:r>
      <w:r>
        <w:rPr>
          <w:rFonts w:ascii="仿宋" w:hAnsi="仿宋" w:eastAsia="仿宋"/>
          <w:sz w:val="24"/>
          <w:szCs w:val="32"/>
        </w:rPr>
        <w:t>，则</w:t>
      </w:r>
      <w:r>
        <w:rPr>
          <w:rFonts w:hint="eastAsia" w:ascii="仿宋" w:hAnsi="仿宋" w:eastAsia="仿宋"/>
          <w:sz w:val="24"/>
          <w:szCs w:val="32"/>
        </w:rPr>
        <w:t>故障</w:t>
      </w:r>
      <w:r>
        <w:rPr>
          <w:rFonts w:ascii="仿宋" w:hAnsi="仿宋" w:eastAsia="仿宋"/>
          <w:sz w:val="24"/>
          <w:szCs w:val="32"/>
        </w:rPr>
        <w:t>反复出现次数</w:t>
      </w:r>
      <w:r>
        <w:rPr>
          <w:rFonts w:hint="eastAsia" w:ascii="仿宋" w:hAnsi="仿宋" w:eastAsia="仿宋"/>
          <w:sz w:val="24"/>
          <w:szCs w:val="32"/>
        </w:rPr>
        <w:t>考核</w:t>
      </w:r>
      <w:r>
        <w:rPr>
          <w:rFonts w:ascii="仿宋" w:hAnsi="仿宋" w:eastAsia="仿宋"/>
          <w:sz w:val="24"/>
          <w:szCs w:val="32"/>
        </w:rPr>
        <w:t>为</w:t>
      </w:r>
      <w:r>
        <w:rPr>
          <w:rFonts w:hint="eastAsia" w:ascii="仿宋" w:hAnsi="仿宋" w:eastAsia="仿宋"/>
          <w:sz w:val="24"/>
          <w:szCs w:val="32"/>
        </w:rPr>
        <w:t>不满意</w:t>
      </w:r>
      <w:r>
        <w:rPr>
          <w:rFonts w:ascii="仿宋" w:hAnsi="仿宋" w:eastAsia="仿宋"/>
          <w:sz w:val="24"/>
          <w:szCs w:val="32"/>
        </w:rPr>
        <w:t>。</w:t>
      </w:r>
    </w:p>
    <w:p w14:paraId="63815578">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填写不满意档次评分</w:t>
      </w:r>
      <w:r>
        <w:rPr>
          <w:rFonts w:ascii="仿宋" w:hAnsi="仿宋" w:eastAsia="仿宋"/>
          <w:sz w:val="24"/>
          <w:szCs w:val="32"/>
        </w:rPr>
        <w:t>，</w:t>
      </w:r>
      <w:r>
        <w:rPr>
          <w:rFonts w:hint="eastAsia" w:ascii="仿宋" w:hAnsi="仿宋" w:eastAsia="仿宋"/>
          <w:sz w:val="24"/>
          <w:szCs w:val="32"/>
        </w:rPr>
        <w:t>由项目组</w:t>
      </w:r>
      <w:r>
        <w:rPr>
          <w:rFonts w:ascii="仿宋" w:hAnsi="仿宋" w:eastAsia="仿宋"/>
          <w:sz w:val="24"/>
          <w:szCs w:val="32"/>
        </w:rPr>
        <w:t>提供佐证材料</w:t>
      </w:r>
      <w:r>
        <w:rPr>
          <w:rFonts w:hint="eastAsia" w:ascii="仿宋" w:hAnsi="仿宋" w:eastAsia="仿宋"/>
          <w:sz w:val="24"/>
          <w:szCs w:val="32"/>
        </w:rPr>
        <w:t>作为</w:t>
      </w:r>
      <w:r>
        <w:rPr>
          <w:rFonts w:ascii="仿宋" w:hAnsi="仿宋" w:eastAsia="仿宋"/>
          <w:sz w:val="24"/>
          <w:szCs w:val="32"/>
        </w:rPr>
        <w:t>说明</w:t>
      </w:r>
      <w:r>
        <w:rPr>
          <w:rFonts w:hint="eastAsia" w:ascii="仿宋" w:hAnsi="仿宋" w:eastAsia="仿宋"/>
          <w:sz w:val="24"/>
          <w:szCs w:val="32"/>
        </w:rPr>
        <w:t>。</w:t>
      </w:r>
    </w:p>
    <w:p w14:paraId="2E1E7EBC">
      <w:pPr>
        <w:jc w:val="left"/>
        <w:rPr>
          <w:rFonts w:ascii="仿宋" w:hAnsi="仿宋" w:eastAsia="仿宋"/>
          <w:b/>
          <w:sz w:val="32"/>
          <w:szCs w:val="32"/>
        </w:rPr>
      </w:pPr>
    </w:p>
    <w:p w14:paraId="3A1CE94A"/>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8AEC">
    <w:pPr>
      <w:pStyle w:val="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14:paraId="247063F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CF33B"/>
    <w:multiLevelType w:val="singleLevel"/>
    <w:tmpl w:val="9D9CF33B"/>
    <w:lvl w:ilvl="0" w:tentative="0">
      <w:start w:val="1"/>
      <w:numFmt w:val="decimal"/>
      <w:lvlText w:val="%1."/>
      <w:lvlJc w:val="left"/>
      <w:pPr>
        <w:ind w:left="425" w:hanging="425"/>
      </w:pPr>
      <w:rPr>
        <w:rFonts w:hint="default"/>
      </w:rPr>
    </w:lvl>
  </w:abstractNum>
  <w:abstractNum w:abstractNumId="1">
    <w:nsid w:val="B31BCE4E"/>
    <w:multiLevelType w:val="singleLevel"/>
    <w:tmpl w:val="B31BCE4E"/>
    <w:lvl w:ilvl="0" w:tentative="0">
      <w:start w:val="1"/>
      <w:numFmt w:val="decimal"/>
      <w:lvlText w:val="%1."/>
      <w:lvlJc w:val="left"/>
      <w:pPr>
        <w:ind w:left="425" w:hanging="425"/>
      </w:pPr>
      <w:rPr>
        <w:rFonts w:hint="default"/>
      </w:rPr>
    </w:lvl>
  </w:abstractNum>
  <w:abstractNum w:abstractNumId="2">
    <w:nsid w:val="BB731B62"/>
    <w:multiLevelType w:val="multilevel"/>
    <w:tmpl w:val="BB731B62"/>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5D47BCC"/>
    <w:multiLevelType w:val="singleLevel"/>
    <w:tmpl w:val="C5D47BCC"/>
    <w:lvl w:ilvl="0" w:tentative="0">
      <w:start w:val="1"/>
      <w:numFmt w:val="bullet"/>
      <w:lvlText w:val=""/>
      <w:lvlJc w:val="left"/>
      <w:pPr>
        <w:ind w:left="420" w:hanging="420"/>
      </w:pPr>
      <w:rPr>
        <w:rFonts w:hint="default" w:ascii="Wingdings" w:hAnsi="Wingdings"/>
      </w:rPr>
    </w:lvl>
  </w:abstractNum>
  <w:abstractNum w:abstractNumId="4">
    <w:nsid w:val="DC216ADA"/>
    <w:multiLevelType w:val="singleLevel"/>
    <w:tmpl w:val="DC216ADA"/>
    <w:lvl w:ilvl="0" w:tentative="0">
      <w:start w:val="1"/>
      <w:numFmt w:val="decimal"/>
      <w:lvlText w:val="%1."/>
      <w:lvlJc w:val="left"/>
      <w:pPr>
        <w:ind w:left="425" w:hanging="425"/>
      </w:pPr>
      <w:rPr>
        <w:rFonts w:hint="default"/>
      </w:rPr>
    </w:lvl>
  </w:abstractNum>
  <w:abstractNum w:abstractNumId="5">
    <w:nsid w:val="E1A68CFF"/>
    <w:multiLevelType w:val="singleLevel"/>
    <w:tmpl w:val="E1A68CFF"/>
    <w:lvl w:ilvl="0" w:tentative="0">
      <w:start w:val="1"/>
      <w:numFmt w:val="decimal"/>
      <w:lvlText w:val="(%1)"/>
      <w:lvlJc w:val="left"/>
      <w:pPr>
        <w:tabs>
          <w:tab w:val="left" w:pos="420"/>
        </w:tabs>
        <w:ind w:left="845" w:hanging="425"/>
      </w:pPr>
      <w:rPr>
        <w:rFonts w:hint="default"/>
      </w:rPr>
    </w:lvl>
  </w:abstractNum>
  <w:abstractNum w:abstractNumId="6">
    <w:nsid w:val="F47761DE"/>
    <w:multiLevelType w:val="multilevel"/>
    <w:tmpl w:val="F47761DE"/>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F522F884"/>
    <w:multiLevelType w:val="singleLevel"/>
    <w:tmpl w:val="F522F884"/>
    <w:lvl w:ilvl="0" w:tentative="0">
      <w:start w:val="1"/>
      <w:numFmt w:val="decimal"/>
      <w:lvlText w:val="(%1)"/>
      <w:lvlJc w:val="left"/>
      <w:pPr>
        <w:tabs>
          <w:tab w:val="left" w:pos="420"/>
        </w:tabs>
        <w:ind w:left="845" w:hanging="425"/>
      </w:pPr>
      <w:rPr>
        <w:rFonts w:hint="default"/>
      </w:rPr>
    </w:lvl>
  </w:abstractNum>
  <w:abstractNum w:abstractNumId="8">
    <w:nsid w:val="FA33F6ED"/>
    <w:multiLevelType w:val="singleLevel"/>
    <w:tmpl w:val="FA33F6ED"/>
    <w:lvl w:ilvl="0" w:tentative="0">
      <w:start w:val="1"/>
      <w:numFmt w:val="decimal"/>
      <w:lvlText w:val="%1."/>
      <w:lvlJc w:val="left"/>
      <w:pPr>
        <w:ind w:left="425" w:hanging="425"/>
      </w:pPr>
      <w:rPr>
        <w:rFonts w:hint="default"/>
      </w:rPr>
    </w:lvl>
  </w:abstractNum>
  <w:abstractNum w:abstractNumId="9">
    <w:nsid w:val="03FA4FE1"/>
    <w:multiLevelType w:val="multilevel"/>
    <w:tmpl w:val="03FA4FE1"/>
    <w:lvl w:ilvl="0" w:tentative="0">
      <w:start w:val="1"/>
      <w:numFmt w:val="decimal"/>
      <w:lvlText w:val="(%1)"/>
      <w:lvlJc w:val="left"/>
      <w:pPr>
        <w:ind w:left="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0">
    <w:nsid w:val="082F5B21"/>
    <w:multiLevelType w:val="multilevel"/>
    <w:tmpl w:val="082F5B21"/>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53075CE"/>
    <w:multiLevelType w:val="multilevel"/>
    <w:tmpl w:val="153075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602FB6"/>
    <w:multiLevelType w:val="singleLevel"/>
    <w:tmpl w:val="1E602FB6"/>
    <w:lvl w:ilvl="0" w:tentative="0">
      <w:start w:val="1"/>
      <w:numFmt w:val="decimal"/>
      <w:suff w:val="nothing"/>
      <w:lvlText w:val="%1．"/>
      <w:lvlJc w:val="left"/>
      <w:pPr>
        <w:ind w:left="0" w:firstLine="400"/>
      </w:pPr>
      <w:rPr>
        <w:rFonts w:hint="default"/>
      </w:rPr>
    </w:lvl>
  </w:abstractNum>
  <w:abstractNum w:abstractNumId="13">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5">
    <w:nsid w:val="492566F3"/>
    <w:multiLevelType w:val="singleLevel"/>
    <w:tmpl w:val="492566F3"/>
    <w:lvl w:ilvl="0" w:tentative="0">
      <w:start w:val="1"/>
      <w:numFmt w:val="decimal"/>
      <w:suff w:val="nothing"/>
      <w:lvlText w:val="%1．"/>
      <w:lvlJc w:val="left"/>
      <w:pPr>
        <w:ind w:left="0" w:firstLine="400"/>
      </w:pPr>
      <w:rPr>
        <w:rFonts w:hint="default"/>
      </w:rPr>
    </w:lvl>
  </w:abstractNum>
  <w:abstractNum w:abstractNumId="16">
    <w:nsid w:val="4FC9F343"/>
    <w:multiLevelType w:val="singleLevel"/>
    <w:tmpl w:val="4FC9F343"/>
    <w:lvl w:ilvl="0" w:tentative="0">
      <w:start w:val="1"/>
      <w:numFmt w:val="decimal"/>
      <w:lvlText w:val="%1."/>
      <w:lvlJc w:val="left"/>
      <w:pPr>
        <w:ind w:left="425" w:hanging="425"/>
      </w:pPr>
      <w:rPr>
        <w:rFonts w:hint="default"/>
      </w:rPr>
    </w:lvl>
  </w:abstractNum>
  <w:abstractNum w:abstractNumId="17">
    <w:nsid w:val="50DC4B9E"/>
    <w:multiLevelType w:val="multilevel"/>
    <w:tmpl w:val="50DC4B9E"/>
    <w:lvl w:ilvl="0" w:tentative="0">
      <w:start w:val="1"/>
      <w:numFmt w:val="decimal"/>
      <w:lvlText w:val="(%1)"/>
      <w:lvlJc w:val="left"/>
      <w:pPr>
        <w:tabs>
          <w:tab w:val="left" w:pos="420"/>
        </w:tabs>
        <w:ind w:left="840" w:hanging="420"/>
      </w:pPr>
      <w:rPr>
        <w:rFonts w:hint="default"/>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8">
    <w:nsid w:val="52B94DEF"/>
    <w:multiLevelType w:val="singleLevel"/>
    <w:tmpl w:val="52B94DEF"/>
    <w:lvl w:ilvl="0" w:tentative="0">
      <w:start w:val="1"/>
      <w:numFmt w:val="decimal"/>
      <w:lvlText w:val="(%1)"/>
      <w:lvlJc w:val="left"/>
      <w:pPr>
        <w:tabs>
          <w:tab w:val="left" w:pos="420"/>
        </w:tabs>
        <w:ind w:left="845" w:hanging="425"/>
      </w:pPr>
      <w:rPr>
        <w:rFonts w:hint="default"/>
      </w:rPr>
    </w:lvl>
  </w:abstractNum>
  <w:abstractNum w:abstractNumId="19">
    <w:nsid w:val="62A94B31"/>
    <w:multiLevelType w:val="multilevel"/>
    <w:tmpl w:val="62A94B31"/>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401BF7A"/>
    <w:multiLevelType w:val="multilevel"/>
    <w:tmpl w:val="6401BF7A"/>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6541474E"/>
    <w:multiLevelType w:val="multilevel"/>
    <w:tmpl w:val="6541474E"/>
    <w:lvl w:ilvl="0" w:tentative="0">
      <w:start w:val="1"/>
      <w:numFmt w:val="decimal"/>
      <w:lvlText w:val="（%1）"/>
      <w:lvlJc w:val="left"/>
      <w:pPr>
        <w:ind w:left="1270" w:hanging="420"/>
      </w:pPr>
      <w:rPr>
        <w:rFonts w:hint="eastAsia"/>
        <w:lang w:val="en-US"/>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2">
    <w:nsid w:val="6D0C35D5"/>
    <w:multiLevelType w:val="multilevel"/>
    <w:tmpl w:val="6D0C35D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3"/>
  </w:num>
  <w:num w:numId="2">
    <w:abstractNumId w:val="14"/>
  </w:num>
  <w:num w:numId="3">
    <w:abstractNumId w:val="19"/>
  </w:num>
  <w:num w:numId="4">
    <w:abstractNumId w:val="11"/>
  </w:num>
  <w:num w:numId="5">
    <w:abstractNumId w:val="0"/>
  </w:num>
  <w:num w:numId="6">
    <w:abstractNumId w:val="18"/>
  </w:num>
  <w:num w:numId="7">
    <w:abstractNumId w:val="5"/>
  </w:num>
  <w:num w:numId="8">
    <w:abstractNumId w:val="3"/>
  </w:num>
  <w:num w:numId="9">
    <w:abstractNumId w:val="7"/>
  </w:num>
  <w:num w:numId="10">
    <w:abstractNumId w:val="17"/>
  </w:num>
  <w:num w:numId="11">
    <w:abstractNumId w:val="9"/>
  </w:num>
  <w:num w:numId="12">
    <w:abstractNumId w:val="6"/>
  </w:num>
  <w:num w:numId="13">
    <w:abstractNumId w:val="20"/>
  </w:num>
  <w:num w:numId="14">
    <w:abstractNumId w:val="16"/>
  </w:num>
  <w:num w:numId="15">
    <w:abstractNumId w:val="2"/>
  </w:num>
  <w:num w:numId="16">
    <w:abstractNumId w:val="1"/>
  </w:num>
  <w:num w:numId="17">
    <w:abstractNumId w:val="10"/>
  </w:num>
  <w:num w:numId="18">
    <w:abstractNumId w:val="4"/>
  </w:num>
  <w:num w:numId="19">
    <w:abstractNumId w:val="8"/>
  </w:num>
  <w:num w:numId="20">
    <w:abstractNumId w:val="22"/>
  </w:num>
  <w:num w:numId="21">
    <w:abstractNumId w:val="15"/>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YTc1NDMxZmNlYzU4MGNkZmY0YTZjMTRhYTM2YzgifQ=="/>
  </w:docVars>
  <w:rsids>
    <w:rsidRoot w:val="0007160E"/>
    <w:rsid w:val="0007160E"/>
    <w:rsid w:val="001D3E73"/>
    <w:rsid w:val="003B2270"/>
    <w:rsid w:val="003B39C1"/>
    <w:rsid w:val="003E68D5"/>
    <w:rsid w:val="0052709F"/>
    <w:rsid w:val="00871DCD"/>
    <w:rsid w:val="00B130F6"/>
    <w:rsid w:val="00C87192"/>
    <w:rsid w:val="00C96D05"/>
    <w:rsid w:val="00D059CB"/>
    <w:rsid w:val="00DF035B"/>
    <w:rsid w:val="00E3252C"/>
    <w:rsid w:val="00E51AF8"/>
    <w:rsid w:val="00E96AFF"/>
    <w:rsid w:val="00EB7250"/>
    <w:rsid w:val="00ED64B4"/>
    <w:rsid w:val="00EF63AA"/>
    <w:rsid w:val="00F4166E"/>
    <w:rsid w:val="00FD0164"/>
    <w:rsid w:val="0132089D"/>
    <w:rsid w:val="02100CD9"/>
    <w:rsid w:val="034D0318"/>
    <w:rsid w:val="0413083D"/>
    <w:rsid w:val="064E5119"/>
    <w:rsid w:val="0B337FB7"/>
    <w:rsid w:val="0C4855BE"/>
    <w:rsid w:val="0F3813AC"/>
    <w:rsid w:val="0F3A0931"/>
    <w:rsid w:val="0F423341"/>
    <w:rsid w:val="17D232C8"/>
    <w:rsid w:val="1AE420A4"/>
    <w:rsid w:val="201B4CE7"/>
    <w:rsid w:val="23D65AAD"/>
    <w:rsid w:val="24D172EE"/>
    <w:rsid w:val="25A2503A"/>
    <w:rsid w:val="263D6DD5"/>
    <w:rsid w:val="2788017C"/>
    <w:rsid w:val="28293BE3"/>
    <w:rsid w:val="2F230492"/>
    <w:rsid w:val="30636606"/>
    <w:rsid w:val="30F77FD8"/>
    <w:rsid w:val="31736602"/>
    <w:rsid w:val="394E3958"/>
    <w:rsid w:val="3F8A4DA3"/>
    <w:rsid w:val="40197D40"/>
    <w:rsid w:val="42595A7B"/>
    <w:rsid w:val="43E43AE8"/>
    <w:rsid w:val="463D53CD"/>
    <w:rsid w:val="4EA76741"/>
    <w:rsid w:val="56EA29A0"/>
    <w:rsid w:val="5BB209FC"/>
    <w:rsid w:val="5FB116B4"/>
    <w:rsid w:val="615D6E83"/>
    <w:rsid w:val="6200423D"/>
    <w:rsid w:val="6287105A"/>
    <w:rsid w:val="6A242EE4"/>
    <w:rsid w:val="6A590F66"/>
    <w:rsid w:val="6EBC6D5F"/>
    <w:rsid w:val="6EE64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标题 1 Char"/>
    <w:basedOn w:val="9"/>
    <w:link w:val="2"/>
    <w:qFormat/>
    <w:uiPriority w:val="0"/>
    <w:rPr>
      <w:rFonts w:ascii="Times New Roman" w:hAnsi="Times New Roman" w:eastAsia="宋体" w:cs="Times New Roman"/>
      <w:b/>
      <w:bCs/>
      <w:kern w:val="44"/>
      <w:sz w:val="44"/>
      <w:szCs w:val="44"/>
    </w:rPr>
  </w:style>
  <w:style w:type="character" w:customStyle="1" w:styleId="12">
    <w:name w:val="页脚 Char"/>
    <w:basedOn w:val="9"/>
    <w:link w:val="5"/>
    <w:qFormat/>
    <w:uiPriority w:val="0"/>
    <w:rPr>
      <w:rFonts w:ascii="Times New Roman" w:hAnsi="Times New Roman" w:eastAsia="宋体" w:cs="Times New Roman"/>
      <w:sz w:val="18"/>
      <w:szCs w:val="18"/>
    </w:rPr>
  </w:style>
  <w:style w:type="character" w:customStyle="1" w:styleId="13">
    <w:name w:val="列出段落 Char"/>
    <w:link w:val="14"/>
    <w:qFormat/>
    <w:uiPriority w:val="34"/>
    <w:rPr>
      <w:rFonts w:ascii="等线" w:hAnsi="等线" w:eastAsia="等线"/>
    </w:rPr>
  </w:style>
  <w:style w:type="paragraph" w:styleId="14">
    <w:name w:val="List Paragraph"/>
    <w:basedOn w:val="1"/>
    <w:link w:val="13"/>
    <w:qFormat/>
    <w:uiPriority w:val="34"/>
    <w:pPr>
      <w:ind w:firstLine="420" w:firstLineChars="200"/>
    </w:pPr>
    <w:rPr>
      <w:rFonts w:ascii="等线" w:hAnsi="等线" w:eastAsia="等线" w:cstheme="minorBidi"/>
      <w:szCs w:val="22"/>
    </w:rPr>
  </w:style>
  <w:style w:type="character" w:customStyle="1" w:styleId="15">
    <w:name w:val="页眉 Char"/>
    <w:basedOn w:val="9"/>
    <w:link w:val="6"/>
    <w:qFormat/>
    <w:uiPriority w:val="99"/>
    <w:rPr>
      <w:rFonts w:ascii="Times New Roman" w:hAnsi="Times New Roman" w:eastAsia="宋体" w:cs="Times New Roman"/>
      <w:sz w:val="18"/>
      <w:szCs w:val="18"/>
    </w:rPr>
  </w:style>
  <w:style w:type="character" w:customStyle="1" w:styleId="16">
    <w:name w:val="批注框文本 Char"/>
    <w:basedOn w:val="9"/>
    <w:link w:val="4"/>
    <w:semiHidden/>
    <w:qFormat/>
    <w:uiPriority w:val="99"/>
    <w:rPr>
      <w:rFonts w:ascii="Times New Roman" w:hAnsi="Times New Roman" w:eastAsia="宋体" w:cs="Times New Roman"/>
      <w:kern w:val="2"/>
      <w:sz w:val="18"/>
      <w:szCs w:val="18"/>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8919</Words>
  <Characters>9058</Characters>
  <Lines>46</Lines>
  <Paragraphs>13</Paragraphs>
  <TotalTime>34</TotalTime>
  <ScaleCrop>false</ScaleCrop>
  <LinksUpToDate>false</LinksUpToDate>
  <CharactersWithSpaces>9205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2022-06-09T08:52:00Z</dcterms:created>
  <dc:creator>netuser</dc:creator>
  <cp:lastModifiedBy>DMY</cp:lastModifiedBy>
  <cp:lastPrinted>2022-07-11T08:30:00Z</cp:lastPrinted>
  <dcterms:modified xsi:type="dcterms:W3CDTF">2024-06-14T09:41:58Z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329B18397F91479CA15A5E5BE4AAAB01_13</vt:lpwstr>
  </property>
</Properties>
</file>