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基于微服务的API接口管理平台项目需求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本次院内</w:t>
      </w:r>
      <w:r>
        <w:rPr>
          <w:rFonts w:ascii="宋体" w:hAnsi="宋体" w:cs="宋体"/>
          <w:kern w:val="0"/>
          <w:sz w:val="24"/>
        </w:rPr>
        <w:t>议价</w:t>
      </w:r>
      <w:r>
        <w:rPr>
          <w:rFonts w:hint="eastAsia" w:ascii="宋体" w:hAnsi="宋体" w:cs="宋体"/>
          <w:kern w:val="0"/>
          <w:sz w:val="24"/>
        </w:rPr>
        <w:t>采购限价：90万元，无论是否单项限价，请各应标商按照采购清单分项报价，采购清单如下：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>
        <w:rPr>
          <w:b/>
          <w:sz w:val="32"/>
          <w:szCs w:val="32"/>
        </w:rPr>
        <w:t xml:space="preserve">采购清单 </w:t>
      </w:r>
    </w:p>
    <w:tbl>
      <w:tblPr>
        <w:tblStyle w:val="1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136"/>
        <w:gridCol w:w="4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36" w:type="dxa"/>
          </w:tcPr>
          <w:p>
            <w:pPr>
              <w:jc w:val="center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4728" w:type="dxa"/>
          </w:tcPr>
          <w:p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136" w:type="dxa"/>
          </w:tcPr>
          <w:p>
            <w:pPr>
              <w:rPr>
                <w:rFonts w:ascii="宋体" w:hAnsi="宋体" w:cs="微软雅黑"/>
                <w:color w:val="000000"/>
              </w:rPr>
            </w:pPr>
            <w:r>
              <w:rPr>
                <w:rFonts w:hint="eastAsia" w:ascii="宋体" w:hAnsi="宋体" w:cs="微软雅黑"/>
                <w:color w:val="000000"/>
              </w:rPr>
              <w:t>基于微服务的API接口管理平台</w:t>
            </w:r>
          </w:p>
        </w:tc>
        <w:tc>
          <w:tcPr>
            <w:tcW w:w="4728" w:type="dxa"/>
          </w:tcPr>
          <w:p>
            <w:pPr>
              <w:rPr>
                <w:rFonts w:ascii="宋体" w:hAnsi="宋体" w:cs="微软雅黑"/>
                <w:color w:val="000000"/>
              </w:rPr>
            </w:pPr>
            <w:r>
              <w:rPr>
                <w:rFonts w:hint="eastAsia"/>
              </w:rPr>
              <w:t>配置详见2.</w:t>
            </w:r>
            <w:bookmarkStart w:id="0" w:name="_Hlt161059106"/>
            <w:bookmarkStart w:id="1" w:name="_Hlt161059105"/>
            <w:r>
              <w:rPr>
                <w:rFonts w:hint="eastAsia"/>
              </w:rPr>
              <w:t>1</w:t>
            </w:r>
            <w:bookmarkEnd w:id="0"/>
            <w:bookmarkEnd w:id="1"/>
            <w:r>
              <w:rPr>
                <w:rFonts w:hint="eastAsia"/>
              </w:rPr>
              <w:t>、基于微服务的API接口管理平台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36" w:type="dxa"/>
          </w:tcPr>
          <w:p>
            <w:pPr>
              <w:rPr>
                <w:rFonts w:ascii="宋体" w:hAnsi="宋体" w:cs="微软雅黑"/>
                <w:color w:val="000000"/>
              </w:rPr>
            </w:pPr>
            <w:r>
              <w:rPr>
                <w:rFonts w:hint="eastAsia" w:ascii="宋体" w:hAnsi="宋体" w:cs="微软雅黑"/>
                <w:color w:val="000000"/>
              </w:rPr>
              <w:t>历史接口重新部署与迁移</w:t>
            </w:r>
          </w:p>
        </w:tc>
        <w:tc>
          <w:tcPr>
            <w:tcW w:w="4728" w:type="dxa"/>
          </w:tcPr>
          <w:p>
            <w:pPr>
              <w:rPr>
                <w:rFonts w:ascii="宋体" w:hAnsi="宋体" w:cs="微软雅黑"/>
                <w:color w:val="000000"/>
              </w:rPr>
            </w:pPr>
            <w:r>
              <w:rPr>
                <w:rFonts w:hint="eastAsia"/>
                <w:color w:val="000000"/>
              </w:rPr>
              <w:t>配置详见2.2、历史接口重新部署与迁移</w:t>
            </w:r>
          </w:p>
        </w:tc>
      </w:tr>
    </w:tbl>
    <w:p>
      <w:pPr>
        <w:rPr>
          <w:b/>
          <w:sz w:val="32"/>
          <w:szCs w:val="32"/>
        </w:rPr>
      </w:pPr>
    </w:p>
    <w:p>
      <w:pPr>
        <w:numPr>
          <w:ilvl w:val="0"/>
          <w:numId w:val="2"/>
        </w:numPr>
        <w:rPr>
          <w:rFonts w:ascii="宋体" w:hAnsi="宋体" w:cs="宋体"/>
          <w:szCs w:val="21"/>
        </w:rPr>
      </w:pPr>
      <w:r>
        <w:rPr>
          <w:rFonts w:hint="eastAsia"/>
          <w:b/>
          <w:sz w:val="32"/>
          <w:szCs w:val="32"/>
        </w:rPr>
        <w:t>参数要求</w:t>
      </w:r>
    </w:p>
    <w:p>
      <w:pPr>
        <w:pStyle w:val="3"/>
        <w:tabs>
          <w:tab w:val="left" w:pos="756"/>
        </w:tabs>
        <w:rPr>
          <w:rFonts w:ascii="宋体" w:hAnsi="宋体" w:eastAsia="宋体" w:cs="微软雅黑"/>
          <w:color w:val="000000"/>
        </w:rPr>
      </w:pPr>
      <w:bookmarkStart w:id="2" w:name="_基于微服务的API接口管理平台"/>
      <w:bookmarkEnd w:id="2"/>
      <w:r>
        <w:rPr>
          <w:rFonts w:hint="eastAsia" w:ascii="宋体" w:hAnsi="宋体" w:eastAsia="宋体" w:cs="微软雅黑"/>
          <w:color w:val="000000"/>
        </w:rPr>
        <w:t>2.1 基于微服务的API接口管理平台</w:t>
      </w:r>
    </w:p>
    <w:p>
      <w:pPr>
        <w:pStyle w:val="37"/>
        <w:numPr>
          <w:ilvl w:val="0"/>
          <w:numId w:val="3"/>
        </w:numPr>
        <w:ind w:left="635" w:right="210"/>
        <w:rPr>
          <w:rFonts w:ascii="宋体" w:hAnsi="宋体"/>
        </w:rPr>
      </w:pPr>
      <w:r>
        <w:rPr>
          <w:rFonts w:hint="eastAsia" w:ascii="宋体" w:hAnsi="宋体"/>
        </w:rPr>
        <w:t>统一数据服务平台，是以对API进行全生命周期管理为核心，提供全面、精简的统一数据服务管理平台，依托数据湖快速提供高性能高安全的服务，提供便利的数据聚合功能，将ODS、数据仓库、临床数据中心等多源数据快速、便捷的发布、聚合为统一的数据服务，</w:t>
      </w:r>
      <w:r>
        <w:rPr>
          <w:rFonts w:ascii="宋体" w:hAnsi="宋体"/>
        </w:rPr>
        <w:t>涵盖API商店、Dashboard、开发者门户、API注册、发布、 数据聚合、安全管理、审批管理、API监控分析的支撑能力</w:t>
      </w:r>
      <w:r>
        <w:rPr>
          <w:rFonts w:hint="eastAsia" w:ascii="宋体" w:hAnsi="宋体"/>
        </w:rPr>
        <w:t>。</w:t>
      </w:r>
    </w:p>
    <w:p>
      <w:pPr>
        <w:pStyle w:val="37"/>
        <w:numPr>
          <w:ilvl w:val="0"/>
          <w:numId w:val="3"/>
        </w:numPr>
        <w:ind w:left="635" w:right="210"/>
        <w:rPr>
          <w:rFonts w:ascii="宋体" w:hAnsi="宋体"/>
        </w:rPr>
      </w:pPr>
      <w:r>
        <w:rPr>
          <w:rFonts w:hint="eastAsia" w:ascii="宋体" w:hAnsi="宋体"/>
        </w:rPr>
        <w:t>开发者门户：</w:t>
      </w:r>
    </w:p>
    <w:p>
      <w:pPr>
        <w:pStyle w:val="37"/>
        <w:numPr>
          <w:ilvl w:val="0"/>
          <w:numId w:val="4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商店：开放自助式的API商店，能够支持三方厂商从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商店中订阅已发布的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，每一个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以一个卡片形式展现，主要包含信息：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名称、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描述、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上架时间等信息，也可点击某一个接口下钻，可见API接口详细信息、接口测试信息。【提供系统功能截图】</w:t>
      </w:r>
    </w:p>
    <w:p>
      <w:pPr>
        <w:pStyle w:val="37"/>
        <w:numPr>
          <w:ilvl w:val="0"/>
          <w:numId w:val="4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数据首页：展示三方厂商所有API接口概览信息，主要包含：API发布数量、API订阅数据量、维护数据源个数、订阅调用数量、发布调用数量等统计指标，还包含订阅调用top5、发布调用top5、API失败调用top5，近一小时调用情况监控等信息。</w:t>
      </w:r>
    </w:p>
    <w:p>
      <w:pPr>
        <w:pStyle w:val="37"/>
        <w:numPr>
          <w:ilvl w:val="0"/>
          <w:numId w:val="4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API监控：实时监控预警，全面实时监控，实现业务合规性预警，保持持续可用性。主要包含内容：每一个API接口调用次数统计、调用失败数统计、平均耗时、访问日志信息、网关及负载节点信息。</w:t>
      </w:r>
    </w:p>
    <w:p>
      <w:pPr>
        <w:pStyle w:val="37"/>
        <w:numPr>
          <w:ilvl w:val="0"/>
          <w:numId w:val="4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API列表：便捷的生命周期管理，通过界面对API进行注册、测试、发布、监控、升级，支持API多版本发布，平滑切换版本，并且能够支持外部API的注册发布，包含Rest、WebServices接口注册发布。</w:t>
      </w:r>
    </w:p>
    <w:p>
      <w:pPr>
        <w:pStyle w:val="37"/>
        <w:numPr>
          <w:ilvl w:val="0"/>
          <w:numId w:val="4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API调试：支持三方厂商、从API调试中统一调试订阅的API接口。</w:t>
      </w:r>
    </w:p>
    <w:p>
      <w:pPr>
        <w:pStyle w:val="37"/>
        <w:numPr>
          <w:ilvl w:val="0"/>
          <w:numId w:val="4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订阅：管理和记录三方厂商所订阅的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接口。【提供系统功能截图】</w:t>
      </w:r>
    </w:p>
    <w:p>
      <w:pPr>
        <w:pStyle w:val="37"/>
        <w:numPr>
          <w:ilvl w:val="0"/>
          <w:numId w:val="4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需求申请：主要用于当前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商店中的接口不能满足业务需求，三方厂商可通过需求申请来申请一个新的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接口，新接口发布以后，三方厂商就可从API商店中订阅此接口。【提供系统功能截图】</w:t>
      </w:r>
    </w:p>
    <w:p>
      <w:pPr>
        <w:pStyle w:val="37"/>
        <w:numPr>
          <w:ilvl w:val="0"/>
          <w:numId w:val="4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数据源管理：管理和维护三方厂商的数据源。</w:t>
      </w:r>
    </w:p>
    <w:p>
      <w:pPr>
        <w:pStyle w:val="37"/>
        <w:numPr>
          <w:ilvl w:val="0"/>
          <w:numId w:val="3"/>
        </w:numPr>
        <w:ind w:left="635" w:right="210"/>
        <w:rPr>
          <w:rFonts w:ascii="宋体" w:hAnsi="宋体"/>
        </w:rPr>
      </w:pPr>
      <w:r>
        <w:rPr>
          <w:rFonts w:hint="eastAsia" w:ascii="宋体" w:hAnsi="宋体"/>
        </w:rPr>
        <w:t>运营管理端：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Dashboard：提供API Dashboard，整体查看API注册、发布、异常、网关集群等API平台的运行情况。主要包含指标：注册API数量、发布API数量、API调用次数、API调用失败数、平均耗时等信息。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API商店：能够支持查看所有已上架的API，对已上架的API进行统一的管理。每一个API以一个卡片形式展现，主要包含信息：API名称、API描述、API上架时间等信息。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API监控：提供监控服务，能够查看所有API接口的调用情况，包含调用次数、调用失败数、调用平均耗时、访问日志、网关及负载节点信息。提供服务健康检查机制，监控服务的可用状态。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能够支持外部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的注册发布，包含</w:t>
      </w:r>
      <w:r>
        <w:rPr>
          <w:rFonts w:ascii="宋体" w:hAnsi="宋体"/>
        </w:rPr>
        <w:t>Rest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WebServices</w:t>
      </w:r>
      <w:r>
        <w:rPr>
          <w:rFonts w:hint="eastAsia" w:ascii="宋体" w:hAnsi="宋体"/>
        </w:rPr>
        <w:t>接口注册发布。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▲零代码：无需任何编码即可在页面上配置出新的数据API，适应快速变化的业务需求，支持服务的聚合编排，支持</w:t>
      </w:r>
      <w:r>
        <w:rPr>
          <w:rFonts w:ascii="宋体" w:hAnsi="宋体"/>
        </w:rPr>
        <w:t>API+API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API+SQL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SQL+SQL</w:t>
      </w:r>
      <w:r>
        <w:rPr>
          <w:rFonts w:hint="eastAsia" w:ascii="宋体" w:hAnsi="宋体"/>
        </w:rPr>
        <w:t>的多种编排方式。【提供系统功能截图】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支持对</w:t>
      </w:r>
      <w:r>
        <w:rPr>
          <w:rFonts w:ascii="宋体" w:hAnsi="宋体"/>
        </w:rPr>
        <w:t>XML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JSON</w:t>
      </w:r>
      <w:r>
        <w:rPr>
          <w:rFonts w:hint="eastAsia" w:ascii="宋体" w:hAnsi="宋体"/>
        </w:rPr>
        <w:t>数据文件中取值，支持调整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返回字段，支持对</w:t>
      </w:r>
      <w:r>
        <w:rPr>
          <w:rFonts w:ascii="宋体" w:hAnsi="宋体"/>
        </w:rPr>
        <w:t>SQL</w:t>
      </w:r>
      <w:r>
        <w:rPr>
          <w:rFonts w:hint="eastAsia" w:ascii="宋体" w:hAnsi="宋体"/>
        </w:rPr>
        <w:t>校验和优化执行。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支持服务在线</w:t>
      </w:r>
      <w:r>
        <w:rPr>
          <w:rFonts w:ascii="宋体" w:hAnsi="宋体"/>
        </w:rPr>
        <w:t>Mock</w:t>
      </w:r>
      <w:r>
        <w:rPr>
          <w:rFonts w:hint="eastAsia" w:ascii="宋体" w:hAnsi="宋体"/>
        </w:rPr>
        <w:t>模拟（服务提供、服务消费）测试。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支持</w:t>
      </w:r>
      <w:r>
        <w:rPr>
          <w:rFonts w:ascii="宋体" w:hAnsi="宋体"/>
        </w:rPr>
        <w:t>OpenAPI/ Swagger</w:t>
      </w:r>
      <w:r>
        <w:rPr>
          <w:rFonts w:hint="eastAsia" w:ascii="宋体" w:hAnsi="宋体"/>
        </w:rPr>
        <w:t>标准，导入导出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定义。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▲提供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版本管理，支持灰度发布，应用对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的访问控制授权管理。【提供系统功能截图】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▲支持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预警配置，达到阈值之后自动预警等处理。【提供系统功能截图】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ascii="宋体" w:hAnsi="宋体"/>
        </w:rPr>
        <w:t>API</w:t>
      </w:r>
      <w:r>
        <w:rPr>
          <w:rFonts w:hint="eastAsia" w:ascii="宋体" w:hAnsi="宋体"/>
        </w:rPr>
        <w:t>配置变更实时生效，无须重启服务。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API平台处理时间平均在50ms以内；支持水平扩展以提升API平台性能。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网关集群管理：基于云原生的高性能服务网格组件，原生支持负载均衡，支持水平扩展。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新节点自动识别，集群规模页面统一配置，轻松应对各种场景的数据请求。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▲审批与授权：审批管理是对订购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申请的审批和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商店中无法满足需求而提交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开发需求的审批。需求审批：审核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开发需求信息（请求参数、数据、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要求等），同意则开发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绑定该需求，拒绝提供相应决策理由。【提供系统功能截图】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▲集成认证</w:t>
      </w:r>
      <w:r>
        <w:rPr>
          <w:rFonts w:ascii="宋体" w:hAnsi="宋体"/>
        </w:rPr>
        <w:t>-</w:t>
      </w:r>
      <w:r>
        <w:rPr>
          <w:rFonts w:hint="eastAsia" w:ascii="宋体" w:hAnsi="宋体"/>
        </w:rPr>
        <w:t>集成安全：</w:t>
      </w:r>
      <w:r>
        <w:rPr>
          <w:rFonts w:ascii="宋体" w:hAnsi="宋体"/>
        </w:rPr>
        <w:t xml:space="preserve">API </w:t>
      </w:r>
      <w:r>
        <w:rPr>
          <w:rFonts w:hint="eastAsia" w:ascii="宋体" w:hAnsi="宋体"/>
        </w:rPr>
        <w:t>平台提供了一系列安全控制能力，主要体现在集成安全、数据安全和证书管理等方面。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的集成认证支持AK/SK认证模式和基于证书的认证方式，同时提供认证记录以及黑</w:t>
      </w:r>
      <w:r>
        <w:rPr>
          <w:rFonts w:ascii="宋体" w:hAnsi="宋体"/>
        </w:rPr>
        <w:t>/</w:t>
      </w:r>
      <w:r>
        <w:rPr>
          <w:rFonts w:hint="eastAsia" w:ascii="宋体" w:hAnsi="宋体"/>
        </w:rPr>
        <w:t>白名单配置，为了保证数据传输的安全性，系统可支持基于</w:t>
      </w:r>
      <w:r>
        <w:rPr>
          <w:rFonts w:ascii="宋体" w:hAnsi="宋体"/>
        </w:rPr>
        <w:t xml:space="preserve">SSL/TLS </w:t>
      </w:r>
      <w:r>
        <w:rPr>
          <w:rFonts w:hint="eastAsia" w:ascii="宋体" w:hAnsi="宋体"/>
        </w:rPr>
        <w:t>协议的传输加密能力。通过证书可以在系统访问</w:t>
      </w:r>
      <w:r>
        <w:rPr>
          <w:rFonts w:ascii="宋体" w:hAnsi="宋体"/>
        </w:rPr>
        <w:t>API</w:t>
      </w:r>
      <w:r>
        <w:rPr>
          <w:rFonts w:hint="eastAsia" w:ascii="宋体" w:hAnsi="宋体"/>
        </w:rPr>
        <w:t>时识别对方的身份，确保交易中的安全性，在服务层面也提供了访问控制、限流、审计预警等设置以保证服务安全。【提供系统功能截图】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▲集成认证</w:t>
      </w:r>
      <w:r>
        <w:rPr>
          <w:rFonts w:ascii="宋体" w:hAnsi="宋体"/>
        </w:rPr>
        <w:t>-</w:t>
      </w:r>
      <w:r>
        <w:rPr>
          <w:rFonts w:hint="eastAsia" w:ascii="宋体" w:hAnsi="宋体"/>
        </w:rPr>
        <w:t>数据安全：支持对接口返回数据进行脱敏设置。内置常用的数据项脱敏规则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（手机号码、身份证号码、地址、替换、遮罩、日期偏移、日期截取等等），针对接口的返回数据做可视化脱敏配置，以保证数据的安全性。支持对应用厂商的统一管理和维护。【提供系统功能截图】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集成认证</w:t>
      </w:r>
      <w:r>
        <w:rPr>
          <w:rFonts w:ascii="宋体" w:hAnsi="宋体"/>
        </w:rPr>
        <w:t>-</w:t>
      </w:r>
      <w:r>
        <w:rPr>
          <w:rFonts w:hint="eastAsia" w:ascii="宋体" w:hAnsi="宋体"/>
        </w:rPr>
        <w:t>证书管理：支持通过</w:t>
      </w:r>
      <w:r>
        <w:rPr>
          <w:rFonts w:ascii="宋体" w:hAnsi="宋体"/>
        </w:rPr>
        <w:t>OpenSSL</w:t>
      </w:r>
      <w:r>
        <w:rPr>
          <w:rFonts w:hint="eastAsia" w:ascii="宋体" w:hAnsi="宋体"/>
        </w:rPr>
        <w:t>自建</w:t>
      </w:r>
      <w:r>
        <w:rPr>
          <w:rFonts w:ascii="宋体" w:hAnsi="宋体"/>
        </w:rPr>
        <w:t>CA</w:t>
      </w:r>
      <w:r>
        <w:rPr>
          <w:rFonts w:hint="eastAsia" w:ascii="宋体" w:hAnsi="宋体"/>
        </w:rPr>
        <w:t>，为客户端、服务端颁发证书及吊销证书，支持双向认证的方式。</w:t>
      </w:r>
    </w:p>
    <w:p>
      <w:pPr>
        <w:pStyle w:val="37"/>
        <w:numPr>
          <w:ilvl w:val="0"/>
          <w:numId w:val="5"/>
        </w:numPr>
        <w:ind w:leftChars="0" w:right="210"/>
        <w:rPr>
          <w:rFonts w:ascii="宋体" w:hAnsi="宋体"/>
        </w:rPr>
      </w:pPr>
      <w:r>
        <w:rPr>
          <w:rFonts w:hint="eastAsia" w:ascii="宋体" w:hAnsi="宋体"/>
        </w:rPr>
        <w:t>系统管理：系统管理是确保API平台高效运行和管理的关键部分包括用户管理、角色管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理、审计日志、告警记录内容。</w:t>
      </w:r>
      <w:r>
        <w:rPr>
          <w:rFonts w:ascii="宋体" w:hAnsi="宋体"/>
        </w:rPr>
        <w:t>用户管理：包括用户账号的创建、编辑、删除，以及用户权限的分配和管理</w:t>
      </w:r>
      <w:r>
        <w:rPr>
          <w:rFonts w:hint="eastAsia" w:ascii="宋体" w:hAnsi="宋体"/>
        </w:rPr>
        <w:t>；</w:t>
      </w:r>
      <w:r>
        <w:rPr>
          <w:rFonts w:ascii="宋体" w:hAnsi="宋体"/>
        </w:rPr>
        <w:t xml:space="preserve"> 角色管理：定义不同角色，并将权限分配给这些角色，方便对用户进行分类 管理</w:t>
      </w:r>
      <w:r>
        <w:rPr>
          <w:rFonts w:hint="eastAsia" w:ascii="宋体" w:hAnsi="宋体"/>
        </w:rPr>
        <w:t>；</w:t>
      </w:r>
      <w:r>
        <w:rPr>
          <w:rFonts w:ascii="宋体" w:hAnsi="宋体"/>
        </w:rPr>
        <w:t>审计日志：记录系统的操作日志、API调用日志等，方便故障排查和审计。告警记录：记录异常的API告警记录，方便故障排查和审计。</w:t>
      </w:r>
    </w:p>
    <w:p>
      <w:pPr>
        <w:pStyle w:val="37"/>
        <w:numPr>
          <w:ilvl w:val="0"/>
          <w:numId w:val="3"/>
        </w:numPr>
        <w:ind w:left="635" w:right="210"/>
        <w:rPr>
          <w:rFonts w:ascii="宋体" w:hAnsi="宋体"/>
        </w:rPr>
      </w:pPr>
      <w:r>
        <w:rPr>
          <w:rFonts w:hint="eastAsia" w:ascii="宋体" w:hAnsi="宋体"/>
        </w:rPr>
        <w:t>租户管理：提供多租户管理模式。</w:t>
      </w:r>
    </w:p>
    <w:p>
      <w:pPr>
        <w:pStyle w:val="3"/>
        <w:tabs>
          <w:tab w:val="left" w:pos="756"/>
        </w:tabs>
        <w:rPr>
          <w:rFonts w:ascii="宋体" w:hAnsi="宋体" w:eastAsia="宋体" w:cs="微软雅黑"/>
          <w:color w:val="auto"/>
        </w:rPr>
      </w:pPr>
      <w:bookmarkStart w:id="3" w:name="_历史接口重新部署与迁移"/>
      <w:bookmarkEnd w:id="3"/>
      <w:bookmarkStart w:id="4" w:name="_历史接口迁移"/>
      <w:bookmarkEnd w:id="4"/>
      <w:r>
        <w:rPr>
          <w:rFonts w:hint="eastAsia" w:ascii="宋体" w:hAnsi="宋体" w:eastAsia="宋体" w:cs="微软雅黑"/>
          <w:color w:val="000000"/>
        </w:rPr>
        <w:t>2.2</w:t>
      </w:r>
      <w:r>
        <w:rPr>
          <w:rFonts w:hint="eastAsia" w:ascii="宋体" w:hAnsi="宋体" w:eastAsia="宋体" w:cs="微软雅黑"/>
          <w:color w:val="auto"/>
        </w:rPr>
        <w:t>历史接口重新部署与迁移</w:t>
      </w:r>
    </w:p>
    <w:p>
      <w:pPr>
        <w:spacing w:line="480" w:lineRule="auto"/>
        <w:ind w:left="120" w:firstLine="420" w:firstLineChars="20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▲将我院历史接口</w:t>
      </w:r>
      <w:r>
        <w:rPr>
          <w:rFonts w:hint="eastAsia" w:ascii="宋体" w:hAnsi="宋体" w:cs="微软雅黑"/>
          <w:color w:val="auto"/>
          <w:szCs w:val="21"/>
        </w:rPr>
        <w:t>，重新部署并</w:t>
      </w:r>
      <w:r>
        <w:rPr>
          <w:rFonts w:hint="eastAsia" w:ascii="宋体" w:hAnsi="宋体" w:cs="微软雅黑"/>
          <w:color w:val="000000"/>
          <w:szCs w:val="21"/>
        </w:rPr>
        <w:t>迁移至基于微服务的API接口管理平台。安排工作人员根据原有接口逻辑，在基于微服务的API接口管理平台进行注册并发布。配合对接生成产商完成接口迁移。迁移后的接口性能不能低于原有接口性能（接口响应时间）。【提供承诺函】</w:t>
      </w:r>
    </w:p>
    <w:p>
      <w:pPr>
        <w:ind w:left="368" w:leftChars="175" w:firstLine="435"/>
        <w:jc w:val="center"/>
        <w:rPr>
          <w:rFonts w:ascii="宋体" w:hAnsi="宋体" w:cs="微软雅黑"/>
          <w:color w:val="000000"/>
        </w:rPr>
      </w:pPr>
      <w:r>
        <w:rPr>
          <w:rFonts w:hint="eastAsia" w:ascii="宋体" w:hAnsi="宋体" w:cs="微软雅黑"/>
          <w:color w:val="000000"/>
        </w:rPr>
        <w:t>表2 接口列表</w:t>
      </w:r>
    </w:p>
    <w:tbl>
      <w:tblPr>
        <w:tblStyle w:val="15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2250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接口名称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近3个月调用总数量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平均响应时间（秒）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获取检查申请-应急接口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获取门诊毒麻药处方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5379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sz w:val="18"/>
                <w:szCs w:val="18"/>
              </w:rPr>
              <w:t>住院记录表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sz w:val="18"/>
                <w:szCs w:val="18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sz w:val="18"/>
                <w:szCs w:val="18"/>
              </w:rPr>
              <w:t>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sz w:val="18"/>
                <w:szCs w:val="18"/>
              </w:rPr>
              <w:t>通过就诊流水号获取患者每日费用清单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获取患者基本信息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获取医护人员信息表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获取住院患者在院医嘱毒麻处方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899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获取手术申请单xml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获取检查申请-应急接口new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5104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获取患者就诊信息-CDR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获取出院带药患者毒麻处方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1466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获取门诊住院药品医嘱信息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85728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门诊患者检查项查询--iih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获取管床统计信息表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检查结果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病理结果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根据患者编码与日期获取检查结果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科室成本统计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员工信息查询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影像结果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住院患者检查项查询--iih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医保清单下载-查询待获取采集信息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互联网医院获取字典接口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住院患者基本信息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6586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患者检验结果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138031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病人诊断信息(病案编目)-国考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获取急诊发热门诊就诊信息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432907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获取检验报告病历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204271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历史-获取当前在院病人列表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科室间接工作量统计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获取手麻系统手术信息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105886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23门诊患者检查项查询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269912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收费药品字典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7609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获取门诊电子病历PDF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109614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获取治疗项目字典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获取患者信息（不良事件）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5120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手麻系统获取指定项目检查结果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13787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患者入院记录pdf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97082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人员花名册样表--主数据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康复治疗系统获取检验结果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患者置管手术信息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92703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获取患者生命体征数据-iih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3231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根据住院号获取当日体温值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住院医嘱明细表--iih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142527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获取门诊检验申请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患者出院记录pdf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97679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术式字典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2560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根绝患者编码和日期获取检验结果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药品字典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7780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老年综合评估查询护理数据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患者跌倒/坠床风险评估单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10800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门诊记录表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获取检查报告PDF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247162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非药品费用物价字典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15431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员工字典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5793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绩效获取手术明细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会诊记录信息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12779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SPD查询手术信息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员工字典(his20)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患者医嘱信息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98831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发药汇总记录信息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772909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获取检验报告PDF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294770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区县字典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获取领药单信息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医技叫号获取员工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获取患者检验文档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346501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获取库房信息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获取检查报告病历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196403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获取员工通讯录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病理检查申请-应急接口(按申请单号)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3145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批量获取住院患者科室与床号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193696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员工信息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疾病字典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患者电子病历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97472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获取药品库存信息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住院患者其他相关信息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60843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患者基本信息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获取检查申请-应急接口(按就诊编码)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2786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排队叫号注射室接口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20264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获取检查申请-应急接口(就诊编码2)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5647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获取员工身份证与手机号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17文书类型及字段字典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ADR药物数据字典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病人手术信息(病案编目)-国考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通过患者ID获取患者基本信息-IP库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28351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获取患者护理记录总评分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获取3.0和2.0项目编码对应表字典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获取检查报告PDF(合并患者)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出院患者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31021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02住院就诊记录表(按时间)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检查项目字典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患者基本信息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82388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30门诊诊断明细表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42891015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住院患者手术信息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52230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获取手术信息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病理检查申请-应急接口(就诊编码)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门诊就诊记录表(营养系统)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12884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01住院患者检查项查询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296707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药品字典-大成手麻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住院患者费用信息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65241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在院患者列表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1111773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获取住院检验申请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2853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科室字典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患者评估信息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13820772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21住院病案首页new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2677144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获取患者生命体征数据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634297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患者护理病历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336593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获取患者基本信息2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30039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婚姻状况字典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根据就诊id获取转科数据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检查指标字典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联系人关系字典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获取患者电子病历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611814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诊断字典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11住院诊断明细表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2134059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病理检查申请-应急接口(住院号)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2170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心脏彩超结构化数据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6546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病人诊断信息-国考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获取检验报告病历(合并患者)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196200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患者检查结果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137735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病人住院信息-国考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入院评估单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86702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入院评估单既往史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520970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病人手术信息-国考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4248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07住院检验药敏结果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13086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科室字典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55108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获取HIS科室信息表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体温单过敏史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10992808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医院科室字典表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根据就诊流水号查询执行计划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39777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获取检验报告PDF(合并患者)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住院会诊单记录--iih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12436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员工his2.0字典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病人基本信息(按住院号取)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获取手术申请单号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按科室获取在院患者信息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383430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查询患者就诊记录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53091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毒麻药品流转情况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48629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病理检查申请-应急接口(标本号)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6574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获取检查报告PDFnew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126712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获取IIH员工登陆账号信息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789800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在院病人住院信息(按病区获取)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164010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获取患者抗菌药物医嘱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957142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获取患者本次就诊记录的五史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579705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人员字典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25465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输血系统科室字典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住院手术明细表--iih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22436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按科室获取科室患者数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病人医嘱分割信息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2287359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药品字典(入参编码)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获取体检报告PDF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通过患者检查号获取患者信息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25门诊患者信息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34165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住院患者信息3.0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7831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住院转科记录表--iih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30853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获取放射科在线人员信息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获取本次住院白蛋白最低值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230283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门诊就诊记录表--iih(按时间)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查看ICU患者在院信息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13860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通过患者编码获取检查申请-应急接口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84115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默尼查询检查结果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医嘱申请单信息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208914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患者住院信息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7701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根据患者就诊id获取手术记录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病人医嘱信息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1573409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获取检查报告病历(合并患者)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198003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判断患者是否有手术费用信息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1762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查询病历文书目录接口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病人检验申请主记录(常规)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203000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科室字典--iih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13684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频次字典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根据患者ID查询联系人电话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获取西药字典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通过医生工号获取挂号患者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23807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娜娜所需医嘱信息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53647341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心导管影像报告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49073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患者基本信息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1784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获取患者病历文书--PDF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399744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获取检验报告PDFnew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427002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获取检验报告病历(合并患者)new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4031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获取门诊患者就诊记录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2252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门诊患者信息--iih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171548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住院患者诊断信息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67617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病案首页（补充缺失字段）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17343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获取出院小结内容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2037070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获取检查申请-应急接口(按申请单号)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68667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通过就诊号获取患者基本信息（IIH）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门诊就诊记录表--iih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21468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默尼通过医生工号获取挂号患者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13158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16住院医嘱明细表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16391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根据患者ID获取患者最后一条住院记录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病历文书内容--iih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332441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获取检查报告病历(合并患者)new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2698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超声结构化检查结果（产前诊断）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6205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通过患者ID查患者过敏史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06住院检验细菌结果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28520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27门诊检验结果指标表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561519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住院护理体征--iih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43925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在院患者体温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20842154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患者挂号信息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98093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按就诊编码获取出院信息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1379832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根据就诊ID获取患者知情同意书PDF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病区字典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25584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病历文书表头--iih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345445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获取IIH门诊医嘱明细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427058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获取体征数据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781835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获取全院在院患者信息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37745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获取当前床位信息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11163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11894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获取患者合并患者ID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42933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获取患者病历文书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134770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获取患者门诊费用信息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242534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04住院实验室检验报告表头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49504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10住院手术明细表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39875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13住院护理体征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275295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15住院文书内容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197311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32门诊文书内容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56364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一般护理记录单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42429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从CDR获取患者检验申请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患者住院信息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98105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查询心电申请单状态(一体化预约)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484786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检查报告-结构化数据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62975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病理报告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空床床位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1699269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获取在院患者在院状态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46129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获取患者是否书写输血知情同意书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34427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获取患者诊断信息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81098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通过工号查询HIS20ID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843425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门诊诊断明细表--iih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7110761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预约系统查询旧系统检查申请单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02住院就诊记录表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198552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05住院检验结果指标表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913610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31门诊文书表头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465216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一体化预约查询医嘱缴费状态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1250959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员工字典带token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患者是否为敏感患者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153757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查看ICU患者在院信息new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1243368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根据就诊编码查病历文书是否完成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7503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根据患者就诊id获取出院记录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根据申请单号获取检验结果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2579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检查报告--心脏彩超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19422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病人基本信息(按患者ID获取)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1986928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获取住院检验申请-iih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246034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获取患者已签名的知情同意书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342366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获取检验报告-结构化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440436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获取药品用法字典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通过检验申请单获取收费项目信息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731734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重症监护护理记录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31796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门诊医嘱明细表--iih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1315129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02住院就诊记录表3.0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14174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08住院影像检查报告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93629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09住院病理学诊断书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32120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12住院会诊单记录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78328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14住院文书表头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76167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24门诊就诊记录表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12341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26门诊实验室检验报告表头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286155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28门诊影像检查报告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419078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29门诊病理学诊断书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254572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33门诊医嘱明细表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202618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ICU患者诊断信息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1576645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PIVAS科室字典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cdr病历文书目录结构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134373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东软查询检查结果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371302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41531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住院诊断明细表--iih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2172391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医保智能审核--查询告病重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12191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在院病人住院信息(按患者ID获取)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1986812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本院人员待遇校验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28648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查询放射申请单状态(一体化预约)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401264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查询结构化检查结果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305437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根据身份证号获取患者信息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27641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病人检验申请明细记录(常规)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48295220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病人流转信息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752387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获取药品频次字典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过敏史和住院次数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3461937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通过就诊流水号获取患者费用信息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3464450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通过患者id获取患者基本信息-OP库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17881342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通过检查申请单获取收费项目信息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2304496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通过申请单获取检查信息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10530142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长期医嘱信息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781863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03住院转科记录表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26017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住院患者基本信息30数据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2093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体征采集上传体温单取患者信息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入院单字典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性别字典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手术字典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手术结果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校验患者的检验检查密码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样本字典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民族字典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职业字典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获取cdr就诊流水号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获取患者体检报告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获取患者病案首页费用信息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获取患者转归信息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获取检验医嘱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获取治疗项目字典(按编码获取)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获取病理文档报告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通过条码号获取检验申请信息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18"/>
                <w:szCs w:val="18"/>
              </w:rPr>
              <w:t>0.01</w:t>
            </w:r>
          </w:p>
        </w:tc>
      </w:tr>
    </w:tbl>
    <w:p>
      <w:pPr>
        <w:tabs>
          <w:tab w:val="left" w:pos="420"/>
        </w:tabs>
        <w:spacing w:line="360" w:lineRule="auto"/>
        <w:rPr>
          <w:rFonts w:ascii="宋体" w:hAnsi="宋体" w:cs="宋体"/>
          <w:szCs w:val="21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三、项目工期</w:t>
      </w:r>
    </w:p>
    <w:p>
      <w:pPr>
        <w:pStyle w:val="20"/>
        <w:ind w:left="360"/>
      </w:pPr>
      <w:r>
        <w:rPr>
          <w:rFonts w:hint="eastAsia" w:ascii="宋体" w:hAnsi="宋体"/>
          <w:sz w:val="24"/>
        </w:rPr>
        <w:t>合同工期：合同签订起12个月</w:t>
      </w:r>
    </w:p>
    <w:p>
      <w:pPr>
        <w:rPr>
          <w:rFonts w:ascii="宋体" w:hAnsi="宋体"/>
          <w:b/>
          <w:bCs/>
          <w:kern w:val="44"/>
          <w:sz w:val="32"/>
          <w:szCs w:val="32"/>
        </w:rPr>
      </w:pPr>
      <w:r>
        <w:rPr>
          <w:rFonts w:hint="eastAsia"/>
          <w:b/>
          <w:sz w:val="32"/>
          <w:szCs w:val="32"/>
        </w:rPr>
        <w:t>四、</w:t>
      </w:r>
      <w:r>
        <w:rPr>
          <w:rFonts w:hint="eastAsia" w:ascii="宋体" w:hAnsi="宋体"/>
          <w:b/>
          <w:bCs/>
          <w:kern w:val="44"/>
          <w:sz w:val="32"/>
          <w:szCs w:val="32"/>
        </w:rPr>
        <w:t>集成技术及实施</w:t>
      </w:r>
      <w:r>
        <w:rPr>
          <w:rFonts w:ascii="宋体" w:hAnsi="宋体"/>
          <w:b/>
          <w:bCs/>
          <w:kern w:val="44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after="160" w:line="360" w:lineRule="auto"/>
        <w:outlineLvl w:val="0"/>
        <w:rPr>
          <w:rFonts w:ascii="宋体" w:hAnsi="宋体" w:cs="宋体"/>
          <w:szCs w:val="21"/>
        </w:rPr>
      </w:pPr>
      <w:r>
        <w:rPr>
          <w:b/>
          <w:sz w:val="32"/>
          <w:szCs w:val="32"/>
        </w:rPr>
        <w:t xml:space="preserve">   </w:t>
      </w:r>
      <w:r>
        <w:rPr>
          <w:rFonts w:hint="eastAsia" w:asciiTheme="minorEastAsia" w:hAnsiTheme="minorEastAsia" w:eastAsiaTheme="minorEastAsia"/>
          <w:b/>
          <w:bCs/>
          <w:szCs w:val="21"/>
        </w:rPr>
        <w:t>★</w:t>
      </w: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</w:t>
      </w:r>
      <w:r>
        <w:rPr>
          <w:rFonts w:hint="eastAsia" w:ascii="宋体" w:hAnsi="宋体" w:cs="宋体"/>
          <w:szCs w:val="21"/>
          <w:u w:val="single"/>
        </w:rPr>
        <w:t>2</w:t>
      </w:r>
      <w:r>
        <w:rPr>
          <w:rFonts w:hint="eastAsia" w:ascii="宋体" w:hAnsi="宋体" w:cs="宋体"/>
          <w:szCs w:val="21"/>
        </w:rPr>
        <w:t>名专职工程师驻扎本院，工作时间与院方工作时间一致，并且提供7*24小时响应服务。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>
      <w:pPr>
        <w:rPr>
          <w:rFonts w:ascii="宋体" w:hAnsi="宋体"/>
          <w:b/>
          <w:bCs/>
          <w:kern w:val="44"/>
          <w:sz w:val="32"/>
          <w:szCs w:val="32"/>
        </w:rPr>
      </w:pPr>
      <w:r>
        <w:rPr>
          <w:rFonts w:hint="eastAsia"/>
          <w:b/>
          <w:sz w:val="32"/>
          <w:szCs w:val="32"/>
        </w:rPr>
        <w:t>五、</w:t>
      </w:r>
      <w:r>
        <w:rPr>
          <w:rFonts w:hint="eastAsia" w:ascii="宋体" w:hAnsi="宋体"/>
          <w:b/>
          <w:bCs/>
          <w:kern w:val="44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维护期从合同标的验收合格之日算起，期限为不少于24个月。在维护期内，承建商提供技术支持和指导，以及软件的局部改进完善以及故障情况下的现场问题解决，需要提供完整的操作手册及工程师常见问题自检手册，支持配合医院后续的本地化功能开发。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质量保证期内配备至少一名技术工程师对口服务，并提供</w:t>
      </w:r>
      <w:r>
        <w:rPr>
          <w:rFonts w:ascii="宋体" w:hAnsi="宋体" w:cs="宋体"/>
          <w:szCs w:val="21"/>
        </w:rPr>
        <w:t>7</w:t>
      </w:r>
      <w:r>
        <w:rPr>
          <w:rFonts w:hint="eastAsia" w:ascii="宋体" w:hAnsi="宋体" w:cs="宋体"/>
          <w:szCs w:val="21"/>
        </w:rPr>
        <w:t>×</w:t>
      </w:r>
      <w:r>
        <w:rPr>
          <w:rFonts w:ascii="宋体" w:hAnsi="宋体" w:cs="宋体"/>
          <w:szCs w:val="21"/>
        </w:rPr>
        <w:t>24</w:t>
      </w:r>
      <w:r>
        <w:rPr>
          <w:rFonts w:hint="eastAsia" w:ascii="宋体" w:hAnsi="宋体" w:cs="宋体"/>
          <w:szCs w:val="21"/>
        </w:rPr>
        <w:t>小时服务热线，安排专人提供技术响应，在接到采购人通知时应立即响应，若通过电话或远程不能解决故障，投标人应在24小时内安排专人到达现场进行维修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after="16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超过维护期的，双方另行协商签订维护合同，服务方报价不超过合同软件部分金额的8%。</w:t>
      </w:r>
    </w:p>
    <w:p>
      <w:pPr>
        <w:rPr>
          <w:rFonts w:ascii="宋体" w:hAnsi="宋体"/>
          <w:b/>
          <w:bCs/>
          <w:kern w:val="44"/>
          <w:sz w:val="32"/>
          <w:szCs w:val="32"/>
        </w:rPr>
      </w:pPr>
      <w:r>
        <w:rPr>
          <w:rFonts w:hint="eastAsia"/>
          <w:b/>
          <w:sz w:val="32"/>
          <w:szCs w:val="32"/>
        </w:rPr>
        <w:t>六、</w:t>
      </w:r>
      <w:r>
        <w:rPr>
          <w:rFonts w:hint="eastAsia" w:ascii="宋体" w:hAnsi="宋体"/>
          <w:b/>
          <w:bCs/>
          <w:kern w:val="44"/>
          <w:sz w:val="32"/>
          <w:szCs w:val="32"/>
        </w:rPr>
        <w:t>合同款支付方式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甲方将按如下方式向乙方支付合同费用：</w:t>
      </w:r>
    </w:p>
    <w:p>
      <w:pPr>
        <w:numPr>
          <w:ilvl w:val="0"/>
          <w:numId w:val="1"/>
        </w:numPr>
        <w:tabs>
          <w:tab w:val="left" w:pos="0"/>
          <w:tab w:val="left" w:pos="210"/>
        </w:tabs>
        <w:spacing w:line="360" w:lineRule="auto"/>
        <w:ind w:left="0"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  <w:u w:val="single"/>
          <w:lang w:bidi="ar"/>
        </w:rPr>
        <w:t>合同签订后</w:t>
      </w:r>
      <w:r>
        <w:rPr>
          <w:rFonts w:hint="eastAsia" w:ascii="宋体" w:hAnsi="宋体" w:cs="宋体"/>
          <w:szCs w:val="21"/>
          <w:lang w:bidi="ar"/>
        </w:rPr>
        <w:t>，甲方在收到乙方开具相应金额正式发票后，向乙方支付合同总金额的30%，共计人民币</w:t>
      </w:r>
      <w:r>
        <w:rPr>
          <w:rFonts w:hint="eastAsia" w:ascii="宋体" w:hAnsi="宋体" w:cs="宋体"/>
          <w:color w:val="000000"/>
          <w:szCs w:val="21"/>
          <w:lang w:bidi="ar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  <w:lang w:bidi="ar"/>
        </w:rPr>
        <w:t xml:space="preserve">     </w:t>
      </w:r>
      <w:r>
        <w:rPr>
          <w:rFonts w:hint="eastAsia" w:ascii="宋体" w:hAnsi="宋体" w:cs="宋体"/>
          <w:color w:val="000000"/>
          <w:szCs w:val="21"/>
          <w:lang w:bidi="ar"/>
        </w:rPr>
        <w:t>元(大写：人民币</w:t>
      </w:r>
      <w:r>
        <w:rPr>
          <w:rFonts w:hint="eastAsia" w:ascii="宋体" w:hAnsi="宋体" w:cs="宋体"/>
          <w:color w:val="000000"/>
          <w:szCs w:val="21"/>
          <w:u w:val="single"/>
          <w:lang w:bidi="ar"/>
        </w:rPr>
        <w:t xml:space="preserve">     </w:t>
      </w:r>
      <w:r>
        <w:rPr>
          <w:rFonts w:hint="eastAsia" w:ascii="宋体" w:hAnsi="宋体" w:cs="宋体"/>
          <w:color w:val="000000"/>
          <w:szCs w:val="21"/>
          <w:lang w:bidi="ar"/>
        </w:rPr>
        <w:t>元整)。</w:t>
      </w:r>
    </w:p>
    <w:p>
      <w:pPr>
        <w:numPr>
          <w:ilvl w:val="0"/>
          <w:numId w:val="1"/>
        </w:numPr>
        <w:tabs>
          <w:tab w:val="left" w:pos="0"/>
          <w:tab w:val="left" w:pos="210"/>
        </w:tabs>
        <w:spacing w:line="360" w:lineRule="auto"/>
        <w:ind w:left="0"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color w:val="000000"/>
          <w:szCs w:val="21"/>
          <w:u w:val="single"/>
          <w:lang w:bidi="ar"/>
        </w:rPr>
        <w:t>软件验收通过后</w:t>
      </w:r>
      <w:r>
        <w:rPr>
          <w:rFonts w:hint="eastAsia" w:ascii="宋体" w:hAnsi="宋体" w:cs="宋体"/>
          <w:b/>
          <w:color w:val="000000"/>
          <w:szCs w:val="21"/>
          <w:lang w:bidi="ar"/>
        </w:rPr>
        <w:t>，</w:t>
      </w:r>
      <w:r>
        <w:rPr>
          <w:rFonts w:hint="eastAsia" w:ascii="宋体" w:hAnsi="宋体" w:cs="宋体"/>
          <w:bCs/>
          <w:color w:val="000000"/>
          <w:szCs w:val="21"/>
          <w:lang w:bidi="ar"/>
        </w:rPr>
        <w:t>甲方在收到乙方开具相应金额正式发票以及</w:t>
      </w:r>
      <w:r>
        <w:rPr>
          <w:rFonts w:hint="eastAsia" w:ascii="宋体" w:hAnsi="宋体" w:cs="宋体"/>
          <w:szCs w:val="21"/>
          <w:lang w:bidi="ar"/>
        </w:rPr>
        <w:t>售后服务履约承诺函</w:t>
      </w:r>
      <w:r>
        <w:rPr>
          <w:rFonts w:hint="eastAsia" w:ascii="宋体" w:hAnsi="宋体" w:cs="宋体"/>
          <w:bCs/>
          <w:color w:val="000000"/>
          <w:szCs w:val="21"/>
          <w:lang w:bidi="ar"/>
        </w:rPr>
        <w:t>后，向乙方支付合同总金额的70%，共计人民币</w:t>
      </w:r>
      <w:r>
        <w:rPr>
          <w:rFonts w:hint="eastAsia" w:ascii="宋体" w:hAnsi="宋体" w:cs="宋体"/>
          <w:bCs/>
          <w:color w:val="000000"/>
          <w:szCs w:val="21"/>
          <w:u w:val="single"/>
          <w:lang w:bidi="ar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  <w:lang w:bidi="ar"/>
        </w:rPr>
        <w:t>元(大写：人民币</w:t>
      </w:r>
      <w:r>
        <w:rPr>
          <w:rFonts w:hint="eastAsia" w:ascii="宋体" w:hAnsi="宋体" w:cs="宋体"/>
          <w:bCs/>
          <w:color w:val="000000"/>
          <w:szCs w:val="21"/>
          <w:u w:val="single"/>
          <w:lang w:bidi="ar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  <w:lang w:bidi="ar"/>
        </w:rPr>
        <w:t>元整)。</w:t>
      </w:r>
    </w:p>
    <w:p>
      <w:pPr>
        <w:pStyle w:val="20"/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0D9C0"/>
    <w:multiLevelType w:val="multilevel"/>
    <w:tmpl w:val="81B0D9C0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">
    <w:nsid w:val="D2DD76FF"/>
    <w:multiLevelType w:val="multilevel"/>
    <w:tmpl w:val="D2DD76FF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2">
    <w:nsid w:val="DAA341B8"/>
    <w:multiLevelType w:val="singleLevel"/>
    <w:tmpl w:val="DAA341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C347E5E"/>
    <w:multiLevelType w:val="multilevel"/>
    <w:tmpl w:val="1C347E5E"/>
    <w:lvl w:ilvl="0" w:tentative="0">
      <w:start w:val="1"/>
      <w:numFmt w:val="chineseCountingThousand"/>
      <w:pStyle w:val="37"/>
      <w:lvlText w:val="(%1)"/>
      <w:lvlJc w:val="left"/>
      <w:pPr>
        <w:ind w:left="2487" w:hanging="360"/>
      </w:pPr>
    </w:lvl>
    <w:lvl w:ilvl="1" w:tentative="0">
      <w:start w:val="8"/>
      <w:numFmt w:val="japaneseCounting"/>
      <w:lvlText w:val="%2、"/>
      <w:lvlJc w:val="left"/>
      <w:pPr>
        <w:tabs>
          <w:tab w:val="left" w:pos="3267"/>
        </w:tabs>
        <w:ind w:left="3267" w:hanging="720"/>
      </w:pPr>
    </w:lvl>
    <w:lvl w:ilvl="2" w:tentative="0">
      <w:start w:val="1"/>
      <w:numFmt w:val="lowerRoman"/>
      <w:lvlText w:val="%3."/>
      <w:lvlJc w:val="right"/>
      <w:pPr>
        <w:ind w:left="3387" w:hanging="420"/>
      </w:pPr>
    </w:lvl>
    <w:lvl w:ilvl="3" w:tentative="0">
      <w:start w:val="1"/>
      <w:numFmt w:val="decimal"/>
      <w:lvlText w:val="%4."/>
      <w:lvlJc w:val="left"/>
      <w:pPr>
        <w:ind w:left="3807" w:hanging="420"/>
      </w:pPr>
    </w:lvl>
    <w:lvl w:ilvl="4" w:tentative="0">
      <w:start w:val="1"/>
      <w:numFmt w:val="lowerLetter"/>
      <w:lvlText w:val="%5)"/>
      <w:lvlJc w:val="left"/>
      <w:pPr>
        <w:ind w:left="4227" w:hanging="420"/>
      </w:pPr>
    </w:lvl>
    <w:lvl w:ilvl="5" w:tentative="0">
      <w:start w:val="1"/>
      <w:numFmt w:val="lowerRoman"/>
      <w:lvlText w:val="%6."/>
      <w:lvlJc w:val="right"/>
      <w:pPr>
        <w:ind w:left="4647" w:hanging="420"/>
      </w:pPr>
    </w:lvl>
    <w:lvl w:ilvl="6" w:tentative="0">
      <w:start w:val="1"/>
      <w:numFmt w:val="decimal"/>
      <w:lvlText w:val="%7."/>
      <w:lvlJc w:val="left"/>
      <w:pPr>
        <w:ind w:left="5067" w:hanging="420"/>
      </w:pPr>
    </w:lvl>
    <w:lvl w:ilvl="7" w:tentative="0">
      <w:start w:val="1"/>
      <w:numFmt w:val="lowerLetter"/>
      <w:lvlText w:val="%8)"/>
      <w:lvlJc w:val="left"/>
      <w:pPr>
        <w:ind w:left="5487" w:hanging="420"/>
      </w:pPr>
    </w:lvl>
    <w:lvl w:ilvl="8" w:tentative="0">
      <w:start w:val="1"/>
      <w:numFmt w:val="lowerRoman"/>
      <w:lvlText w:val="%9."/>
      <w:lvlJc w:val="right"/>
      <w:pPr>
        <w:ind w:left="5907" w:hanging="420"/>
      </w:pPr>
    </w:lvl>
  </w:abstractNum>
  <w:abstractNum w:abstractNumId="4">
    <w:nsid w:val="631E2584"/>
    <w:multiLevelType w:val="singleLevel"/>
    <w:tmpl w:val="631E258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27BB71DF"/>
    <w:rsid w:val="00027D7F"/>
    <w:rsid w:val="000D6E14"/>
    <w:rsid w:val="00116413"/>
    <w:rsid w:val="0016320D"/>
    <w:rsid w:val="001B756D"/>
    <w:rsid w:val="001D4D33"/>
    <w:rsid w:val="00226441"/>
    <w:rsid w:val="00237DAA"/>
    <w:rsid w:val="00280681"/>
    <w:rsid w:val="002A05DF"/>
    <w:rsid w:val="002E68E7"/>
    <w:rsid w:val="00302164"/>
    <w:rsid w:val="00322928"/>
    <w:rsid w:val="003B3301"/>
    <w:rsid w:val="00464205"/>
    <w:rsid w:val="00524D20"/>
    <w:rsid w:val="00592B94"/>
    <w:rsid w:val="005E53F9"/>
    <w:rsid w:val="00601473"/>
    <w:rsid w:val="006020A0"/>
    <w:rsid w:val="00623469"/>
    <w:rsid w:val="00662FE2"/>
    <w:rsid w:val="006B6BD7"/>
    <w:rsid w:val="00741E89"/>
    <w:rsid w:val="007762E5"/>
    <w:rsid w:val="00783AFD"/>
    <w:rsid w:val="007969D8"/>
    <w:rsid w:val="00903DCE"/>
    <w:rsid w:val="0093529C"/>
    <w:rsid w:val="009431BF"/>
    <w:rsid w:val="00980E34"/>
    <w:rsid w:val="009B79D4"/>
    <w:rsid w:val="00A15C57"/>
    <w:rsid w:val="00A67511"/>
    <w:rsid w:val="00A90593"/>
    <w:rsid w:val="00AD0737"/>
    <w:rsid w:val="00AE3CE2"/>
    <w:rsid w:val="00C0728B"/>
    <w:rsid w:val="00C43067"/>
    <w:rsid w:val="00E50F3D"/>
    <w:rsid w:val="00F01A81"/>
    <w:rsid w:val="00F0264F"/>
    <w:rsid w:val="00F55428"/>
    <w:rsid w:val="00F91586"/>
    <w:rsid w:val="00FC0507"/>
    <w:rsid w:val="00FC6897"/>
    <w:rsid w:val="00FD3EFC"/>
    <w:rsid w:val="00FF24D1"/>
    <w:rsid w:val="029C4C09"/>
    <w:rsid w:val="02A641F0"/>
    <w:rsid w:val="02F84417"/>
    <w:rsid w:val="03664F61"/>
    <w:rsid w:val="03C16290"/>
    <w:rsid w:val="04C767C3"/>
    <w:rsid w:val="05833D2F"/>
    <w:rsid w:val="072F66C1"/>
    <w:rsid w:val="07676543"/>
    <w:rsid w:val="0B8C24BB"/>
    <w:rsid w:val="0C47762A"/>
    <w:rsid w:val="0D765770"/>
    <w:rsid w:val="0FD73E75"/>
    <w:rsid w:val="10EB1B6D"/>
    <w:rsid w:val="11FA6640"/>
    <w:rsid w:val="15A90D9F"/>
    <w:rsid w:val="18D32961"/>
    <w:rsid w:val="1A5C6199"/>
    <w:rsid w:val="1CF27F94"/>
    <w:rsid w:val="1E7D3868"/>
    <w:rsid w:val="1FF50063"/>
    <w:rsid w:val="21D11108"/>
    <w:rsid w:val="24C532FB"/>
    <w:rsid w:val="27BB71DF"/>
    <w:rsid w:val="2AD53270"/>
    <w:rsid w:val="2C3C363C"/>
    <w:rsid w:val="2D092567"/>
    <w:rsid w:val="30D85D44"/>
    <w:rsid w:val="3CB3033C"/>
    <w:rsid w:val="3DF87B37"/>
    <w:rsid w:val="42527782"/>
    <w:rsid w:val="45CC4E61"/>
    <w:rsid w:val="482B3035"/>
    <w:rsid w:val="48AB0378"/>
    <w:rsid w:val="4B2A49FB"/>
    <w:rsid w:val="4D806FF1"/>
    <w:rsid w:val="4ED24027"/>
    <w:rsid w:val="507431EB"/>
    <w:rsid w:val="58F43901"/>
    <w:rsid w:val="595F1CF9"/>
    <w:rsid w:val="59CF6619"/>
    <w:rsid w:val="67994770"/>
    <w:rsid w:val="68D93E08"/>
    <w:rsid w:val="696A3FE7"/>
    <w:rsid w:val="6D5F050B"/>
    <w:rsid w:val="6F7A0237"/>
    <w:rsid w:val="70361528"/>
    <w:rsid w:val="70514307"/>
    <w:rsid w:val="777D59E2"/>
    <w:rsid w:val="7862526E"/>
    <w:rsid w:val="7873173F"/>
    <w:rsid w:val="7ABA4BF4"/>
    <w:rsid w:val="7ACB4666"/>
    <w:rsid w:val="7C600E85"/>
    <w:rsid w:val="7F1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5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/>
    </w:pPr>
  </w:style>
  <w:style w:type="paragraph" w:styleId="9">
    <w:name w:val="Body Text"/>
    <w:basedOn w:val="1"/>
    <w:next w:val="10"/>
    <w:link w:val="31"/>
    <w:unhideWhenUsed/>
    <w:qFormat/>
    <w:uiPriority w:val="99"/>
    <w:pPr>
      <w:spacing w:after="120"/>
    </w:pPr>
  </w:style>
  <w:style w:type="paragraph" w:styleId="10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11">
    <w:name w:val="Balloon Text"/>
    <w:basedOn w:val="1"/>
    <w:link w:val="29"/>
    <w:qFormat/>
    <w:uiPriority w:val="0"/>
    <w:rPr>
      <w:sz w:val="18"/>
      <w:szCs w:val="18"/>
    </w:rPr>
  </w:style>
  <w:style w:type="paragraph" w:styleId="12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FollowedHyperlink"/>
    <w:basedOn w:val="17"/>
    <w:qFormat/>
    <w:uiPriority w:val="0"/>
    <w:rPr>
      <w:color w:val="800080"/>
      <w:u w:val="single"/>
    </w:rPr>
  </w:style>
  <w:style w:type="character" w:styleId="19">
    <w:name w:val="Hyperlink"/>
    <w:qFormat/>
    <w:uiPriority w:val="99"/>
    <w:rPr>
      <w:color w:val="0563C1"/>
      <w:u w:val="single"/>
    </w:rPr>
  </w:style>
  <w:style w:type="paragraph" w:customStyle="1" w:styleId="20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2">
    <w:name w:val="页眉 字符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3">
    <w:name w:val="页脚 字符"/>
    <w:basedOn w:val="17"/>
    <w:link w:val="12"/>
    <w:qFormat/>
    <w:uiPriority w:val="0"/>
    <w:rPr>
      <w:kern w:val="2"/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5">
    <w:name w:val="标题 2 Char"/>
    <w:basedOn w:val="1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标题 2 字符"/>
    <w:link w:val="3"/>
    <w:qFormat/>
    <w:locked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">
    <w:name w:val="列表段落 字符"/>
    <w:link w:val="28"/>
    <w:qFormat/>
    <w:uiPriority w:val="34"/>
    <w:rPr>
      <w:kern w:val="2"/>
      <w:sz w:val="21"/>
    </w:rPr>
  </w:style>
  <w:style w:type="paragraph" w:styleId="28">
    <w:name w:val="List Paragraph"/>
    <w:basedOn w:val="1"/>
    <w:link w:val="27"/>
    <w:qFormat/>
    <w:uiPriority w:val="34"/>
    <w:pPr>
      <w:ind w:firstLine="420" w:firstLineChars="200"/>
    </w:pPr>
    <w:rPr>
      <w:szCs w:val="20"/>
    </w:rPr>
  </w:style>
  <w:style w:type="character" w:customStyle="1" w:styleId="29">
    <w:name w:val="批注框文本 字符"/>
    <w:basedOn w:val="17"/>
    <w:link w:val="11"/>
    <w:qFormat/>
    <w:uiPriority w:val="0"/>
    <w:rPr>
      <w:kern w:val="2"/>
      <w:sz w:val="18"/>
      <w:szCs w:val="18"/>
    </w:rPr>
  </w:style>
  <w:style w:type="character" w:customStyle="1" w:styleId="30">
    <w:name w:val="标题 4 字符"/>
    <w:basedOn w:val="1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正文文本 字符"/>
    <w:basedOn w:val="17"/>
    <w:link w:val="9"/>
    <w:autoRedefine/>
    <w:qFormat/>
    <w:uiPriority w:val="99"/>
    <w:rPr>
      <w:kern w:val="2"/>
      <w:sz w:val="21"/>
      <w:szCs w:val="24"/>
    </w:rPr>
  </w:style>
  <w:style w:type="character" w:customStyle="1" w:styleId="32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3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标题 3 字符"/>
    <w:basedOn w:val="17"/>
    <w:link w:val="4"/>
    <w:qFormat/>
    <w:uiPriority w:val="0"/>
    <w:rPr>
      <w:b/>
      <w:bCs/>
      <w:kern w:val="2"/>
      <w:sz w:val="32"/>
      <w:szCs w:val="32"/>
    </w:rPr>
  </w:style>
  <w:style w:type="character" w:customStyle="1" w:styleId="35">
    <w:name w:val="标题 5 字符"/>
    <w:basedOn w:val="17"/>
    <w:link w:val="6"/>
    <w:qFormat/>
    <w:uiPriority w:val="0"/>
    <w:rPr>
      <w:b/>
      <w:bCs/>
      <w:kern w:val="2"/>
      <w:sz w:val="28"/>
      <w:szCs w:val="28"/>
    </w:rPr>
  </w:style>
  <w:style w:type="character" w:customStyle="1" w:styleId="36">
    <w:name w:val="标题 6 字符"/>
    <w:basedOn w:val="17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7">
    <w:name w:val="翼康-正文"/>
    <w:basedOn w:val="1"/>
    <w:qFormat/>
    <w:uiPriority w:val="0"/>
    <w:pPr>
      <w:numPr>
        <w:ilvl w:val="0"/>
        <w:numId w:val="1"/>
      </w:numPr>
      <w:spacing w:line="360" w:lineRule="auto"/>
      <w:ind w:left="210" w:leftChars="100" w:right="100" w:rightChars="100"/>
    </w:pPr>
    <w:rPr>
      <w:rFonts w:ascii="Arial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6692</Words>
  <Characters>9056</Characters>
  <Lines>73</Lines>
  <Paragraphs>20</Paragraphs>
  <TotalTime>44</TotalTime>
  <ScaleCrop>false</ScaleCrop>
  <LinksUpToDate>false</LinksUpToDate>
  <CharactersWithSpaces>9095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2020-03-19T05:34:00Z</dcterms:created>
  <dc:creator>Mad  rabbit</dc:creator>
  <cp:lastModifiedBy>赵杰</cp:lastModifiedBy>
  <cp:lastPrinted>2020-03-19T07:07:00Z</cp:lastPrinted>
  <dcterms:modified xsi:type="dcterms:W3CDTF">2024-07-03T02:50:45Z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3D120799D0934D03BDCBA465D1487B0C_12</vt:lpwstr>
  </property>
</Properties>
</file>