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3C139">
      <w:pPr>
        <w:spacing w:before="624" w:beforeLines="200" w:after="312" w:afterLines="100" w:line="360" w:lineRule="auto"/>
        <w:jc w:val="center"/>
        <w:rPr>
          <w:rFonts w:ascii="宋体" w:hAnsi="宋体"/>
          <w:b/>
          <w:sz w:val="44"/>
          <w:szCs w:val="30"/>
        </w:rPr>
      </w:pPr>
      <w:r>
        <w:rPr>
          <w:rFonts w:hint="eastAsia" w:ascii="宋体" w:hAnsi="宋体"/>
          <w:b/>
          <w:sz w:val="44"/>
          <w:szCs w:val="30"/>
        </w:rPr>
        <w:t>广东省人民医院</w:t>
      </w:r>
    </w:p>
    <w:p w14:paraId="32058EF9">
      <w:pPr>
        <w:jc w:val="center"/>
        <w:rPr>
          <w:rFonts w:ascii="宋体" w:hAnsi="宋体"/>
          <w:b/>
          <w:sz w:val="44"/>
          <w:szCs w:val="30"/>
        </w:rPr>
      </w:pPr>
      <w:r>
        <w:rPr>
          <w:rFonts w:hint="eastAsia" w:ascii="宋体" w:hAnsi="宋体"/>
          <w:b/>
          <w:sz w:val="44"/>
          <w:szCs w:val="30"/>
        </w:rPr>
        <w:t>核心负载均衡设备升级项目（2024年）需求</w:t>
      </w:r>
    </w:p>
    <w:p w14:paraId="31E50708">
      <w:pPr>
        <w:pStyle w:val="2"/>
      </w:pPr>
    </w:p>
    <w:p w14:paraId="1EA8C715">
      <w:pPr>
        <w:pStyle w:val="4"/>
        <w:numPr>
          <w:ilvl w:val="0"/>
          <w:numId w:val="3"/>
        </w:numPr>
        <w:rPr>
          <w:rFonts w:ascii="宋体" w:hAnsi="宋体"/>
        </w:rPr>
      </w:pPr>
      <w:r>
        <w:rPr>
          <w:rFonts w:hint="eastAsia" w:ascii="宋体" w:hAnsi="宋体"/>
        </w:rPr>
        <w:t>项目名称</w:t>
      </w:r>
    </w:p>
    <w:p w14:paraId="683607A8">
      <w:pPr>
        <w:spacing w:line="360" w:lineRule="auto"/>
        <w:ind w:left="432"/>
        <w:rPr>
          <w:rFonts w:ascii="宋体" w:hAnsi="宋体"/>
        </w:rPr>
      </w:pPr>
      <w:r>
        <w:rPr>
          <w:rFonts w:hint="eastAsia" w:ascii="宋体" w:hAnsi="宋体"/>
          <w:sz w:val="22"/>
        </w:rPr>
        <w:t>项目名称：核心负载均衡设备升级项目（2024年）</w:t>
      </w:r>
    </w:p>
    <w:p w14:paraId="2261600C">
      <w:pPr>
        <w:pStyle w:val="4"/>
        <w:numPr>
          <w:ilvl w:val="0"/>
          <w:numId w:val="3"/>
        </w:numPr>
        <w:rPr>
          <w:rFonts w:ascii="宋体" w:hAnsi="宋体"/>
        </w:rPr>
      </w:pPr>
      <w:r>
        <w:rPr>
          <w:rFonts w:hint="eastAsia" w:ascii="宋体" w:hAnsi="宋体"/>
        </w:rPr>
        <w:t>采购清单</w:t>
      </w:r>
    </w:p>
    <w:p w14:paraId="42BA62AB">
      <w:r>
        <w:rPr>
          <w:rFonts w:hint="eastAsia"/>
        </w:rPr>
        <w:t>采购设备及数量如下：</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8"/>
        <w:gridCol w:w="4054"/>
        <w:gridCol w:w="4063"/>
        <w:gridCol w:w="671"/>
      </w:tblGrid>
      <w:tr w14:paraId="75CDE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8" w:type="pct"/>
            <w:vAlign w:val="center"/>
          </w:tcPr>
          <w:p w14:paraId="43FDBC5F">
            <w:pPr>
              <w:jc w:val="center"/>
            </w:pPr>
            <w:r>
              <w:rPr>
                <w:rFonts w:hint="eastAsia"/>
              </w:rPr>
              <w:t>序号</w:t>
            </w:r>
          </w:p>
        </w:tc>
        <w:tc>
          <w:tcPr>
            <w:tcW w:w="2182" w:type="pct"/>
            <w:vAlign w:val="center"/>
          </w:tcPr>
          <w:p w14:paraId="3A325C28">
            <w:pPr>
              <w:jc w:val="center"/>
            </w:pPr>
            <w:r>
              <w:rPr>
                <w:rFonts w:hint="eastAsia"/>
              </w:rPr>
              <w:t>名称</w:t>
            </w:r>
          </w:p>
        </w:tc>
        <w:tc>
          <w:tcPr>
            <w:tcW w:w="2187" w:type="pct"/>
            <w:vAlign w:val="center"/>
          </w:tcPr>
          <w:p w14:paraId="77216595">
            <w:pPr>
              <w:jc w:val="center"/>
            </w:pPr>
            <w:r>
              <w:rPr>
                <w:rFonts w:hint="eastAsia"/>
              </w:rPr>
              <w:t>配置描述</w:t>
            </w:r>
          </w:p>
        </w:tc>
        <w:tc>
          <w:tcPr>
            <w:tcW w:w="361" w:type="pct"/>
            <w:vAlign w:val="center"/>
          </w:tcPr>
          <w:p w14:paraId="3EE05DC8">
            <w:pPr>
              <w:jc w:val="center"/>
            </w:pPr>
            <w:r>
              <w:rPr>
                <w:rFonts w:hint="eastAsia"/>
              </w:rPr>
              <w:t>数量</w:t>
            </w:r>
          </w:p>
        </w:tc>
      </w:tr>
      <w:tr w14:paraId="6663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 w:type="pct"/>
            <w:vAlign w:val="center"/>
          </w:tcPr>
          <w:p w14:paraId="19A940E6">
            <w:pPr>
              <w:jc w:val="center"/>
            </w:pPr>
            <w:r>
              <w:t>1</w:t>
            </w:r>
          </w:p>
        </w:tc>
        <w:tc>
          <w:tcPr>
            <w:tcW w:w="2182" w:type="pct"/>
            <w:vAlign w:val="center"/>
          </w:tcPr>
          <w:p w14:paraId="5B3CEC2F">
            <w:pPr>
              <w:jc w:val="center"/>
            </w:pPr>
            <w:r>
              <w:rPr>
                <w:rFonts w:hint="eastAsia"/>
              </w:rPr>
              <w:t>应用负载均衡设备</w:t>
            </w:r>
          </w:p>
        </w:tc>
        <w:tc>
          <w:tcPr>
            <w:tcW w:w="2187" w:type="pct"/>
          </w:tcPr>
          <w:p w14:paraId="506ED078">
            <w:pPr>
              <w:pStyle w:val="2"/>
            </w:pPr>
            <w:r>
              <w:rPr>
                <w:rFonts w:hint="eastAsia"/>
              </w:rPr>
              <w:t>详看3.1</w:t>
            </w:r>
          </w:p>
        </w:tc>
        <w:tc>
          <w:tcPr>
            <w:tcW w:w="361" w:type="pct"/>
            <w:vAlign w:val="center"/>
          </w:tcPr>
          <w:p w14:paraId="5B778ABF">
            <w:pPr>
              <w:jc w:val="center"/>
              <w:rPr>
                <w:color w:val="000000"/>
                <w:sz w:val="24"/>
              </w:rPr>
            </w:pPr>
            <w:r>
              <w:rPr>
                <w:rFonts w:hint="eastAsia"/>
                <w:color w:val="000000"/>
              </w:rPr>
              <w:t>2台</w:t>
            </w:r>
          </w:p>
        </w:tc>
      </w:tr>
      <w:tr w14:paraId="2A40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 w:type="pct"/>
            <w:vAlign w:val="center"/>
          </w:tcPr>
          <w:p w14:paraId="388F4523">
            <w:pPr>
              <w:jc w:val="center"/>
            </w:pPr>
            <w:r>
              <w:rPr>
                <w:rFonts w:hint="eastAsia"/>
              </w:rPr>
              <w:t>2</w:t>
            </w:r>
          </w:p>
        </w:tc>
        <w:tc>
          <w:tcPr>
            <w:tcW w:w="2182" w:type="pct"/>
            <w:vAlign w:val="center"/>
          </w:tcPr>
          <w:p w14:paraId="2FAEC76E">
            <w:pPr>
              <w:jc w:val="center"/>
            </w:pPr>
            <w:r>
              <w:rPr>
                <w:rFonts w:hint="eastAsia"/>
                <w:lang w:val="en-US" w:eastAsia="zh-CN"/>
              </w:rPr>
              <w:t>原有</w:t>
            </w:r>
            <w:r>
              <w:rPr>
                <w:rFonts w:hint="eastAsia"/>
              </w:rPr>
              <w:t>链路负载升级许可</w:t>
            </w:r>
          </w:p>
        </w:tc>
        <w:tc>
          <w:tcPr>
            <w:tcW w:w="2187" w:type="pct"/>
          </w:tcPr>
          <w:p w14:paraId="22627DAF">
            <w:pPr>
              <w:pStyle w:val="2"/>
            </w:pPr>
            <w:r>
              <w:rPr>
                <w:rFonts w:hint="eastAsia"/>
              </w:rPr>
              <w:t>详看3.2</w:t>
            </w:r>
          </w:p>
        </w:tc>
        <w:tc>
          <w:tcPr>
            <w:tcW w:w="361" w:type="pct"/>
            <w:vAlign w:val="center"/>
          </w:tcPr>
          <w:p w14:paraId="366423E6">
            <w:pPr>
              <w:jc w:val="center"/>
              <w:rPr>
                <w:color w:val="000000"/>
              </w:rPr>
            </w:pPr>
            <w:r>
              <w:rPr>
                <w:rFonts w:hint="eastAsia"/>
                <w:color w:val="000000"/>
              </w:rPr>
              <w:t>2套</w:t>
            </w:r>
          </w:p>
        </w:tc>
      </w:tr>
      <w:tr w14:paraId="3A21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 w:type="pct"/>
            <w:vAlign w:val="center"/>
          </w:tcPr>
          <w:p w14:paraId="7782894D">
            <w:pPr>
              <w:jc w:val="center"/>
            </w:pPr>
            <w:r>
              <w:rPr>
                <w:rFonts w:hint="eastAsia"/>
              </w:rPr>
              <w:t>3</w:t>
            </w:r>
          </w:p>
        </w:tc>
        <w:tc>
          <w:tcPr>
            <w:tcW w:w="2182" w:type="pct"/>
            <w:vAlign w:val="center"/>
          </w:tcPr>
          <w:p w14:paraId="3EF6A94C">
            <w:pPr>
              <w:jc w:val="center"/>
            </w:pPr>
            <w:r>
              <w:rPr>
                <w:rFonts w:hint="eastAsia"/>
              </w:rPr>
              <w:t>集成服务</w:t>
            </w:r>
          </w:p>
        </w:tc>
        <w:tc>
          <w:tcPr>
            <w:tcW w:w="2187" w:type="pct"/>
            <w:vAlign w:val="center"/>
          </w:tcPr>
          <w:p w14:paraId="710BE19B">
            <w:pPr>
              <w:jc w:val="left"/>
            </w:pPr>
            <w:r>
              <w:rPr>
                <w:rFonts w:hint="eastAsia"/>
              </w:rPr>
              <w:t>详看3.3</w:t>
            </w:r>
          </w:p>
        </w:tc>
        <w:tc>
          <w:tcPr>
            <w:tcW w:w="361" w:type="pct"/>
          </w:tcPr>
          <w:p w14:paraId="6829D952">
            <w:pPr>
              <w:pStyle w:val="2"/>
              <w:jc w:val="center"/>
              <w:rPr>
                <w:color w:val="000000"/>
              </w:rPr>
            </w:pPr>
            <w:r>
              <w:rPr>
                <w:rFonts w:hint="eastAsia"/>
                <w:color w:val="000000"/>
              </w:rPr>
              <w:t>1项</w:t>
            </w:r>
          </w:p>
        </w:tc>
      </w:tr>
    </w:tbl>
    <w:p w14:paraId="42650EEE"/>
    <w:p w14:paraId="23D053CA">
      <w:pPr>
        <w:pStyle w:val="4"/>
        <w:numPr>
          <w:ilvl w:val="0"/>
          <w:numId w:val="3"/>
        </w:numPr>
        <w:rPr>
          <w:rFonts w:ascii="宋体" w:hAnsi="宋体"/>
        </w:rPr>
      </w:pPr>
      <w:r>
        <w:rPr>
          <w:rFonts w:hint="eastAsia" w:ascii="宋体" w:hAnsi="宋体"/>
        </w:rPr>
        <w:t>参数要求</w:t>
      </w:r>
    </w:p>
    <w:p w14:paraId="64E0BE72">
      <w:pPr>
        <w:pStyle w:val="5"/>
        <w:numPr>
          <w:ilvl w:val="1"/>
          <w:numId w:val="0"/>
        </w:numPr>
      </w:pPr>
      <w:r>
        <w:rPr>
          <w:rFonts w:hint="eastAsia"/>
        </w:rPr>
        <w:t>3.1应用负载均衡设备参数要求</w:t>
      </w:r>
    </w:p>
    <w:tbl>
      <w:tblPr>
        <w:tblStyle w:val="21"/>
        <w:tblW w:w="930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15"/>
        <w:gridCol w:w="7232"/>
      </w:tblGrid>
      <w:tr w14:paraId="428B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0A21BD70">
            <w:pPr>
              <w:jc w:val="center"/>
            </w:pPr>
            <w:r>
              <w:rPr>
                <w:rFonts w:hint="eastAsia"/>
              </w:rPr>
              <w:t>序号</w:t>
            </w:r>
          </w:p>
        </w:tc>
        <w:tc>
          <w:tcPr>
            <w:tcW w:w="1215" w:type="dxa"/>
            <w:vAlign w:val="center"/>
          </w:tcPr>
          <w:p w14:paraId="2EDA4024">
            <w:pPr>
              <w:jc w:val="center"/>
            </w:pPr>
            <w:r>
              <w:rPr>
                <w:rFonts w:hint="eastAsia"/>
              </w:rPr>
              <w:t>指标</w:t>
            </w:r>
          </w:p>
        </w:tc>
        <w:tc>
          <w:tcPr>
            <w:tcW w:w="7232" w:type="dxa"/>
          </w:tcPr>
          <w:p w14:paraId="4CC95791">
            <w:pPr>
              <w:jc w:val="center"/>
            </w:pPr>
            <w:r>
              <w:rPr>
                <w:rFonts w:hint="eastAsia"/>
              </w:rPr>
              <w:t>要求</w:t>
            </w:r>
          </w:p>
        </w:tc>
      </w:tr>
      <w:tr w14:paraId="7FA9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66BA5BF1">
            <w:pPr>
              <w:jc w:val="center"/>
            </w:pPr>
            <w:r>
              <w:rPr>
                <w:rFonts w:hint="eastAsia"/>
              </w:rPr>
              <w:t>1</w:t>
            </w:r>
          </w:p>
        </w:tc>
        <w:tc>
          <w:tcPr>
            <w:tcW w:w="1215" w:type="dxa"/>
            <w:vMerge w:val="restart"/>
            <w:vAlign w:val="center"/>
          </w:tcPr>
          <w:p w14:paraId="2954F5F4">
            <w:pPr>
              <w:jc w:val="center"/>
            </w:pPr>
            <w:r>
              <w:rPr>
                <w:rFonts w:hint="eastAsia"/>
              </w:rPr>
              <w:t>设备规格</w:t>
            </w:r>
          </w:p>
        </w:tc>
        <w:tc>
          <w:tcPr>
            <w:tcW w:w="7232" w:type="dxa"/>
          </w:tcPr>
          <w:p w14:paraId="3A45ECD4">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硬件参数：</w:t>
            </w:r>
          </w:p>
          <w:p w14:paraId="36AD8932">
            <w:pPr>
              <w:rPr>
                <w:rFonts w:asciiTheme="minorEastAsia" w:hAnsiTheme="minorEastAsia" w:eastAsiaTheme="minorEastAsia"/>
                <w:szCs w:val="21"/>
              </w:rPr>
            </w:pPr>
            <w:r>
              <w:rPr>
                <w:rFonts w:hint="eastAsia" w:asciiTheme="minorEastAsia" w:hAnsiTheme="minorEastAsia" w:eastAsiaTheme="minorEastAsia"/>
                <w:szCs w:val="21"/>
              </w:rPr>
              <w:t>设备规格：≥2U，内存：≥64G，硬盘：≥480G SSD，电源：冗余电源，接口：≥4千兆电口，≥4千兆光口，≥8万兆光口（含多模光模块）。</w:t>
            </w:r>
          </w:p>
        </w:tc>
      </w:tr>
      <w:tr w14:paraId="2A5A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09A55E92">
            <w:pPr>
              <w:jc w:val="center"/>
            </w:pPr>
          </w:p>
        </w:tc>
        <w:tc>
          <w:tcPr>
            <w:tcW w:w="1215" w:type="dxa"/>
            <w:vMerge w:val="continue"/>
            <w:vAlign w:val="center"/>
          </w:tcPr>
          <w:p w14:paraId="2D259505">
            <w:pPr>
              <w:jc w:val="center"/>
            </w:pPr>
          </w:p>
        </w:tc>
        <w:tc>
          <w:tcPr>
            <w:tcW w:w="7232" w:type="dxa"/>
          </w:tcPr>
          <w:p w14:paraId="50809223">
            <w:pPr>
              <w:pStyle w:val="52"/>
              <w:numPr>
                <w:ilvl w:val="0"/>
                <w:numId w:val="4"/>
              </w:numPr>
              <w:ind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性能要求：</w:t>
            </w:r>
          </w:p>
          <w:p w14:paraId="74FDB48C">
            <w:pPr>
              <w:rPr>
                <w:rFonts w:asciiTheme="minorEastAsia" w:hAnsiTheme="minorEastAsia" w:eastAsiaTheme="minorEastAsia"/>
                <w:szCs w:val="21"/>
              </w:rPr>
            </w:pPr>
            <w:bookmarkStart w:id="2" w:name="_GoBack"/>
            <w:bookmarkEnd w:id="2"/>
            <w:r>
              <w:rPr>
                <w:rFonts w:hint="eastAsia" w:asciiTheme="minorEastAsia" w:hAnsiTheme="minorEastAsia" w:eastAsiaTheme="minorEastAsia"/>
                <w:szCs w:val="21"/>
                <w:highlight w:val="none"/>
              </w:rPr>
              <w:t>7层吞吐量：≥50Gbps；</w:t>
            </w:r>
            <w:r>
              <w:rPr>
                <w:rFonts w:hint="eastAsia" w:asciiTheme="minorEastAsia" w:hAnsiTheme="minorEastAsia" w:eastAsiaTheme="minorEastAsia"/>
                <w:szCs w:val="21"/>
                <w:highlight w:val="none"/>
              </w:rPr>
              <w:t>最大并发连接数：≥8000万；新建连接数：≥175万；国密算法吞吐量：≥5.5Gbps；国密算法并发连接数：≥300万。国密算法新建连接数：≥3万；</w:t>
            </w:r>
          </w:p>
        </w:tc>
      </w:tr>
      <w:tr w14:paraId="4EE7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859" w:type="dxa"/>
            <w:vMerge w:val="restart"/>
            <w:vAlign w:val="center"/>
          </w:tcPr>
          <w:p w14:paraId="4F658AA6">
            <w:pPr>
              <w:jc w:val="center"/>
            </w:pPr>
            <w:r>
              <w:rPr>
                <w:rFonts w:hint="eastAsia"/>
              </w:rPr>
              <w:t>2</w:t>
            </w:r>
          </w:p>
        </w:tc>
        <w:tc>
          <w:tcPr>
            <w:tcW w:w="1215" w:type="dxa"/>
            <w:vMerge w:val="restart"/>
            <w:vAlign w:val="center"/>
          </w:tcPr>
          <w:p w14:paraId="2F5EC63F">
            <w:pPr>
              <w:jc w:val="center"/>
            </w:pPr>
            <w:r>
              <w:rPr>
                <w:rFonts w:hint="eastAsia"/>
              </w:rPr>
              <w:t>多合一功能集成</w:t>
            </w:r>
          </w:p>
        </w:tc>
        <w:tc>
          <w:tcPr>
            <w:tcW w:w="7232" w:type="dxa"/>
          </w:tcPr>
          <w:p w14:paraId="5E1D1A2E">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要求单一设备可同时支持包括服务器负载均衡、链路负载均衡和全局负载均衡的功能，支持多个应用和服务器集群，可以根据多种算法和要求分配用户的请求，提供L4/L7内容交换的服务器负载均衡功能。</w:t>
            </w:r>
          </w:p>
        </w:tc>
      </w:tr>
      <w:tr w14:paraId="39BD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859" w:type="dxa"/>
            <w:vMerge w:val="continue"/>
            <w:vAlign w:val="center"/>
          </w:tcPr>
          <w:p w14:paraId="2C396E96">
            <w:pPr>
              <w:jc w:val="center"/>
            </w:pPr>
          </w:p>
        </w:tc>
        <w:tc>
          <w:tcPr>
            <w:tcW w:w="1215" w:type="dxa"/>
            <w:vMerge w:val="continue"/>
            <w:vAlign w:val="center"/>
          </w:tcPr>
          <w:p w14:paraId="387C82AA">
            <w:pPr>
              <w:jc w:val="center"/>
            </w:pPr>
          </w:p>
        </w:tc>
        <w:tc>
          <w:tcPr>
            <w:tcW w:w="7232" w:type="dxa"/>
          </w:tcPr>
          <w:p w14:paraId="528AD438">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要求提供针对多站点业务发布的全局负载均衡功能，通过智能DNS等机制实现内外网用户对多个数据中心的最优接入路径选择</w:t>
            </w:r>
          </w:p>
        </w:tc>
      </w:tr>
      <w:tr w14:paraId="4072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859" w:type="dxa"/>
            <w:vMerge w:val="continue"/>
            <w:vAlign w:val="center"/>
          </w:tcPr>
          <w:p w14:paraId="56720B66">
            <w:pPr>
              <w:jc w:val="center"/>
            </w:pPr>
          </w:p>
        </w:tc>
        <w:tc>
          <w:tcPr>
            <w:tcW w:w="1215" w:type="dxa"/>
            <w:vMerge w:val="continue"/>
            <w:vAlign w:val="center"/>
          </w:tcPr>
          <w:p w14:paraId="440BC897">
            <w:pPr>
              <w:jc w:val="center"/>
            </w:pPr>
          </w:p>
        </w:tc>
        <w:tc>
          <w:tcPr>
            <w:tcW w:w="7232" w:type="dxa"/>
          </w:tcPr>
          <w:p w14:paraId="3D81BCE9">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要求提供针对多条出口线路的链路负载均衡功能，实现inbound和outbound流量的均衡调度，以及链路之间的冗余互备。</w:t>
            </w:r>
          </w:p>
        </w:tc>
      </w:tr>
      <w:tr w14:paraId="71F9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vAlign w:val="center"/>
          </w:tcPr>
          <w:p w14:paraId="4A76E7C2">
            <w:pPr>
              <w:jc w:val="center"/>
            </w:pPr>
            <w:r>
              <w:rPr>
                <w:rFonts w:hint="eastAsia"/>
              </w:rPr>
              <w:t>3</w:t>
            </w:r>
          </w:p>
        </w:tc>
        <w:tc>
          <w:tcPr>
            <w:tcW w:w="1215" w:type="dxa"/>
            <w:vAlign w:val="center"/>
          </w:tcPr>
          <w:p w14:paraId="0BC51ABA">
            <w:pPr>
              <w:jc w:val="center"/>
            </w:pPr>
            <w:r>
              <w:rPr>
                <w:rFonts w:hint="eastAsia"/>
              </w:rPr>
              <w:t>可编程流量控制</w:t>
            </w:r>
          </w:p>
        </w:tc>
        <w:tc>
          <w:tcPr>
            <w:tcW w:w="7232" w:type="dxa"/>
          </w:tcPr>
          <w:p w14:paraId="20AC239F">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要求支持通过编程语言（如lua）实现自定义的流量编排，对IP、TCP、UDP、SSL、HTTP和HTTPS等类型的流量进行分发、修改和统计等操作。</w:t>
            </w:r>
          </w:p>
        </w:tc>
      </w:tr>
      <w:tr w14:paraId="34DE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restart"/>
            <w:vAlign w:val="center"/>
          </w:tcPr>
          <w:p w14:paraId="76A5B5F8">
            <w:pPr>
              <w:jc w:val="center"/>
            </w:pPr>
            <w:r>
              <w:rPr>
                <w:rFonts w:hint="eastAsia"/>
              </w:rPr>
              <w:t>4</w:t>
            </w:r>
          </w:p>
        </w:tc>
        <w:tc>
          <w:tcPr>
            <w:tcW w:w="1215" w:type="dxa"/>
            <w:vMerge w:val="restart"/>
            <w:vAlign w:val="center"/>
          </w:tcPr>
          <w:p w14:paraId="5979205C">
            <w:pPr>
              <w:jc w:val="center"/>
            </w:pPr>
            <w:r>
              <w:rPr>
                <w:rFonts w:hint="eastAsia"/>
              </w:rPr>
              <w:t>国密SSL卸载能力</w:t>
            </w:r>
          </w:p>
        </w:tc>
        <w:tc>
          <w:tcPr>
            <w:tcW w:w="7232" w:type="dxa"/>
            <w:vAlign w:val="center"/>
          </w:tcPr>
          <w:p w14:paraId="4AF177D4">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支持国密SSL算法的单向和双向认证，至少包含以下算法：国密：SM2、SM3、SM4算法。要求投标产品型号提供国家密码局颁发的国密证书。</w:t>
            </w:r>
          </w:p>
        </w:tc>
      </w:tr>
      <w:tr w14:paraId="4BB6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vAlign w:val="center"/>
          </w:tcPr>
          <w:p w14:paraId="7742B0CD">
            <w:pPr>
              <w:jc w:val="center"/>
            </w:pPr>
          </w:p>
        </w:tc>
        <w:tc>
          <w:tcPr>
            <w:tcW w:w="1215" w:type="dxa"/>
            <w:vMerge w:val="continue"/>
            <w:vAlign w:val="center"/>
          </w:tcPr>
          <w:p w14:paraId="4877736A">
            <w:pPr>
              <w:jc w:val="center"/>
            </w:pPr>
          </w:p>
        </w:tc>
        <w:tc>
          <w:tcPr>
            <w:tcW w:w="7232" w:type="dxa"/>
            <w:vAlign w:val="center"/>
          </w:tcPr>
          <w:p w14:paraId="2A58D62A">
            <w:pPr>
              <w:pStyle w:val="52"/>
              <w:numPr>
                <w:ilvl w:val="0"/>
                <w:numId w:val="4"/>
              </w:numPr>
              <w:ind w:firstLine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支持TLS1.3算法，并完整支持对应的TLS1.3_AES_128_GCM_SHA256、TLS1.3_AES_256_GCM_SHA384、TLS1.3_CHACHA20_POLY1305_SHA256、TLS1.3_AES_128_CCM_SHA256、TLS1.3_AES_128_CCM_8_SHA256加密套件。</w:t>
            </w:r>
          </w:p>
        </w:tc>
      </w:tr>
      <w:tr w14:paraId="1CA3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vAlign w:val="center"/>
          </w:tcPr>
          <w:p w14:paraId="077E629D">
            <w:pPr>
              <w:jc w:val="center"/>
            </w:pPr>
          </w:p>
        </w:tc>
        <w:tc>
          <w:tcPr>
            <w:tcW w:w="1215" w:type="dxa"/>
            <w:vMerge w:val="continue"/>
            <w:vAlign w:val="center"/>
          </w:tcPr>
          <w:p w14:paraId="1A2C0122">
            <w:pPr>
              <w:jc w:val="center"/>
            </w:pPr>
          </w:p>
        </w:tc>
        <w:tc>
          <w:tcPr>
            <w:tcW w:w="7232" w:type="dxa"/>
            <w:vAlign w:val="center"/>
          </w:tcPr>
          <w:p w14:paraId="19C8ED42">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支持同一站点（virtual service）同时配置ECDSA、RSA、SM2三个证书功能。</w:t>
            </w:r>
          </w:p>
        </w:tc>
      </w:tr>
      <w:tr w14:paraId="7119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vAlign w:val="center"/>
          </w:tcPr>
          <w:p w14:paraId="146C7584">
            <w:pPr>
              <w:jc w:val="center"/>
            </w:pPr>
          </w:p>
        </w:tc>
        <w:tc>
          <w:tcPr>
            <w:tcW w:w="1215" w:type="dxa"/>
            <w:vMerge w:val="continue"/>
            <w:vAlign w:val="center"/>
          </w:tcPr>
          <w:p w14:paraId="39CD44A3">
            <w:pPr>
              <w:jc w:val="center"/>
            </w:pPr>
          </w:p>
        </w:tc>
        <w:tc>
          <w:tcPr>
            <w:tcW w:w="7232" w:type="dxa"/>
            <w:vAlign w:val="center"/>
          </w:tcPr>
          <w:p w14:paraId="03FB293C">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支持同一服务下的多套证书可以分别设置SSL协议、加密套件以及客户端认证策略，指定ssl加密套件和客户端认证证书的https/ssl健康检查。</w:t>
            </w:r>
          </w:p>
        </w:tc>
      </w:tr>
      <w:tr w14:paraId="5E12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restart"/>
            <w:vAlign w:val="center"/>
          </w:tcPr>
          <w:p w14:paraId="74030E4A">
            <w:pPr>
              <w:jc w:val="center"/>
            </w:pPr>
            <w:r>
              <w:rPr>
                <w:rFonts w:hint="eastAsia"/>
              </w:rPr>
              <w:t>5</w:t>
            </w:r>
          </w:p>
        </w:tc>
        <w:tc>
          <w:tcPr>
            <w:tcW w:w="1215" w:type="dxa"/>
            <w:vMerge w:val="restart"/>
            <w:vAlign w:val="center"/>
          </w:tcPr>
          <w:p w14:paraId="7CEBE1CC">
            <w:pPr>
              <w:jc w:val="center"/>
            </w:pPr>
            <w:r>
              <w:rPr>
                <w:rFonts w:hint="eastAsia"/>
              </w:rPr>
              <w:t>服务器负载均衡</w:t>
            </w:r>
          </w:p>
        </w:tc>
        <w:tc>
          <w:tcPr>
            <w:tcW w:w="7232" w:type="dxa"/>
            <w:vAlign w:val="center"/>
          </w:tcPr>
          <w:p w14:paraId="731337B8">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要求支持轮询、加权轮询、按主机加权轮询、加权最小连接、按主机加权最小连接、动态反馈、最快响应、加权源IP哈希、带宽比例、哈希、首个可用、优先级等算法；（提供设备操作界面截图证明材料）</w:t>
            </w:r>
          </w:p>
        </w:tc>
      </w:tr>
      <w:tr w14:paraId="3805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9" w:type="dxa"/>
            <w:vMerge w:val="continue"/>
            <w:vAlign w:val="center"/>
          </w:tcPr>
          <w:p w14:paraId="36510017">
            <w:pPr>
              <w:jc w:val="center"/>
            </w:pPr>
          </w:p>
        </w:tc>
        <w:tc>
          <w:tcPr>
            <w:tcW w:w="1215" w:type="dxa"/>
            <w:vMerge w:val="continue"/>
            <w:vAlign w:val="center"/>
          </w:tcPr>
          <w:p w14:paraId="209E1468">
            <w:pPr>
              <w:jc w:val="center"/>
            </w:pPr>
          </w:p>
        </w:tc>
        <w:tc>
          <w:tcPr>
            <w:tcW w:w="7232" w:type="dxa"/>
            <w:vAlign w:val="center"/>
          </w:tcPr>
          <w:p w14:paraId="5CF9FF02">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要求具备对可编程脚本语法的校验功能，能够识别出脚本语言是否正确，定位到具体的错误语句，并显示错误原因；</w:t>
            </w:r>
          </w:p>
        </w:tc>
      </w:tr>
      <w:tr w14:paraId="38CD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Merge w:val="continue"/>
            <w:vAlign w:val="center"/>
          </w:tcPr>
          <w:p w14:paraId="44187D4A">
            <w:pPr>
              <w:jc w:val="center"/>
            </w:pPr>
          </w:p>
        </w:tc>
        <w:tc>
          <w:tcPr>
            <w:tcW w:w="1215" w:type="dxa"/>
            <w:vMerge w:val="continue"/>
            <w:vAlign w:val="center"/>
          </w:tcPr>
          <w:p w14:paraId="70805C56">
            <w:pPr>
              <w:jc w:val="center"/>
            </w:pPr>
          </w:p>
        </w:tc>
        <w:tc>
          <w:tcPr>
            <w:tcW w:w="7232" w:type="dxa"/>
            <w:vAlign w:val="center"/>
          </w:tcPr>
          <w:p w14:paraId="6651B337">
            <w:pPr>
              <w:pStyle w:val="52"/>
              <w:numPr>
                <w:ilvl w:val="0"/>
                <w:numId w:val="4"/>
              </w:numPr>
              <w:ind w:firstLine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要求支持基于ORACLE/MSSQL/MYSQL等数据库的探测判断机制；（提供设备操作界面截图证明材料）；</w:t>
            </w:r>
          </w:p>
        </w:tc>
      </w:tr>
      <w:tr w14:paraId="089C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9" w:type="dxa"/>
            <w:vMerge w:val="continue"/>
            <w:vAlign w:val="center"/>
          </w:tcPr>
          <w:p w14:paraId="12536D05">
            <w:pPr>
              <w:jc w:val="center"/>
            </w:pPr>
          </w:p>
        </w:tc>
        <w:tc>
          <w:tcPr>
            <w:tcW w:w="1215" w:type="dxa"/>
            <w:vMerge w:val="continue"/>
            <w:vAlign w:val="center"/>
          </w:tcPr>
          <w:p w14:paraId="1E75970D">
            <w:pPr>
              <w:jc w:val="center"/>
            </w:pPr>
          </w:p>
        </w:tc>
        <w:tc>
          <w:tcPr>
            <w:tcW w:w="7232" w:type="dxa"/>
            <w:vAlign w:val="center"/>
          </w:tcPr>
          <w:p w14:paraId="5DDA351F">
            <w:pPr>
              <w:pStyle w:val="52"/>
              <w:numPr>
                <w:ilvl w:val="0"/>
                <w:numId w:val="4"/>
              </w:numPr>
              <w:ind w:firstLine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为满足后续国产化建设需求，要求支持OceanBase、达梦、人大金仓和TDSQL数据库的负载均衡；</w:t>
            </w:r>
            <w:r>
              <w:rPr>
                <w:rFonts w:asciiTheme="minorEastAsia" w:hAnsiTheme="minorEastAsia" w:eastAsiaTheme="minorEastAsia"/>
                <w:szCs w:val="21"/>
              </w:rPr>
              <w:t xml:space="preserve"> </w:t>
            </w:r>
          </w:p>
        </w:tc>
      </w:tr>
      <w:tr w14:paraId="02B6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vAlign w:val="center"/>
          </w:tcPr>
          <w:p w14:paraId="16660032">
            <w:pPr>
              <w:jc w:val="center"/>
            </w:pPr>
          </w:p>
        </w:tc>
        <w:tc>
          <w:tcPr>
            <w:tcW w:w="1215" w:type="dxa"/>
            <w:vMerge w:val="continue"/>
            <w:vAlign w:val="center"/>
          </w:tcPr>
          <w:p w14:paraId="5FEDA61D">
            <w:pPr>
              <w:jc w:val="center"/>
            </w:pPr>
          </w:p>
        </w:tc>
        <w:tc>
          <w:tcPr>
            <w:tcW w:w="7232" w:type="dxa"/>
            <w:vAlign w:val="center"/>
          </w:tcPr>
          <w:p w14:paraId="4B1BCE6B">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支持模拟健康监测功能，无需完成真实的业务配置即可提前采用icmp、http、https、tcp、ftp、MYSQL、LDAP以及dns等的健康检查方式模拟检查业务的健康状态，并支持基于主机的健康检查功能，实现当主机健康状态异常时，会影响到其关联的每一个节点；</w:t>
            </w:r>
          </w:p>
        </w:tc>
      </w:tr>
      <w:tr w14:paraId="6964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vAlign w:val="center"/>
          </w:tcPr>
          <w:p w14:paraId="55BDC28F">
            <w:pPr>
              <w:jc w:val="center"/>
            </w:pPr>
          </w:p>
        </w:tc>
        <w:tc>
          <w:tcPr>
            <w:tcW w:w="1215" w:type="dxa"/>
            <w:vMerge w:val="continue"/>
            <w:vAlign w:val="center"/>
          </w:tcPr>
          <w:p w14:paraId="6015195B">
            <w:pPr>
              <w:jc w:val="center"/>
            </w:pPr>
          </w:p>
        </w:tc>
        <w:tc>
          <w:tcPr>
            <w:tcW w:w="7232" w:type="dxa"/>
            <w:vAlign w:val="center"/>
          </w:tcPr>
          <w:p w14:paraId="208B0282">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要求支持cookie作用域和作用路径的自定义，节点池配置域名，并可设置指定域名解析间隔时间；</w:t>
            </w:r>
          </w:p>
        </w:tc>
      </w:tr>
      <w:tr w14:paraId="7898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59" w:type="dxa"/>
            <w:vMerge w:val="continue"/>
            <w:vAlign w:val="center"/>
          </w:tcPr>
          <w:p w14:paraId="670EB9B3">
            <w:pPr>
              <w:jc w:val="center"/>
            </w:pPr>
          </w:p>
        </w:tc>
        <w:tc>
          <w:tcPr>
            <w:tcW w:w="1215" w:type="dxa"/>
            <w:vMerge w:val="continue"/>
            <w:vAlign w:val="center"/>
          </w:tcPr>
          <w:p w14:paraId="744D6B12">
            <w:pPr>
              <w:jc w:val="center"/>
            </w:pPr>
          </w:p>
        </w:tc>
        <w:tc>
          <w:tcPr>
            <w:tcW w:w="7232" w:type="dxa"/>
            <w:vAlign w:val="center"/>
          </w:tcPr>
          <w:p w14:paraId="15C2746A">
            <w:pPr>
              <w:pStyle w:val="52"/>
              <w:numPr>
                <w:ilvl w:val="0"/>
                <w:numId w:val="4"/>
              </w:numPr>
              <w:ind w:firstLine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要求支持业务主机设置并发连接限制、新建连接限制和每秒请求限制；（提供设备操作界面截图证明材料）</w:t>
            </w:r>
          </w:p>
        </w:tc>
      </w:tr>
      <w:tr w14:paraId="3A8F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vAlign w:val="center"/>
          </w:tcPr>
          <w:p w14:paraId="11A1F41B">
            <w:pPr>
              <w:jc w:val="center"/>
            </w:pPr>
          </w:p>
        </w:tc>
        <w:tc>
          <w:tcPr>
            <w:tcW w:w="1215" w:type="dxa"/>
            <w:vMerge w:val="continue"/>
            <w:vAlign w:val="center"/>
          </w:tcPr>
          <w:p w14:paraId="2D4D7FC3">
            <w:pPr>
              <w:jc w:val="center"/>
            </w:pPr>
          </w:p>
        </w:tc>
        <w:tc>
          <w:tcPr>
            <w:tcW w:w="7232" w:type="dxa"/>
            <w:vAlign w:val="center"/>
          </w:tcPr>
          <w:p w14:paraId="46EB8934">
            <w:pPr>
              <w:pStyle w:val="52"/>
              <w:numPr>
                <w:ilvl w:val="0"/>
                <w:numId w:val="4"/>
              </w:numPr>
              <w:ind w:firstLine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要求支持节点设置并发连接限制、新建连接限制、每秒请求限制和上下行流量限制；（提供设备操作界面截图证明材料）</w:t>
            </w:r>
          </w:p>
        </w:tc>
      </w:tr>
      <w:tr w14:paraId="75AE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vAlign w:val="center"/>
          </w:tcPr>
          <w:p w14:paraId="1D8FD10C">
            <w:pPr>
              <w:jc w:val="center"/>
            </w:pPr>
          </w:p>
        </w:tc>
        <w:tc>
          <w:tcPr>
            <w:tcW w:w="1215" w:type="dxa"/>
            <w:vMerge w:val="continue"/>
            <w:vAlign w:val="center"/>
          </w:tcPr>
          <w:p w14:paraId="0B5AC307">
            <w:pPr>
              <w:jc w:val="center"/>
            </w:pPr>
          </w:p>
        </w:tc>
        <w:tc>
          <w:tcPr>
            <w:tcW w:w="7232" w:type="dxa"/>
            <w:vAlign w:val="center"/>
          </w:tcPr>
          <w:p w14:paraId="7B3A72A9">
            <w:pPr>
              <w:pStyle w:val="52"/>
              <w:numPr>
                <w:ilvl w:val="0"/>
                <w:numId w:val="4"/>
              </w:numPr>
              <w:ind w:firstLine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要求支持虚拟服务可针对单个IP/IP集设置最大并发和最大新建限制，以及上下行流量限制；提供证明材料。（提供设备操作界面截图证明材料）</w:t>
            </w:r>
          </w:p>
        </w:tc>
      </w:tr>
      <w:tr w14:paraId="648C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vMerge w:val="continue"/>
            <w:vAlign w:val="center"/>
          </w:tcPr>
          <w:p w14:paraId="185FBCDB">
            <w:pPr>
              <w:jc w:val="center"/>
            </w:pPr>
          </w:p>
        </w:tc>
        <w:tc>
          <w:tcPr>
            <w:tcW w:w="1215" w:type="dxa"/>
            <w:vMerge w:val="continue"/>
            <w:vAlign w:val="center"/>
          </w:tcPr>
          <w:p w14:paraId="1905721E">
            <w:pPr>
              <w:jc w:val="center"/>
            </w:pPr>
          </w:p>
        </w:tc>
        <w:tc>
          <w:tcPr>
            <w:tcW w:w="7232" w:type="dxa"/>
            <w:vAlign w:val="center"/>
          </w:tcPr>
          <w:p w14:paraId="4A98903A">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要求支持设置HTTP2的每连接最大流数量，TCP、HTTP的被动健康检查；</w:t>
            </w:r>
            <w:r>
              <w:rPr>
                <w:rFonts w:asciiTheme="minorEastAsia" w:hAnsiTheme="minorEastAsia" w:eastAsiaTheme="minorEastAsia"/>
                <w:szCs w:val="21"/>
              </w:rPr>
              <w:t xml:space="preserve"> </w:t>
            </w:r>
          </w:p>
        </w:tc>
      </w:tr>
      <w:tr w14:paraId="1599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vMerge w:val="continue"/>
            <w:vAlign w:val="center"/>
          </w:tcPr>
          <w:p w14:paraId="6DB95230">
            <w:pPr>
              <w:jc w:val="center"/>
            </w:pPr>
          </w:p>
        </w:tc>
        <w:tc>
          <w:tcPr>
            <w:tcW w:w="1215" w:type="dxa"/>
            <w:vMerge w:val="continue"/>
            <w:vAlign w:val="center"/>
          </w:tcPr>
          <w:p w14:paraId="2C23987A">
            <w:pPr>
              <w:jc w:val="center"/>
            </w:pPr>
          </w:p>
        </w:tc>
        <w:tc>
          <w:tcPr>
            <w:tcW w:w="7232" w:type="dxa"/>
            <w:vAlign w:val="center"/>
          </w:tcPr>
          <w:p w14:paraId="42602D09">
            <w:pPr>
              <w:pStyle w:val="52"/>
              <w:numPr>
                <w:ilvl w:val="0"/>
                <w:numId w:val="4"/>
              </w:numPr>
              <w:ind w:firstLineChars="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要求HTTPS服务及HTTPS健康检查均支持TLS1.3及国密协议；</w:t>
            </w:r>
            <w:r>
              <w:rPr>
                <w:rFonts w:asciiTheme="minorEastAsia" w:hAnsiTheme="minorEastAsia" w:eastAsiaTheme="minorEastAsia"/>
                <w:szCs w:val="21"/>
              </w:rPr>
              <w:t xml:space="preserve"> </w:t>
            </w:r>
          </w:p>
        </w:tc>
      </w:tr>
      <w:tr w14:paraId="13D8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vAlign w:val="center"/>
          </w:tcPr>
          <w:p w14:paraId="03A9CEC8">
            <w:pPr>
              <w:jc w:val="center"/>
            </w:pPr>
            <w:r>
              <w:rPr>
                <w:rFonts w:hint="eastAsia"/>
              </w:rPr>
              <w:t>6</w:t>
            </w:r>
          </w:p>
        </w:tc>
        <w:tc>
          <w:tcPr>
            <w:tcW w:w="1215" w:type="dxa"/>
            <w:vAlign w:val="center"/>
          </w:tcPr>
          <w:p w14:paraId="53BFF5BB">
            <w:pPr>
              <w:jc w:val="center"/>
            </w:pPr>
            <w:r>
              <w:rPr>
                <w:rFonts w:hint="eastAsia"/>
              </w:rPr>
              <w:t>业务可视化</w:t>
            </w:r>
          </w:p>
        </w:tc>
        <w:tc>
          <w:tcPr>
            <w:tcW w:w="7232" w:type="dxa"/>
            <w:vAlign w:val="center"/>
          </w:tcPr>
          <w:p w14:paraId="37030E83">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提供可视化运维管理界面，可通过web方式进行访问，支持开启投屏功能。要求可视化运维管理界面支持查看应用负载情况，包括：查看业务总数、查看节点池数、查看系统吞吐量曲线、系统新建连接曲线、系统并发连接曲线等；支持查看负载均衡设备整体运行状况，包括连续运行天数/CPU使用率和温度/内存使用率/磁盘温度/电源/风扇转速。</w:t>
            </w:r>
          </w:p>
        </w:tc>
      </w:tr>
      <w:tr w14:paraId="1E85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vAlign w:val="center"/>
          </w:tcPr>
          <w:p w14:paraId="2F04812A">
            <w:pPr>
              <w:jc w:val="center"/>
            </w:pPr>
            <w:r>
              <w:rPr>
                <w:rFonts w:hint="eastAsia"/>
              </w:rPr>
              <w:t xml:space="preserve"> 7</w:t>
            </w:r>
          </w:p>
        </w:tc>
        <w:tc>
          <w:tcPr>
            <w:tcW w:w="1215" w:type="dxa"/>
            <w:vAlign w:val="center"/>
          </w:tcPr>
          <w:p w14:paraId="06731629">
            <w:pPr>
              <w:jc w:val="center"/>
            </w:pPr>
            <w:r>
              <w:rPr>
                <w:rFonts w:hint="eastAsia"/>
              </w:rPr>
              <w:t>应用配置和管理模板</w:t>
            </w:r>
          </w:p>
        </w:tc>
        <w:tc>
          <w:tcPr>
            <w:tcW w:w="7232" w:type="dxa"/>
            <w:vAlign w:val="center"/>
          </w:tcPr>
          <w:p w14:paraId="24092254">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要求内置了对主流应用的配置模板，并可导入定制的应用模板。主流应用应至少包括: Weblogic，IIS，SAP、Oracle Application Server、SharePoint、VMware View等。（提供功能截图证明）</w:t>
            </w:r>
          </w:p>
        </w:tc>
      </w:tr>
      <w:tr w14:paraId="25F3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vAlign w:val="center"/>
          </w:tcPr>
          <w:p w14:paraId="6CF2D82B">
            <w:pPr>
              <w:jc w:val="center"/>
            </w:pPr>
            <w:r>
              <w:rPr>
                <w:rFonts w:hint="eastAsia"/>
              </w:rPr>
              <w:t>8</w:t>
            </w:r>
          </w:p>
        </w:tc>
        <w:tc>
          <w:tcPr>
            <w:tcW w:w="1215" w:type="dxa"/>
            <w:vAlign w:val="center"/>
          </w:tcPr>
          <w:p w14:paraId="1394D92A">
            <w:pPr>
              <w:jc w:val="center"/>
            </w:pPr>
            <w:r>
              <w:rPr>
                <w:rFonts w:hint="eastAsia"/>
              </w:rPr>
              <w:t>可编程流量管理</w:t>
            </w:r>
          </w:p>
        </w:tc>
        <w:tc>
          <w:tcPr>
            <w:tcW w:w="7232" w:type="dxa"/>
            <w:vAlign w:val="center"/>
          </w:tcPr>
          <w:p w14:paraId="29215EA9">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要求管理界面提供基于某种编程语言（如TCL语言）自定义的流量控制方法，支持负载均衡、DNS处理、用户认证、NAT、路由转发、会话保持等功能的可编程控制。 支持独立发起旁路（sideband）请求为应用提供应用层流量复制、查询和认证等服务。（提供可编程语言、操作界面截图等证明材料。）</w:t>
            </w:r>
          </w:p>
        </w:tc>
      </w:tr>
      <w:tr w14:paraId="6D6C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vAlign w:val="center"/>
          </w:tcPr>
          <w:p w14:paraId="6D42B50A">
            <w:pPr>
              <w:jc w:val="center"/>
            </w:pPr>
            <w:r>
              <w:rPr>
                <w:rFonts w:hint="eastAsia"/>
              </w:rPr>
              <w:t>9</w:t>
            </w:r>
          </w:p>
        </w:tc>
        <w:tc>
          <w:tcPr>
            <w:tcW w:w="1215" w:type="dxa"/>
            <w:vAlign w:val="center"/>
          </w:tcPr>
          <w:p w14:paraId="642CB19D">
            <w:pPr>
              <w:jc w:val="center"/>
            </w:pPr>
            <w:r>
              <w:rPr>
                <w:rFonts w:hint="eastAsia"/>
              </w:rPr>
              <w:t>售后服务</w:t>
            </w:r>
          </w:p>
        </w:tc>
        <w:tc>
          <w:tcPr>
            <w:tcW w:w="7232" w:type="dxa"/>
            <w:vAlign w:val="center"/>
          </w:tcPr>
          <w:p w14:paraId="0D238D02">
            <w:pPr>
              <w:pStyle w:val="52"/>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要求包含</w:t>
            </w:r>
            <w:r>
              <w:rPr>
                <w:rFonts w:hint="eastAsia" w:asciiTheme="minorEastAsia" w:hAnsiTheme="minorEastAsia" w:eastAsiaTheme="minorEastAsia"/>
                <w:szCs w:val="21"/>
                <w:lang w:val="en-US" w:eastAsia="zh-CN"/>
              </w:rPr>
              <w:t>不少于</w:t>
            </w:r>
            <w:r>
              <w:rPr>
                <w:rFonts w:hint="eastAsia" w:asciiTheme="minorEastAsia" w:hAnsiTheme="minorEastAsia" w:eastAsiaTheme="minorEastAsia"/>
                <w:szCs w:val="21"/>
              </w:rPr>
              <w:t>五年产品质保、五年软件升级，要求供应商提供售后服务承诺函</w:t>
            </w:r>
          </w:p>
        </w:tc>
      </w:tr>
    </w:tbl>
    <w:p w14:paraId="4B67EAFA">
      <w:bookmarkStart w:id="0" w:name="_6.1.1、大数据服务器"/>
      <w:bookmarkEnd w:id="0"/>
    </w:p>
    <w:p w14:paraId="7E61F318">
      <w:pPr>
        <w:pStyle w:val="5"/>
        <w:numPr>
          <w:ilvl w:val="1"/>
          <w:numId w:val="0"/>
        </w:numPr>
      </w:pPr>
      <w:r>
        <w:rPr>
          <w:rFonts w:hint="eastAsia"/>
        </w:rPr>
        <w:t>3.2</w:t>
      </w:r>
      <w:r>
        <w:rPr>
          <w:rFonts w:hint="eastAsia"/>
          <w:lang w:val="en-US" w:eastAsia="zh-CN"/>
        </w:rPr>
        <w:t>原有</w:t>
      </w:r>
      <w:r>
        <w:rPr>
          <w:rFonts w:hint="eastAsia"/>
        </w:rPr>
        <w:t>链路负载升级许可参数要求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984"/>
        <w:gridCol w:w="5895"/>
      </w:tblGrid>
      <w:tr w14:paraId="0A86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tcPr>
          <w:p w14:paraId="66602FDC">
            <w:pPr>
              <w:jc w:val="center"/>
              <w:rPr>
                <w:highlight w:val="none"/>
              </w:rPr>
            </w:pPr>
            <w:r>
              <w:rPr>
                <w:rFonts w:hint="eastAsia"/>
                <w:highlight w:val="none"/>
              </w:rPr>
              <w:t>序号</w:t>
            </w:r>
          </w:p>
        </w:tc>
        <w:tc>
          <w:tcPr>
            <w:tcW w:w="1984" w:type="dxa"/>
          </w:tcPr>
          <w:p w14:paraId="3610349E">
            <w:pPr>
              <w:jc w:val="center"/>
              <w:rPr>
                <w:highlight w:val="none"/>
              </w:rPr>
            </w:pPr>
            <w:r>
              <w:rPr>
                <w:rFonts w:hint="eastAsia"/>
                <w:highlight w:val="none"/>
              </w:rPr>
              <w:t>名称</w:t>
            </w:r>
          </w:p>
        </w:tc>
        <w:tc>
          <w:tcPr>
            <w:tcW w:w="5895" w:type="dxa"/>
          </w:tcPr>
          <w:p w14:paraId="3167087D">
            <w:pPr>
              <w:jc w:val="center"/>
              <w:rPr>
                <w:highlight w:val="none"/>
              </w:rPr>
            </w:pPr>
            <w:r>
              <w:rPr>
                <w:rFonts w:hint="eastAsia"/>
                <w:highlight w:val="none"/>
              </w:rPr>
              <w:t>要求</w:t>
            </w:r>
          </w:p>
        </w:tc>
      </w:tr>
      <w:tr w14:paraId="43FF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14:paraId="0BAE4594">
            <w:pPr>
              <w:widowControl/>
              <w:jc w:val="center"/>
              <w:textAlignment w:val="center"/>
              <w:rPr>
                <w:color w:val="000000"/>
                <w:highlight w:val="none"/>
              </w:rPr>
            </w:pPr>
            <w:r>
              <w:rPr>
                <w:rFonts w:hint="eastAsia"/>
                <w:color w:val="000000"/>
                <w:highlight w:val="none"/>
              </w:rPr>
              <w:t>1</w:t>
            </w:r>
          </w:p>
        </w:tc>
        <w:tc>
          <w:tcPr>
            <w:tcW w:w="1984" w:type="dxa"/>
            <w:vAlign w:val="center"/>
          </w:tcPr>
          <w:p w14:paraId="0AE5A4C0">
            <w:pPr>
              <w:widowControl/>
              <w:jc w:val="center"/>
              <w:textAlignment w:val="center"/>
              <w:rPr>
                <w:color w:val="000000"/>
                <w:highlight w:val="none"/>
              </w:rPr>
            </w:pPr>
            <w:r>
              <w:rPr>
                <w:rFonts w:hint="eastAsia"/>
                <w:color w:val="000000"/>
                <w:highlight w:val="none"/>
              </w:rPr>
              <w:t>升级许可</w:t>
            </w:r>
          </w:p>
        </w:tc>
        <w:tc>
          <w:tcPr>
            <w:tcW w:w="5895" w:type="dxa"/>
            <w:vAlign w:val="center"/>
          </w:tcPr>
          <w:p w14:paraId="79A3AFD3">
            <w:pPr>
              <w:rPr>
                <w:color w:val="000000"/>
                <w:highlight w:val="none"/>
              </w:rPr>
            </w:pPr>
            <w:r>
              <w:rPr>
                <w:rFonts w:hint="eastAsia" w:ascii="宋体" w:hAnsi="宋体"/>
                <w:szCs w:val="21"/>
                <w:highlight w:val="none"/>
              </w:rPr>
              <w:t>提供院方原有互联网出口链路负载均衡设备（AD-1000-B2200）的应用负载授权许可，含一年基础服务，实现应用交付流量智能管理功能（包括安全SSL流量可视、流量智能编排可控、整体网络延迟可降等功能）。</w:t>
            </w:r>
          </w:p>
        </w:tc>
      </w:tr>
    </w:tbl>
    <w:p w14:paraId="05F3E056"/>
    <w:p w14:paraId="4BBEEC0B">
      <w:pPr>
        <w:pStyle w:val="5"/>
        <w:numPr>
          <w:ilvl w:val="1"/>
          <w:numId w:val="0"/>
        </w:numPr>
      </w:pPr>
      <w:r>
        <w:rPr>
          <w:rFonts w:hint="eastAsia"/>
        </w:rPr>
        <w:t>3.3集成服务要求</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7647"/>
      </w:tblGrid>
      <w:tr w14:paraId="6A5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tcPr>
          <w:p w14:paraId="4C55F263">
            <w:pPr>
              <w:jc w:val="center"/>
            </w:pPr>
            <w:r>
              <w:rPr>
                <w:rFonts w:hint="eastAsia"/>
              </w:rPr>
              <w:t>序号</w:t>
            </w:r>
          </w:p>
        </w:tc>
        <w:tc>
          <w:tcPr>
            <w:tcW w:w="7647" w:type="dxa"/>
          </w:tcPr>
          <w:p w14:paraId="3B9197CB">
            <w:pPr>
              <w:jc w:val="center"/>
            </w:pPr>
            <w:r>
              <w:rPr>
                <w:rFonts w:hint="eastAsia"/>
              </w:rPr>
              <w:t>要求</w:t>
            </w:r>
          </w:p>
        </w:tc>
      </w:tr>
      <w:tr w14:paraId="24627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58DB31E7">
            <w:pPr>
              <w:spacing w:line="360" w:lineRule="auto"/>
              <w:jc w:val="center"/>
              <w:rPr>
                <w:rFonts w:ascii="宋体" w:hAnsi="宋体"/>
                <w:szCs w:val="21"/>
              </w:rPr>
            </w:pPr>
            <w:r>
              <w:rPr>
                <w:rFonts w:hint="eastAsia" w:ascii="宋体" w:hAnsi="宋体"/>
                <w:szCs w:val="21"/>
              </w:rPr>
              <w:t>1</w:t>
            </w:r>
          </w:p>
        </w:tc>
        <w:tc>
          <w:tcPr>
            <w:tcW w:w="7647" w:type="dxa"/>
          </w:tcPr>
          <w:p w14:paraId="6A5F0208">
            <w:r>
              <w:rPr>
                <w:rFonts w:hint="eastAsia" w:ascii="宋体" w:hAnsi="宋体"/>
                <w:szCs w:val="21"/>
              </w:rPr>
              <w:t>提供负载均衡业务系统优化服务，供应商应对现有已接入负载均衡系统的业务系统进行策略优化，结合院方业务系统的的实际运行情况，不同业务系统特性，优化算法及策略，实现业务高可用性和资源利用率，输出《优化方案》。</w:t>
            </w:r>
          </w:p>
        </w:tc>
      </w:tr>
      <w:tr w14:paraId="507B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12E226EA">
            <w:pPr>
              <w:spacing w:line="360" w:lineRule="auto"/>
              <w:jc w:val="center"/>
              <w:rPr>
                <w:rFonts w:ascii="宋体" w:hAnsi="宋体"/>
                <w:szCs w:val="21"/>
              </w:rPr>
            </w:pPr>
            <w:r>
              <w:rPr>
                <w:rFonts w:hint="eastAsia" w:ascii="宋体" w:hAnsi="宋体"/>
                <w:szCs w:val="21"/>
              </w:rPr>
              <w:t>2</w:t>
            </w:r>
          </w:p>
        </w:tc>
        <w:tc>
          <w:tcPr>
            <w:tcW w:w="7647" w:type="dxa"/>
          </w:tcPr>
          <w:p w14:paraId="7A74F817">
            <w:r>
              <w:rPr>
                <w:rFonts w:hint="eastAsia" w:ascii="宋体" w:hAnsi="宋体"/>
                <w:szCs w:val="21"/>
              </w:rPr>
              <w:t>提供负载均衡迁移服务，供应商应对现有的负载均衡系统的业务及策略迁移至新购的负载均衡系统，对现有负载均衡系统设备信息、业务系统、策略、环境情况进行调研，结合调研分析结果与医院实际业务需求进行规划和修改，输出《调研报告》与《平滑迁移实施方案》。</w:t>
            </w:r>
          </w:p>
        </w:tc>
      </w:tr>
      <w:tr w14:paraId="3E07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32B9A662">
            <w:pPr>
              <w:pStyle w:val="2"/>
              <w:spacing w:line="360" w:lineRule="auto"/>
              <w:jc w:val="center"/>
              <w:rPr>
                <w:rFonts w:ascii="宋体" w:hAnsi="宋体"/>
                <w:szCs w:val="21"/>
              </w:rPr>
            </w:pPr>
            <w:r>
              <w:rPr>
                <w:rFonts w:hint="eastAsia" w:ascii="宋体" w:hAnsi="宋体"/>
                <w:szCs w:val="21"/>
              </w:rPr>
              <w:t>3</w:t>
            </w:r>
          </w:p>
        </w:tc>
        <w:tc>
          <w:tcPr>
            <w:tcW w:w="7647" w:type="dxa"/>
          </w:tcPr>
          <w:p w14:paraId="76B81AEF">
            <w:r>
              <w:rPr>
                <w:rFonts w:hint="eastAsia" w:ascii="宋体" w:hAnsi="宋体"/>
                <w:szCs w:val="21"/>
              </w:rPr>
              <w:t>提供负载均衡设备上架安装工作，包括新购设备上架、加电、线路连接、理线、打标签等服务。</w:t>
            </w:r>
          </w:p>
        </w:tc>
      </w:tr>
      <w:tr w14:paraId="45878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4434B470">
            <w:pPr>
              <w:pStyle w:val="2"/>
              <w:spacing w:line="360" w:lineRule="auto"/>
              <w:jc w:val="center"/>
              <w:rPr>
                <w:szCs w:val="21"/>
              </w:rPr>
            </w:pPr>
            <w:r>
              <w:rPr>
                <w:rFonts w:hint="eastAsia" w:ascii="宋体" w:hAnsi="宋体"/>
                <w:szCs w:val="21"/>
              </w:rPr>
              <w:t>4</w:t>
            </w:r>
          </w:p>
        </w:tc>
        <w:tc>
          <w:tcPr>
            <w:tcW w:w="7647" w:type="dxa"/>
          </w:tcPr>
          <w:p w14:paraId="73F8E9DD">
            <w:r>
              <w:rPr>
                <w:rFonts w:hint="eastAsia"/>
                <w:szCs w:val="21"/>
              </w:rPr>
              <w:t>提供负载均衡设备集群调试工作，包括网络调试、设备配置、集群调试，实现系统调试，资源优化和容错性，输出《实施报告》。</w:t>
            </w:r>
          </w:p>
        </w:tc>
      </w:tr>
      <w:tr w14:paraId="148C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43F48AE9">
            <w:pPr>
              <w:pStyle w:val="2"/>
              <w:spacing w:line="360" w:lineRule="auto"/>
              <w:jc w:val="center"/>
              <w:rPr>
                <w:rFonts w:ascii="宋体" w:hAnsi="宋体"/>
                <w:szCs w:val="21"/>
              </w:rPr>
            </w:pPr>
            <w:r>
              <w:rPr>
                <w:rFonts w:hint="eastAsia" w:ascii="宋体" w:hAnsi="宋体"/>
                <w:szCs w:val="21"/>
              </w:rPr>
              <w:t>5</w:t>
            </w:r>
          </w:p>
        </w:tc>
        <w:tc>
          <w:tcPr>
            <w:tcW w:w="7647" w:type="dxa"/>
          </w:tcPr>
          <w:p w14:paraId="22F7BE9D">
            <w:r>
              <w:rPr>
                <w:rFonts w:hint="eastAsia" w:ascii="宋体" w:hAnsi="宋体"/>
                <w:szCs w:val="21"/>
              </w:rPr>
              <w:t>项目实施更换过程中不能影响机房内其它设备正常运行，以及医院其它科室的正常运转，项目实施前，供应商必须做好相应计划和回退方案，并与用户充分沟通，友好协商并达成一致意见，由于实施不当造成的损失由供应商负责并承担损失。</w:t>
            </w:r>
          </w:p>
        </w:tc>
      </w:tr>
      <w:tr w14:paraId="55B7A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2B0AEECD">
            <w:pPr>
              <w:pStyle w:val="2"/>
              <w:spacing w:line="360" w:lineRule="auto"/>
              <w:jc w:val="center"/>
              <w:rPr>
                <w:rFonts w:ascii="宋体" w:hAnsi="宋体"/>
                <w:szCs w:val="21"/>
              </w:rPr>
            </w:pPr>
            <w:r>
              <w:rPr>
                <w:rFonts w:hint="eastAsia" w:ascii="宋体" w:hAnsi="宋体"/>
                <w:szCs w:val="21"/>
              </w:rPr>
              <w:t>6</w:t>
            </w:r>
          </w:p>
        </w:tc>
        <w:tc>
          <w:tcPr>
            <w:tcW w:w="7647" w:type="dxa"/>
          </w:tcPr>
          <w:p w14:paraId="43449FAD">
            <w:r>
              <w:rPr>
                <w:rFonts w:hint="eastAsia" w:ascii="宋体" w:hAnsi="宋体"/>
                <w:szCs w:val="21"/>
              </w:rPr>
              <w:t>提供至少2名原厂工程师现场实施工作，保障业务顺利迁移，提供原厂承诺函。</w:t>
            </w:r>
          </w:p>
        </w:tc>
      </w:tr>
      <w:tr w14:paraId="59ED7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1FE110E8">
            <w:pPr>
              <w:pStyle w:val="2"/>
              <w:spacing w:line="360" w:lineRule="auto"/>
              <w:jc w:val="center"/>
              <w:rPr>
                <w:szCs w:val="21"/>
              </w:rPr>
            </w:pPr>
            <w:r>
              <w:rPr>
                <w:rFonts w:hint="eastAsia"/>
                <w:szCs w:val="21"/>
              </w:rPr>
              <w:t>7</w:t>
            </w:r>
          </w:p>
        </w:tc>
        <w:tc>
          <w:tcPr>
            <w:tcW w:w="7647" w:type="dxa"/>
          </w:tcPr>
          <w:p w14:paraId="693E9C88">
            <w:r>
              <w:rPr>
                <w:rFonts w:hint="eastAsia"/>
                <w:szCs w:val="21"/>
              </w:rPr>
              <w:t>提供至少2人天原厂培训，提高院方运维工程师人员技术水平，提供培训教材，包含中英文，提供原厂承诺函。</w:t>
            </w:r>
          </w:p>
        </w:tc>
      </w:tr>
      <w:tr w14:paraId="6E021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11DFD2F1">
            <w:pPr>
              <w:pStyle w:val="3"/>
            </w:pPr>
            <w:r>
              <w:rPr>
                <w:rFonts w:hint="eastAsia"/>
              </w:rPr>
              <w:t>8</w:t>
            </w:r>
          </w:p>
        </w:tc>
        <w:tc>
          <w:tcPr>
            <w:tcW w:w="7647" w:type="dxa"/>
          </w:tcPr>
          <w:p w14:paraId="479E8CD2">
            <w:r>
              <w:rPr>
                <w:rFonts w:hint="eastAsia"/>
                <w:szCs w:val="21"/>
              </w:rPr>
              <w:t>提供巡检服务，根据院方需求，为院方制定巡检计划，每季度定期对系统进行检查、维护、诊断，及时发现问题隐患，并进行反馈，通过系统调整等手段，保持系统稳定、高效地运行，输出《巡检方案》和《巡检报告》。</w:t>
            </w:r>
          </w:p>
        </w:tc>
      </w:tr>
      <w:tr w14:paraId="57159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69BBA7CC">
            <w:pPr>
              <w:pStyle w:val="3"/>
            </w:pPr>
            <w:r>
              <w:rPr>
                <w:rFonts w:hint="eastAsia"/>
              </w:rPr>
              <w:t>9</w:t>
            </w:r>
          </w:p>
        </w:tc>
        <w:tc>
          <w:tcPr>
            <w:tcW w:w="7647" w:type="dxa"/>
          </w:tcPr>
          <w:p w14:paraId="776E258A">
            <w:r>
              <w:rPr>
                <w:rFonts w:hint="eastAsia"/>
                <w:szCs w:val="21"/>
              </w:rPr>
              <w:t>提供5年整体项目服务，服务范围包括不限于：项目集成实施、原厂技术咨询及配置服务、软硬件安装调试、系统优化、故障处理、技术培训、配件更换、免费升级、400远程电话和邮件技术支持服务。</w:t>
            </w:r>
          </w:p>
        </w:tc>
      </w:tr>
      <w:tr w14:paraId="2BEC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62460D94">
            <w:pPr>
              <w:pStyle w:val="3"/>
            </w:pPr>
            <w:r>
              <w:rPr>
                <w:rFonts w:hint="eastAsia"/>
              </w:rPr>
              <w:t>10</w:t>
            </w:r>
          </w:p>
        </w:tc>
        <w:tc>
          <w:tcPr>
            <w:tcW w:w="7647" w:type="dxa"/>
          </w:tcPr>
          <w:p w14:paraId="03AB0D5D">
            <w:r>
              <w:rPr>
                <w:rFonts w:hint="eastAsia"/>
                <w:szCs w:val="21"/>
              </w:rPr>
              <w:t>为院方提供负载均衡设备的国密升级改造建议，协助核心业务系统符合国密升级改造工作。</w:t>
            </w:r>
          </w:p>
        </w:tc>
      </w:tr>
      <w:tr w14:paraId="3CADE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3DB739D3">
            <w:pPr>
              <w:pStyle w:val="3"/>
            </w:pPr>
            <w:r>
              <w:rPr>
                <w:rFonts w:hint="eastAsia"/>
              </w:rPr>
              <w:t>11</w:t>
            </w:r>
          </w:p>
        </w:tc>
        <w:tc>
          <w:tcPr>
            <w:tcW w:w="7647" w:type="dxa"/>
          </w:tcPr>
          <w:p w14:paraId="4329C3A0">
            <w:r>
              <w:rPr>
                <w:rFonts w:hint="eastAsia"/>
                <w:szCs w:val="21"/>
              </w:rPr>
              <w:t>为简化运维管理，提高IT管理人员运维效率，负载均衡设备要求提供可视化运维管理界面，可通过web方式进行访问，支持开启投屏功能。要求可视化运维管理界面支持查看应用负载情况，包括：查看业务总数、查看节点池数、查看系统吞吐量曲线、系统新建连接曲线、系统并发连接曲线等；支持查看负载均衡设备整体运行状况，包括连续运行天数/CPU使用率和温度/内存使用率/磁盘温度/电源/风扇转速。</w:t>
            </w:r>
          </w:p>
        </w:tc>
      </w:tr>
      <w:tr w14:paraId="579F0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264D23E0">
            <w:pPr>
              <w:pStyle w:val="3"/>
            </w:pPr>
            <w:r>
              <w:rPr>
                <w:rFonts w:hint="eastAsia"/>
              </w:rPr>
              <w:t>12</w:t>
            </w:r>
          </w:p>
        </w:tc>
        <w:tc>
          <w:tcPr>
            <w:tcW w:w="7647" w:type="dxa"/>
          </w:tcPr>
          <w:p w14:paraId="2707C88D">
            <w:r>
              <w:rPr>
                <w:rFonts w:hint="eastAsia"/>
                <w:szCs w:val="21"/>
              </w:rPr>
              <w:t>签订合同前，院方有权按照响应参数及功能对所供应产品的技术参数做测试鉴定，如不能满足要求，视为虚假响应，院方将追究所有责任，供应商需承担一切后果。</w:t>
            </w:r>
          </w:p>
        </w:tc>
      </w:tr>
      <w:tr w14:paraId="7C58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572761DB">
            <w:pPr>
              <w:pStyle w:val="3"/>
            </w:pPr>
            <w:r>
              <w:rPr>
                <w:rFonts w:hint="eastAsia"/>
              </w:rPr>
              <w:t>13</w:t>
            </w:r>
          </w:p>
        </w:tc>
        <w:tc>
          <w:tcPr>
            <w:tcW w:w="7647" w:type="dxa"/>
          </w:tcPr>
          <w:p w14:paraId="08C65A3A">
            <w:r>
              <w:rPr>
                <w:rFonts w:hint="eastAsia"/>
                <w:szCs w:val="21"/>
              </w:rPr>
              <w:t>为保障本次项目按期顺利进项，本次项目需在签订合同后30天内到货，120天内完成所有软硬件产品的安装调试，确保系统正常运行，承诺因为供应商无法按期到货或无法按期完成安装调试，给院方造成的一切损失由供应商承担。供应商提供承诺函。</w:t>
            </w:r>
          </w:p>
        </w:tc>
      </w:tr>
    </w:tbl>
    <w:p w14:paraId="0A12C622"/>
    <w:p w14:paraId="3AF8F1EE">
      <w:pPr>
        <w:pStyle w:val="2"/>
        <w:jc w:val="both"/>
      </w:pPr>
      <w:bookmarkStart w:id="1" w:name="_6.1.2、容器服务器"/>
      <w:bookmarkEnd w:id="1"/>
    </w:p>
    <w:p w14:paraId="637C7559">
      <w:pPr>
        <w:pStyle w:val="4"/>
        <w:numPr>
          <w:ilvl w:val="0"/>
          <w:numId w:val="3"/>
        </w:numPr>
        <w:rPr>
          <w:rFonts w:ascii="宋体" w:hAnsi="宋体"/>
        </w:rPr>
      </w:pPr>
      <w:r>
        <w:rPr>
          <w:rFonts w:hint="eastAsia" w:ascii="宋体" w:hAnsi="宋体"/>
        </w:rPr>
        <w:t>保修要求</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1984"/>
        <w:gridCol w:w="5663"/>
      </w:tblGrid>
      <w:tr w14:paraId="5AA33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tcPr>
          <w:p w14:paraId="18E65EC0">
            <w:pPr>
              <w:jc w:val="center"/>
            </w:pPr>
            <w:r>
              <w:rPr>
                <w:rFonts w:hint="eastAsia"/>
              </w:rPr>
              <w:t>序号</w:t>
            </w:r>
          </w:p>
        </w:tc>
        <w:tc>
          <w:tcPr>
            <w:tcW w:w="1984" w:type="dxa"/>
          </w:tcPr>
          <w:p w14:paraId="20B983C5">
            <w:pPr>
              <w:jc w:val="center"/>
            </w:pPr>
            <w:r>
              <w:rPr>
                <w:rFonts w:hint="eastAsia"/>
              </w:rPr>
              <w:t>指标</w:t>
            </w:r>
          </w:p>
        </w:tc>
        <w:tc>
          <w:tcPr>
            <w:tcW w:w="5663" w:type="dxa"/>
          </w:tcPr>
          <w:p w14:paraId="2C5C0B07">
            <w:pPr>
              <w:jc w:val="center"/>
            </w:pPr>
            <w:r>
              <w:rPr>
                <w:rFonts w:hint="eastAsia"/>
              </w:rPr>
              <w:t>详细要求</w:t>
            </w:r>
          </w:p>
        </w:tc>
      </w:tr>
      <w:tr w14:paraId="4D580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restart"/>
            <w:vAlign w:val="center"/>
          </w:tcPr>
          <w:p w14:paraId="7BC0D874">
            <w:pPr>
              <w:jc w:val="center"/>
            </w:pPr>
            <w:r>
              <w:rPr>
                <w:rFonts w:hint="eastAsia"/>
                <w:lang w:val="en-US" w:eastAsia="zh-CN"/>
              </w:rPr>
              <w:t>1</w:t>
            </w:r>
          </w:p>
        </w:tc>
        <w:tc>
          <w:tcPr>
            <w:tcW w:w="1984" w:type="dxa"/>
            <w:vMerge w:val="restart"/>
            <w:vAlign w:val="center"/>
          </w:tcPr>
          <w:p w14:paraId="302B8BD4">
            <w:pPr>
              <w:jc w:val="center"/>
            </w:pPr>
            <w:r>
              <w:rPr>
                <w:rFonts w:hint="eastAsia"/>
              </w:rPr>
              <w:t>服务内容</w:t>
            </w:r>
          </w:p>
        </w:tc>
        <w:tc>
          <w:tcPr>
            <w:tcW w:w="5663" w:type="dxa"/>
          </w:tcPr>
          <w:p w14:paraId="2709B6DC">
            <w:pPr>
              <w:spacing w:line="360" w:lineRule="auto"/>
              <w:ind w:firstLine="0"/>
              <w:rPr>
                <w:rFonts w:ascii="宋体" w:hAnsi="宋体"/>
                <w:bCs/>
                <w:sz w:val="24"/>
              </w:rPr>
            </w:pPr>
            <w:r>
              <w:rPr>
                <w:rFonts w:hint="eastAsia" w:ascii="宋体" w:hAnsi="宋体"/>
                <w:bCs/>
                <w:sz w:val="24"/>
              </w:rPr>
              <w:t>保修期内技术服务:</w:t>
            </w:r>
          </w:p>
          <w:p w14:paraId="1D8AED90">
            <w:pPr>
              <w:spacing w:line="360" w:lineRule="auto"/>
              <w:ind w:firstLine="420"/>
              <w:rPr>
                <w:rFonts w:ascii="宋体" w:hAnsi="宋体" w:cs="宋体"/>
                <w:szCs w:val="21"/>
              </w:rPr>
            </w:pPr>
            <w:r>
              <w:rPr>
                <w:rFonts w:hint="eastAsia" w:ascii="宋体" w:hAnsi="宋体" w:cs="宋体"/>
                <w:szCs w:val="21"/>
              </w:rPr>
              <w:t>在保修期内，提供的设备均按照医院的实际生产需要进行安装、调试，优化，无次数限制。在系统的硬件及软件安装完成并经买卖双方签字验收之日起开始计算保修期。主机产品的保修：保修期内所有费用由供应商和厂商承担。</w:t>
            </w:r>
          </w:p>
        </w:tc>
      </w:tr>
      <w:tr w14:paraId="4E144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14:paraId="17EEBD5C">
            <w:pPr>
              <w:jc w:val="center"/>
            </w:pPr>
          </w:p>
        </w:tc>
        <w:tc>
          <w:tcPr>
            <w:tcW w:w="1984" w:type="dxa"/>
            <w:vMerge w:val="continue"/>
            <w:vAlign w:val="center"/>
          </w:tcPr>
          <w:p w14:paraId="41C1D44C">
            <w:pPr>
              <w:jc w:val="center"/>
            </w:pPr>
          </w:p>
        </w:tc>
        <w:tc>
          <w:tcPr>
            <w:tcW w:w="5663" w:type="dxa"/>
          </w:tcPr>
          <w:p w14:paraId="5E14DD3F">
            <w:pPr>
              <w:spacing w:line="360" w:lineRule="auto"/>
              <w:rPr>
                <w:rFonts w:ascii="宋体" w:hAnsi="宋体"/>
                <w:bCs/>
                <w:sz w:val="24"/>
              </w:rPr>
            </w:pPr>
            <w:r>
              <w:rPr>
                <w:rFonts w:hint="eastAsia" w:ascii="宋体" w:hAnsi="宋体"/>
                <w:bCs/>
                <w:sz w:val="24"/>
              </w:rPr>
              <w:t>保修期外技术服务:</w:t>
            </w:r>
          </w:p>
          <w:p w14:paraId="7582CEE6">
            <w:pPr>
              <w:spacing w:line="360" w:lineRule="auto"/>
              <w:ind w:firstLine="420"/>
              <w:rPr>
                <w:rFonts w:ascii="宋体" w:hAnsi="宋体" w:cs="宋体"/>
                <w:szCs w:val="21"/>
              </w:rPr>
            </w:pPr>
            <w:r>
              <w:rPr>
                <w:rFonts w:hint="eastAsia" w:ascii="宋体" w:hAnsi="宋体" w:cs="宋体"/>
                <w:szCs w:val="21"/>
              </w:rPr>
              <w:t>在保修期结束之后，提供维修服务，服务质量与保修期内相同。保修期外的维护费用，只收取更换的零配件的成本费，无需另收安装调试费用。</w:t>
            </w:r>
          </w:p>
        </w:tc>
      </w:tr>
      <w:tr w14:paraId="05E95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14:paraId="2EE8B27A">
            <w:pPr>
              <w:jc w:val="center"/>
            </w:pPr>
          </w:p>
        </w:tc>
        <w:tc>
          <w:tcPr>
            <w:tcW w:w="1984" w:type="dxa"/>
            <w:vMerge w:val="continue"/>
            <w:vAlign w:val="center"/>
          </w:tcPr>
          <w:p w14:paraId="78D28CDD">
            <w:pPr>
              <w:jc w:val="center"/>
            </w:pPr>
          </w:p>
        </w:tc>
        <w:tc>
          <w:tcPr>
            <w:tcW w:w="5663" w:type="dxa"/>
          </w:tcPr>
          <w:p w14:paraId="6F5188C4">
            <w:pPr>
              <w:spacing w:line="360" w:lineRule="auto"/>
              <w:rPr>
                <w:rFonts w:ascii="宋体" w:hAnsi="宋体"/>
                <w:bCs/>
                <w:sz w:val="24"/>
              </w:rPr>
            </w:pPr>
            <w:r>
              <w:rPr>
                <w:rFonts w:hint="eastAsia" w:ascii="宋体" w:hAnsi="宋体"/>
                <w:bCs/>
                <w:sz w:val="24"/>
              </w:rPr>
              <w:t>季度巡检服务：</w:t>
            </w:r>
          </w:p>
          <w:p w14:paraId="4C0FFD39">
            <w:pPr>
              <w:spacing w:line="360" w:lineRule="auto"/>
              <w:ind w:firstLine="420"/>
              <w:rPr>
                <w:rFonts w:ascii="宋体" w:hAnsi="宋体" w:cs="宋体"/>
                <w:szCs w:val="21"/>
              </w:rPr>
            </w:pPr>
            <w:r>
              <w:rPr>
                <w:rFonts w:hint="eastAsia" w:ascii="宋体" w:hAnsi="宋体" w:cs="宋体"/>
                <w:szCs w:val="21"/>
              </w:rPr>
              <w:t>预防性维护：为了保证设备正常运行，每季度定期对提供给院方的硬件设备进行常规性的检查、调试和清理工作。预防性维护的次数由根据设备规范而定（也可以根据医院实际情况而定）。</w:t>
            </w:r>
          </w:p>
          <w:p w14:paraId="62700C19">
            <w:pPr>
              <w:spacing w:line="360" w:lineRule="auto"/>
              <w:ind w:firstLine="420"/>
              <w:rPr>
                <w:rFonts w:ascii="宋体" w:hAnsi="宋体" w:cs="宋体"/>
                <w:szCs w:val="21"/>
              </w:rPr>
            </w:pPr>
            <w:r>
              <w:rPr>
                <w:rFonts w:hint="eastAsia" w:ascii="宋体" w:hAnsi="宋体" w:cs="宋体"/>
                <w:szCs w:val="21"/>
              </w:rPr>
              <w:t>排除故障：如果院方设备不能运转，在接到要求排除故障通知之后24小时之内派出工程师到现场查明原因，并排除故障。在保修内，将免费更换属于正常操作引起的设备损坏。在保修期外，将协调与有关部门的工作，尽量满足院方的实际需求。</w:t>
            </w:r>
          </w:p>
        </w:tc>
      </w:tr>
      <w:tr w14:paraId="23C9D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14:paraId="071A545E">
            <w:pPr>
              <w:jc w:val="center"/>
            </w:pPr>
          </w:p>
        </w:tc>
        <w:tc>
          <w:tcPr>
            <w:tcW w:w="1984" w:type="dxa"/>
            <w:vMerge w:val="continue"/>
            <w:vAlign w:val="center"/>
          </w:tcPr>
          <w:p w14:paraId="5A55806A">
            <w:pPr>
              <w:jc w:val="center"/>
            </w:pPr>
          </w:p>
        </w:tc>
        <w:tc>
          <w:tcPr>
            <w:tcW w:w="5663" w:type="dxa"/>
          </w:tcPr>
          <w:p w14:paraId="012942A0">
            <w:pPr>
              <w:spacing w:line="360" w:lineRule="auto"/>
              <w:rPr>
                <w:rFonts w:ascii="宋体" w:hAnsi="宋体"/>
                <w:bCs/>
                <w:sz w:val="24"/>
              </w:rPr>
            </w:pPr>
            <w:r>
              <w:rPr>
                <w:rFonts w:hint="eastAsia" w:ascii="宋体" w:hAnsi="宋体"/>
                <w:bCs/>
                <w:sz w:val="24"/>
              </w:rPr>
              <w:t>系统软件维护：</w:t>
            </w:r>
          </w:p>
          <w:p w14:paraId="5D64AF42">
            <w:pPr>
              <w:spacing w:line="360" w:lineRule="auto"/>
              <w:ind w:firstLine="420"/>
              <w:rPr>
                <w:rFonts w:ascii="宋体" w:hAnsi="宋体" w:cs="宋体"/>
                <w:szCs w:val="21"/>
              </w:rPr>
            </w:pPr>
            <w:r>
              <w:rPr>
                <w:rFonts w:hint="eastAsia" w:ascii="宋体" w:hAnsi="宋体" w:cs="宋体"/>
                <w:szCs w:val="21"/>
              </w:rPr>
              <w:t>提供软件修正，以解决系统出现的问题。</w:t>
            </w:r>
          </w:p>
          <w:p w14:paraId="15023588">
            <w:pPr>
              <w:spacing w:line="360" w:lineRule="auto"/>
              <w:ind w:firstLine="420"/>
              <w:rPr>
                <w:rFonts w:ascii="宋体" w:hAnsi="宋体" w:cs="宋体"/>
                <w:szCs w:val="21"/>
              </w:rPr>
            </w:pPr>
            <w:r>
              <w:rPr>
                <w:rFonts w:hint="eastAsia" w:ascii="宋体" w:hAnsi="宋体" w:cs="宋体"/>
                <w:szCs w:val="21"/>
              </w:rPr>
              <w:t>调整系统参数，使之优化。</w:t>
            </w:r>
          </w:p>
          <w:p w14:paraId="2A66BE74">
            <w:pPr>
              <w:spacing w:line="360" w:lineRule="auto"/>
              <w:ind w:firstLine="420"/>
              <w:rPr>
                <w:rFonts w:ascii="宋体" w:hAnsi="宋体" w:cs="宋体"/>
                <w:szCs w:val="21"/>
              </w:rPr>
            </w:pPr>
            <w:r>
              <w:rPr>
                <w:rFonts w:hint="eastAsia" w:ascii="宋体" w:hAnsi="宋体" w:cs="宋体"/>
                <w:szCs w:val="21"/>
              </w:rPr>
              <w:t>系统升级，当厂商推出新的高版本的产品时，会根据院方的实际需进行有选择的推荐，并负责安装、调试。</w:t>
            </w:r>
          </w:p>
        </w:tc>
      </w:tr>
      <w:tr w14:paraId="45A0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14:paraId="1019215F">
            <w:pPr>
              <w:jc w:val="center"/>
            </w:pPr>
          </w:p>
        </w:tc>
        <w:tc>
          <w:tcPr>
            <w:tcW w:w="1984" w:type="dxa"/>
            <w:vMerge w:val="continue"/>
            <w:vAlign w:val="center"/>
          </w:tcPr>
          <w:p w14:paraId="26DCE89B">
            <w:pPr>
              <w:jc w:val="center"/>
            </w:pPr>
          </w:p>
        </w:tc>
        <w:tc>
          <w:tcPr>
            <w:tcW w:w="5663" w:type="dxa"/>
          </w:tcPr>
          <w:p w14:paraId="66175340">
            <w:pPr>
              <w:spacing w:line="360" w:lineRule="auto"/>
              <w:rPr>
                <w:rFonts w:ascii="宋体" w:hAnsi="宋体"/>
                <w:bCs/>
                <w:sz w:val="24"/>
              </w:rPr>
            </w:pPr>
            <w:r>
              <w:rPr>
                <w:rFonts w:hint="eastAsia" w:ascii="宋体" w:hAnsi="宋体"/>
                <w:bCs/>
                <w:sz w:val="24"/>
              </w:rPr>
              <w:t>故障处理流程：</w:t>
            </w:r>
          </w:p>
          <w:p w14:paraId="48C5A343">
            <w:pPr>
              <w:spacing w:line="360" w:lineRule="auto"/>
              <w:ind w:firstLine="420"/>
              <w:rPr>
                <w:rFonts w:ascii="宋体" w:hAnsi="宋体" w:cs="宋体"/>
                <w:szCs w:val="21"/>
              </w:rPr>
            </w:pPr>
            <w:r>
              <w:rPr>
                <w:rFonts w:hint="eastAsia" w:ascii="宋体" w:hAnsi="宋体" w:cs="宋体"/>
                <w:szCs w:val="21"/>
              </w:rPr>
              <w:t>当院方的主机设备发生故障需要检修时，</w:t>
            </w:r>
            <w:r>
              <w:rPr>
                <w:rFonts w:hint="eastAsia" w:ascii="宋体" w:hAnsi="宋体" w:cs="宋体"/>
                <w:szCs w:val="21"/>
                <w:lang w:val="en-US" w:eastAsia="zh-CN"/>
              </w:rPr>
              <w:t>给</w:t>
            </w:r>
            <w:r>
              <w:rPr>
                <w:rFonts w:hint="eastAsia" w:ascii="宋体" w:hAnsi="宋体" w:cs="宋体"/>
                <w:szCs w:val="21"/>
              </w:rPr>
              <w:t>出一套快捷、行之有效的方法，帮助尽快解决问题，具体如下：</w:t>
            </w:r>
          </w:p>
          <w:p w14:paraId="575B271D">
            <w:pPr>
              <w:numPr>
                <w:ilvl w:val="0"/>
                <w:numId w:val="5"/>
              </w:numPr>
              <w:spacing w:line="360" w:lineRule="auto"/>
              <w:rPr>
                <w:rFonts w:ascii="宋体" w:hAnsi="宋体" w:cs="宋体"/>
                <w:szCs w:val="21"/>
              </w:rPr>
            </w:pPr>
            <w:r>
              <w:rPr>
                <w:rFonts w:hint="eastAsia" w:ascii="宋体" w:hAnsi="宋体" w:cs="宋体"/>
                <w:szCs w:val="21"/>
              </w:rPr>
              <w:t>诊断故障并提交故障诊断报告</w:t>
            </w:r>
          </w:p>
          <w:p w14:paraId="05D307DD">
            <w:pPr>
              <w:spacing w:line="360" w:lineRule="auto"/>
              <w:ind w:firstLine="420"/>
              <w:rPr>
                <w:rFonts w:ascii="宋体" w:hAnsi="宋体" w:cs="宋体"/>
                <w:szCs w:val="21"/>
              </w:rPr>
            </w:pPr>
            <w:r>
              <w:rPr>
                <w:rFonts w:hint="eastAsia" w:ascii="宋体" w:hAnsi="宋体" w:cs="宋体"/>
                <w:szCs w:val="21"/>
              </w:rPr>
              <w:t>根据系统运行过程中出现的系统故障或其它异常情况，及时进行故障诊断，并提出故障诊断报告。故障诊断报告的主要内容包括：故障现场情况记录、故障的级别和紧急处理过程记录等。</w:t>
            </w:r>
          </w:p>
          <w:p w14:paraId="2CB6C68A">
            <w:pPr>
              <w:numPr>
                <w:ilvl w:val="0"/>
                <w:numId w:val="5"/>
              </w:numPr>
              <w:spacing w:line="360" w:lineRule="auto"/>
              <w:rPr>
                <w:rFonts w:ascii="宋体" w:hAnsi="宋体" w:cs="宋体"/>
                <w:szCs w:val="21"/>
              </w:rPr>
            </w:pPr>
            <w:r>
              <w:rPr>
                <w:rFonts w:hint="eastAsia" w:ascii="宋体" w:hAnsi="宋体" w:cs="宋体"/>
                <w:szCs w:val="21"/>
              </w:rPr>
              <w:t>制定系统维护和故障恢复的实施计划</w:t>
            </w:r>
          </w:p>
          <w:p w14:paraId="650E5CE0">
            <w:pPr>
              <w:spacing w:line="360" w:lineRule="auto"/>
              <w:ind w:firstLine="420"/>
              <w:rPr>
                <w:rFonts w:ascii="宋体" w:hAnsi="宋体" w:cs="宋体"/>
                <w:szCs w:val="21"/>
              </w:rPr>
            </w:pPr>
            <w:r>
              <w:rPr>
                <w:rFonts w:hint="eastAsia" w:ascii="宋体" w:hAnsi="宋体" w:cs="宋体"/>
                <w:szCs w:val="21"/>
              </w:rPr>
              <w:t>根据提交的故障诊断报告，制定系统维护和故障恢复的实施计划。按照制定的计划实施系统维护工作。</w:t>
            </w:r>
          </w:p>
          <w:p w14:paraId="2E2309EC">
            <w:pPr>
              <w:numPr>
                <w:ilvl w:val="0"/>
                <w:numId w:val="5"/>
              </w:numPr>
              <w:spacing w:line="360" w:lineRule="auto"/>
              <w:rPr>
                <w:rFonts w:ascii="宋体" w:hAnsi="宋体" w:cs="宋体"/>
                <w:szCs w:val="21"/>
              </w:rPr>
            </w:pPr>
            <w:r>
              <w:rPr>
                <w:rFonts w:hint="eastAsia" w:ascii="宋体" w:hAnsi="宋体" w:cs="宋体"/>
                <w:szCs w:val="21"/>
              </w:rPr>
              <w:t>管理、监督维护计划的实施</w:t>
            </w:r>
          </w:p>
          <w:p w14:paraId="4A31F50A">
            <w:pPr>
              <w:spacing w:line="360" w:lineRule="auto"/>
              <w:ind w:firstLine="420"/>
              <w:rPr>
                <w:rFonts w:ascii="宋体" w:hAnsi="宋体" w:cs="宋体"/>
                <w:szCs w:val="21"/>
              </w:rPr>
            </w:pPr>
            <w:r>
              <w:rPr>
                <w:rFonts w:hint="eastAsia" w:ascii="宋体" w:hAnsi="宋体" w:cs="宋体"/>
                <w:szCs w:val="21"/>
              </w:rPr>
              <w:t>组成系统维护工程管理和监督工作组，全面负责管理和监督系统维护工作实施过程，并根据系统维护实施的各个阶段提交维护工作报告。</w:t>
            </w:r>
          </w:p>
          <w:p w14:paraId="503BDCC4">
            <w:pPr>
              <w:numPr>
                <w:ilvl w:val="0"/>
                <w:numId w:val="5"/>
              </w:numPr>
              <w:spacing w:line="360" w:lineRule="auto"/>
              <w:rPr>
                <w:rFonts w:ascii="宋体" w:hAnsi="宋体" w:cs="宋体"/>
                <w:szCs w:val="21"/>
              </w:rPr>
            </w:pPr>
            <w:r>
              <w:rPr>
                <w:rFonts w:hint="eastAsia" w:ascii="宋体" w:hAnsi="宋体" w:cs="宋体"/>
                <w:szCs w:val="21"/>
              </w:rPr>
              <w:t>确认维护工作完成并提交维护报告</w:t>
            </w:r>
          </w:p>
          <w:p w14:paraId="38DB6D31">
            <w:pPr>
              <w:spacing w:line="360" w:lineRule="auto"/>
              <w:ind w:firstLine="420"/>
              <w:rPr>
                <w:rFonts w:ascii="宋体" w:hAnsi="宋体" w:cs="宋体"/>
                <w:szCs w:val="21"/>
              </w:rPr>
            </w:pPr>
            <w:r>
              <w:rPr>
                <w:rFonts w:hint="eastAsia" w:ascii="宋体" w:hAnsi="宋体" w:cs="宋体"/>
                <w:szCs w:val="21"/>
              </w:rPr>
              <w:t>在系统维护工作完成后，由系统维护人员提交系统维护工作报告，由用院方项目组成的技术人员对系统维护情况进行测试并予以确认。</w:t>
            </w:r>
          </w:p>
          <w:p w14:paraId="466A218A">
            <w:pPr>
              <w:numPr>
                <w:ilvl w:val="0"/>
                <w:numId w:val="5"/>
              </w:numPr>
              <w:spacing w:line="360" w:lineRule="auto"/>
              <w:rPr>
                <w:rFonts w:ascii="宋体" w:hAnsi="宋体" w:cs="宋体"/>
                <w:szCs w:val="21"/>
              </w:rPr>
            </w:pPr>
            <w:r>
              <w:rPr>
                <w:rFonts w:hint="eastAsia" w:ascii="宋体" w:hAnsi="宋体" w:cs="宋体"/>
                <w:szCs w:val="21"/>
              </w:rPr>
              <w:t>提交结果</w:t>
            </w:r>
          </w:p>
          <w:p w14:paraId="6F0EC57F">
            <w:pPr>
              <w:spacing w:line="360" w:lineRule="auto"/>
              <w:ind w:firstLine="420"/>
              <w:rPr>
                <w:rFonts w:ascii="宋体" w:hAnsi="宋体" w:cs="宋体"/>
                <w:szCs w:val="21"/>
              </w:rPr>
            </w:pPr>
            <w:r>
              <w:rPr>
                <w:rFonts w:hint="eastAsia" w:ascii="宋体" w:hAnsi="宋体" w:cs="宋体"/>
                <w:szCs w:val="21"/>
              </w:rPr>
              <w:t>系统维护工作完成后，都应提交报告、记录等文档资料。</w:t>
            </w:r>
          </w:p>
          <w:p w14:paraId="7A91D4A9">
            <w:pPr>
              <w:numPr>
                <w:ilvl w:val="0"/>
                <w:numId w:val="5"/>
              </w:numPr>
              <w:spacing w:line="360" w:lineRule="auto"/>
              <w:rPr>
                <w:rFonts w:ascii="宋体" w:hAnsi="宋体" w:cs="宋体"/>
                <w:szCs w:val="21"/>
              </w:rPr>
            </w:pPr>
            <w:r>
              <w:rPr>
                <w:rFonts w:hint="eastAsia" w:ascii="宋体" w:hAnsi="宋体" w:cs="宋体"/>
                <w:szCs w:val="21"/>
              </w:rPr>
              <w:t>故障资料</w:t>
            </w:r>
          </w:p>
          <w:p w14:paraId="38F6E81B">
            <w:pPr>
              <w:numPr>
                <w:ilvl w:val="1"/>
                <w:numId w:val="5"/>
              </w:numPr>
              <w:spacing w:line="360" w:lineRule="auto"/>
              <w:rPr>
                <w:rFonts w:ascii="宋体" w:hAnsi="宋体" w:cs="宋体"/>
                <w:szCs w:val="21"/>
              </w:rPr>
            </w:pPr>
            <w:r>
              <w:rPr>
                <w:rFonts w:hint="eastAsia" w:ascii="宋体" w:hAnsi="宋体" w:cs="宋体"/>
                <w:szCs w:val="21"/>
              </w:rPr>
              <w:t>系统维护和故障恢复的实施计划；</w:t>
            </w:r>
          </w:p>
          <w:p w14:paraId="219544FA">
            <w:pPr>
              <w:numPr>
                <w:ilvl w:val="1"/>
                <w:numId w:val="5"/>
              </w:numPr>
              <w:spacing w:line="360" w:lineRule="auto"/>
              <w:rPr>
                <w:rFonts w:ascii="宋体" w:hAnsi="宋体" w:cs="宋体"/>
                <w:szCs w:val="21"/>
              </w:rPr>
            </w:pPr>
            <w:r>
              <w:rPr>
                <w:rFonts w:hint="eastAsia" w:ascii="宋体" w:hAnsi="宋体" w:cs="宋体"/>
                <w:szCs w:val="21"/>
              </w:rPr>
              <w:t>维护工作阶段报告；</w:t>
            </w:r>
          </w:p>
          <w:p w14:paraId="2A7BE601">
            <w:pPr>
              <w:numPr>
                <w:ilvl w:val="1"/>
                <w:numId w:val="5"/>
              </w:numPr>
              <w:spacing w:line="360" w:lineRule="auto"/>
              <w:rPr>
                <w:rFonts w:ascii="宋体" w:hAnsi="宋体" w:cs="宋体"/>
                <w:szCs w:val="21"/>
              </w:rPr>
            </w:pPr>
            <w:r>
              <w:rPr>
                <w:rFonts w:hint="eastAsia" w:ascii="宋体" w:hAnsi="宋体" w:cs="宋体"/>
                <w:szCs w:val="21"/>
              </w:rPr>
              <w:t>系统维护工作报告。</w:t>
            </w:r>
          </w:p>
          <w:p w14:paraId="439BA8E6">
            <w:pPr>
              <w:numPr>
                <w:ilvl w:val="0"/>
                <w:numId w:val="5"/>
              </w:numPr>
              <w:spacing w:line="360" w:lineRule="auto"/>
              <w:rPr>
                <w:rFonts w:ascii="宋体" w:hAnsi="宋体" w:cs="宋体"/>
                <w:szCs w:val="21"/>
              </w:rPr>
            </w:pPr>
            <w:r>
              <w:rPr>
                <w:rFonts w:hint="eastAsia" w:ascii="宋体" w:hAnsi="宋体" w:cs="宋体"/>
                <w:szCs w:val="21"/>
              </w:rPr>
              <w:t>验收</w:t>
            </w:r>
          </w:p>
          <w:p w14:paraId="28CEF1C4">
            <w:pPr>
              <w:spacing w:line="360" w:lineRule="auto"/>
              <w:ind w:firstLine="420"/>
              <w:rPr>
                <w:rFonts w:ascii="宋体" w:hAnsi="宋体" w:cs="宋体"/>
                <w:szCs w:val="21"/>
              </w:rPr>
            </w:pPr>
            <w:r>
              <w:rPr>
                <w:rFonts w:hint="eastAsia" w:ascii="宋体" w:hAnsi="宋体" w:cs="宋体"/>
                <w:szCs w:val="21"/>
              </w:rPr>
              <w:t>根据故障诊断报告、系统维护和故障恢复的实施计划、维护工作阶段报告和系统维护工作报告，和院方共同制定测试计划，并依此为据进行测试，提交测试报告和验收报告。</w:t>
            </w:r>
          </w:p>
          <w:p w14:paraId="45DD1CA6">
            <w:pPr>
              <w:numPr>
                <w:ilvl w:val="0"/>
                <w:numId w:val="5"/>
              </w:numPr>
              <w:spacing w:line="360" w:lineRule="auto"/>
              <w:rPr>
                <w:rFonts w:ascii="宋体" w:hAnsi="宋体" w:cs="宋体"/>
                <w:szCs w:val="21"/>
              </w:rPr>
            </w:pPr>
            <w:r>
              <w:rPr>
                <w:rFonts w:hint="eastAsia" w:ascii="宋体" w:hAnsi="宋体" w:cs="宋体"/>
                <w:szCs w:val="21"/>
              </w:rPr>
              <w:t>提供技术支持热线</w:t>
            </w:r>
          </w:p>
          <w:p w14:paraId="652DD1D9">
            <w:pPr>
              <w:spacing w:line="360" w:lineRule="auto"/>
              <w:ind w:firstLine="420"/>
              <w:rPr>
                <w:rFonts w:ascii="宋体" w:hAnsi="宋体" w:cs="宋体"/>
                <w:szCs w:val="21"/>
              </w:rPr>
            </w:pPr>
            <w:r>
              <w:rPr>
                <w:rFonts w:hint="eastAsia" w:ascii="宋体" w:hAnsi="宋体" w:cs="宋体"/>
                <w:szCs w:val="21"/>
              </w:rPr>
              <w:t>为了更好的服务于院方，提供技术支持热线，方便用户可以及时联络服务工程师。</w:t>
            </w:r>
          </w:p>
        </w:tc>
      </w:tr>
      <w:tr w14:paraId="1C88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14:paraId="76FD9E53">
            <w:pPr>
              <w:jc w:val="center"/>
            </w:pPr>
            <w:r>
              <w:rPr>
                <w:rFonts w:hint="eastAsia"/>
                <w:lang w:val="en-US" w:eastAsia="zh-CN"/>
              </w:rPr>
              <w:t>2</w:t>
            </w:r>
          </w:p>
        </w:tc>
        <w:tc>
          <w:tcPr>
            <w:tcW w:w="1984" w:type="dxa"/>
            <w:vAlign w:val="center"/>
          </w:tcPr>
          <w:p w14:paraId="30B5FE05">
            <w:pPr>
              <w:jc w:val="center"/>
            </w:pPr>
            <w:r>
              <w:t>服务级别</w:t>
            </w:r>
          </w:p>
        </w:tc>
        <w:tc>
          <w:tcPr>
            <w:tcW w:w="5663" w:type="dxa"/>
          </w:tcPr>
          <w:p w14:paraId="3D822917">
            <w:pPr>
              <w:spacing w:line="360" w:lineRule="auto"/>
              <w:rPr>
                <w:rFonts w:ascii="宋体" w:hAnsi="宋体"/>
                <w:bCs/>
                <w:sz w:val="24"/>
              </w:rPr>
            </w:pPr>
            <w:r>
              <w:rPr>
                <w:rFonts w:hint="eastAsia" w:ascii="宋体" w:hAnsi="宋体"/>
                <w:bCs/>
                <w:sz w:val="24"/>
              </w:rPr>
              <w:t>监控级别应急响应标准：</w:t>
            </w:r>
          </w:p>
          <w:p w14:paraId="0A8A16B9">
            <w:pPr>
              <w:spacing w:line="360" w:lineRule="auto"/>
              <w:ind w:firstLine="420"/>
            </w:pPr>
            <w:r>
              <w:rPr>
                <w:rFonts w:hint="eastAsia"/>
              </w:rPr>
              <w:t>一级（紧急问题）：15分钟内响应，0.5小时内工程师上门处理，1小时内解决问题，如无法解决问题，提供应急设备或应急备品备件解决现阶段存在问题，共同展开紧急安全技术研讨会。</w:t>
            </w:r>
          </w:p>
          <w:p w14:paraId="61DB6643">
            <w:pPr>
              <w:spacing w:line="360" w:lineRule="auto"/>
              <w:ind w:firstLine="420"/>
            </w:pPr>
            <w:r>
              <w:rPr>
                <w:rFonts w:hint="eastAsia"/>
              </w:rPr>
              <w:t>二级（严重问题）：0.5小时内响应，1小时内工程师上门处理，2小时内解决问题，如无法解决问题，提供应急设备或应急备品备件解决现阶段存在问题。</w:t>
            </w:r>
          </w:p>
          <w:p w14:paraId="34189C1E">
            <w:pPr>
              <w:spacing w:line="360" w:lineRule="auto"/>
              <w:ind w:firstLine="420"/>
            </w:pPr>
            <w:r>
              <w:rPr>
                <w:rFonts w:hint="eastAsia"/>
              </w:rPr>
              <w:t>三级（较严重问题）：1小时内响应，2小时内工程师远程协助确定问题，12小时内解决问题，如无法解决问题，24小时内工程师上门处理。</w:t>
            </w:r>
          </w:p>
          <w:p w14:paraId="57E47B93">
            <w:pPr>
              <w:spacing w:line="360" w:lineRule="auto"/>
              <w:ind w:firstLine="420"/>
            </w:pPr>
            <w:r>
              <w:rPr>
                <w:rFonts w:hint="eastAsia"/>
              </w:rPr>
              <w:t>四级（普通问题）：2小时内响应，12小时内工程师远程协助确定问题，或由工程师在线会议解答疑难杂症。</w:t>
            </w:r>
          </w:p>
        </w:tc>
      </w:tr>
    </w:tbl>
    <w:p w14:paraId="22374705">
      <w:pPr>
        <w:spacing w:line="360" w:lineRule="auto"/>
        <w:ind w:firstLine="420"/>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C648">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14:paraId="73AE1B12">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BC7E2"/>
    <w:multiLevelType w:val="multilevel"/>
    <w:tmpl w:val="EF6BC7E2"/>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1">
    <w:nsid w:val="1ABC648B"/>
    <w:multiLevelType w:val="multilevel"/>
    <w:tmpl w:val="1ABC648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EBB3C91"/>
    <w:multiLevelType w:val="multilevel"/>
    <w:tmpl w:val="3EBB3C91"/>
    <w:lvl w:ilvl="0" w:tentative="0">
      <w:start w:val="1"/>
      <w:numFmt w:val="decimal"/>
      <w:pStyle w:val="61"/>
      <w:lvlText w:val="%1. "/>
      <w:lvlJc w:val="left"/>
      <w:pPr>
        <w:ind w:left="420" w:hanging="420"/>
      </w:pPr>
      <w:rPr>
        <w:rFonts w:hint="default" w:ascii="Times New Roman" w:hAnsi="Times New Roman" w:eastAsia="宋体"/>
        <w:b/>
        <w:i w:val="0"/>
      </w:rPr>
    </w:lvl>
    <w:lvl w:ilvl="1" w:tentative="0">
      <w:start w:val="1"/>
      <w:numFmt w:val="decimal"/>
      <w:pStyle w:val="54"/>
      <w:isLgl/>
      <w:suff w:val="space"/>
      <w:lvlText w:val="%1.%2 "/>
      <w:lvlJc w:val="left"/>
      <w:pPr>
        <w:ind w:left="3913" w:hanging="794"/>
      </w:pPr>
      <w:rPr>
        <w:rFonts w:hint="eastAsia"/>
      </w:rPr>
    </w:lvl>
    <w:lvl w:ilvl="2" w:tentative="0">
      <w:start w:val="1"/>
      <w:numFmt w:val="decimal"/>
      <w:pStyle w:val="60"/>
      <w:isLgl/>
      <w:suff w:val="space"/>
      <w:lvlText w:val="%1.%2.%3 "/>
      <w:lvlJc w:val="left"/>
      <w:pPr>
        <w:ind w:left="907" w:hanging="907"/>
      </w:pPr>
      <w:rPr>
        <w:rFonts w:hint="eastAsia"/>
      </w:rPr>
    </w:lvl>
    <w:lvl w:ilvl="3" w:tentative="0">
      <w:start w:val="1"/>
      <w:numFmt w:val="decimal"/>
      <w:pStyle w:val="59"/>
      <w:isLgl/>
      <w:suff w:val="space"/>
      <w:lvlText w:val="%1.%2.%3.%4 "/>
      <w:lvlJc w:val="left"/>
      <w:pPr>
        <w:ind w:left="1021" w:hanging="1021"/>
      </w:pPr>
      <w:rPr>
        <w:rFonts w:hint="eastAsia"/>
      </w:rPr>
    </w:lvl>
    <w:lvl w:ilvl="4" w:tentative="0">
      <w:start w:val="1"/>
      <w:numFmt w:val="decimal"/>
      <w:pStyle w:val="64"/>
      <w:isLgl/>
      <w:suff w:val="space"/>
      <w:lvlText w:val="%1.%2.%3.%4.%5 "/>
      <w:lvlJc w:val="left"/>
      <w:pPr>
        <w:ind w:left="1134" w:hanging="1134"/>
      </w:pPr>
      <w:rPr>
        <w:rFonts w:hint="eastAsia"/>
      </w:rPr>
    </w:lvl>
    <w:lvl w:ilvl="5" w:tentative="0">
      <w:start w:val="1"/>
      <w:numFmt w:val="decimal"/>
      <w:pStyle w:val="58"/>
      <w:isLgl/>
      <w:suff w:val="space"/>
      <w:lvlText w:val="%1.%2.%3.%4.%5.%6 "/>
      <w:lvlJc w:val="left"/>
      <w:pPr>
        <w:ind w:left="1247" w:hanging="1247"/>
      </w:pPr>
      <w:rPr>
        <w:rFonts w:hint="eastAsia"/>
      </w:rPr>
    </w:lvl>
    <w:lvl w:ilvl="6" w:tentative="0">
      <w:start w:val="1"/>
      <w:numFmt w:val="decimal"/>
      <w:lvlRestart w:val="1"/>
      <w:pStyle w:val="53"/>
      <w:isLgl/>
      <w:suff w:val="space"/>
      <w:lvlText w:val="图 %1.%7 "/>
      <w:lvlJc w:val="left"/>
      <w:pPr>
        <w:ind w:left="0" w:firstLine="0"/>
      </w:pPr>
      <w:rPr>
        <w:rFonts w:hint="eastAsia"/>
      </w:rPr>
    </w:lvl>
    <w:lvl w:ilvl="7" w:tentative="0">
      <w:start w:val="1"/>
      <w:numFmt w:val="decimal"/>
      <w:lvlRestart w:val="1"/>
      <w:pStyle w:val="6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5A373560"/>
    <w:multiLevelType w:val="multilevel"/>
    <w:tmpl w:val="5A37356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4OGZiZTQ0YTE3OTJkYWVhZjcyNDNjZTQ0NTkzN2IifQ=="/>
  </w:docVars>
  <w:rsids>
    <w:rsidRoot w:val="00303343"/>
    <w:rsid w:val="000039BE"/>
    <w:rsid w:val="000051D2"/>
    <w:rsid w:val="000079DD"/>
    <w:rsid w:val="00012DCC"/>
    <w:rsid w:val="00016B63"/>
    <w:rsid w:val="0004334E"/>
    <w:rsid w:val="00046B39"/>
    <w:rsid w:val="000538E3"/>
    <w:rsid w:val="00054706"/>
    <w:rsid w:val="0005793D"/>
    <w:rsid w:val="00066DE7"/>
    <w:rsid w:val="00074EDD"/>
    <w:rsid w:val="00086AE0"/>
    <w:rsid w:val="00090A18"/>
    <w:rsid w:val="000933BF"/>
    <w:rsid w:val="00097CFB"/>
    <w:rsid w:val="000B2054"/>
    <w:rsid w:val="000B41B7"/>
    <w:rsid w:val="000C12F3"/>
    <w:rsid w:val="000C4AC3"/>
    <w:rsid w:val="000D0F47"/>
    <w:rsid w:val="000D36B2"/>
    <w:rsid w:val="000D5317"/>
    <w:rsid w:val="000E276C"/>
    <w:rsid w:val="00106D68"/>
    <w:rsid w:val="001106CE"/>
    <w:rsid w:val="001107F8"/>
    <w:rsid w:val="001116F6"/>
    <w:rsid w:val="00114FDF"/>
    <w:rsid w:val="00121E40"/>
    <w:rsid w:val="0012322D"/>
    <w:rsid w:val="00123FCC"/>
    <w:rsid w:val="00125ABC"/>
    <w:rsid w:val="00135BF9"/>
    <w:rsid w:val="001365DD"/>
    <w:rsid w:val="00136606"/>
    <w:rsid w:val="001407A7"/>
    <w:rsid w:val="00140E0C"/>
    <w:rsid w:val="0014437A"/>
    <w:rsid w:val="00153AB3"/>
    <w:rsid w:val="0016173F"/>
    <w:rsid w:val="00162D29"/>
    <w:rsid w:val="00163010"/>
    <w:rsid w:val="00164878"/>
    <w:rsid w:val="00165091"/>
    <w:rsid w:val="00167B49"/>
    <w:rsid w:val="00171903"/>
    <w:rsid w:val="001721CF"/>
    <w:rsid w:val="00174C12"/>
    <w:rsid w:val="0018200C"/>
    <w:rsid w:val="001833B6"/>
    <w:rsid w:val="00184AE6"/>
    <w:rsid w:val="00190CD2"/>
    <w:rsid w:val="00192955"/>
    <w:rsid w:val="001953F6"/>
    <w:rsid w:val="001A22A1"/>
    <w:rsid w:val="001A61EA"/>
    <w:rsid w:val="001B1C20"/>
    <w:rsid w:val="001B4850"/>
    <w:rsid w:val="001B7966"/>
    <w:rsid w:val="001B7D79"/>
    <w:rsid w:val="001C23B3"/>
    <w:rsid w:val="001C7BC6"/>
    <w:rsid w:val="001D28C9"/>
    <w:rsid w:val="001D4B03"/>
    <w:rsid w:val="001D7749"/>
    <w:rsid w:val="001E3B38"/>
    <w:rsid w:val="001F3806"/>
    <w:rsid w:val="00200054"/>
    <w:rsid w:val="002000DE"/>
    <w:rsid w:val="00202EFF"/>
    <w:rsid w:val="0020509F"/>
    <w:rsid w:val="0020511F"/>
    <w:rsid w:val="00207A96"/>
    <w:rsid w:val="0021146F"/>
    <w:rsid w:val="00214A6F"/>
    <w:rsid w:val="00221F1F"/>
    <w:rsid w:val="00223E47"/>
    <w:rsid w:val="00225611"/>
    <w:rsid w:val="00234361"/>
    <w:rsid w:val="00240F49"/>
    <w:rsid w:val="00241D77"/>
    <w:rsid w:val="002509F5"/>
    <w:rsid w:val="002535AA"/>
    <w:rsid w:val="00261CBC"/>
    <w:rsid w:val="00265DE7"/>
    <w:rsid w:val="00270260"/>
    <w:rsid w:val="002722CA"/>
    <w:rsid w:val="00276E97"/>
    <w:rsid w:val="0028229A"/>
    <w:rsid w:val="002834D3"/>
    <w:rsid w:val="00283A51"/>
    <w:rsid w:val="002853BF"/>
    <w:rsid w:val="00292528"/>
    <w:rsid w:val="00295463"/>
    <w:rsid w:val="002A01D6"/>
    <w:rsid w:val="002A4778"/>
    <w:rsid w:val="002B7464"/>
    <w:rsid w:val="002C53D1"/>
    <w:rsid w:val="002D6BE1"/>
    <w:rsid w:val="002F15F7"/>
    <w:rsid w:val="002F31F1"/>
    <w:rsid w:val="003024F8"/>
    <w:rsid w:val="00303343"/>
    <w:rsid w:val="00303CAB"/>
    <w:rsid w:val="003042A2"/>
    <w:rsid w:val="00304636"/>
    <w:rsid w:val="00311322"/>
    <w:rsid w:val="00314A5A"/>
    <w:rsid w:val="00322973"/>
    <w:rsid w:val="0032765D"/>
    <w:rsid w:val="003325F0"/>
    <w:rsid w:val="00341038"/>
    <w:rsid w:val="00345161"/>
    <w:rsid w:val="00352E7C"/>
    <w:rsid w:val="00353276"/>
    <w:rsid w:val="00366980"/>
    <w:rsid w:val="003732BF"/>
    <w:rsid w:val="003757B7"/>
    <w:rsid w:val="003802E2"/>
    <w:rsid w:val="00385E95"/>
    <w:rsid w:val="00385FED"/>
    <w:rsid w:val="003959E9"/>
    <w:rsid w:val="00397B7E"/>
    <w:rsid w:val="003A37DA"/>
    <w:rsid w:val="003A7269"/>
    <w:rsid w:val="003B0317"/>
    <w:rsid w:val="003B16D4"/>
    <w:rsid w:val="003C0FB7"/>
    <w:rsid w:val="003C6D81"/>
    <w:rsid w:val="003D0F80"/>
    <w:rsid w:val="003D2595"/>
    <w:rsid w:val="003D4D18"/>
    <w:rsid w:val="003E7083"/>
    <w:rsid w:val="003F629F"/>
    <w:rsid w:val="00403938"/>
    <w:rsid w:val="00413DA3"/>
    <w:rsid w:val="00414171"/>
    <w:rsid w:val="004142E1"/>
    <w:rsid w:val="0041787F"/>
    <w:rsid w:val="00423450"/>
    <w:rsid w:val="0042702D"/>
    <w:rsid w:val="00435C81"/>
    <w:rsid w:val="00440F72"/>
    <w:rsid w:val="0044519F"/>
    <w:rsid w:val="00455DA5"/>
    <w:rsid w:val="004565AA"/>
    <w:rsid w:val="00456A2C"/>
    <w:rsid w:val="004630DC"/>
    <w:rsid w:val="00474AE0"/>
    <w:rsid w:val="0047796F"/>
    <w:rsid w:val="00482931"/>
    <w:rsid w:val="0048499C"/>
    <w:rsid w:val="004945FB"/>
    <w:rsid w:val="00495574"/>
    <w:rsid w:val="00497FA3"/>
    <w:rsid w:val="004A44FF"/>
    <w:rsid w:val="004C2C5B"/>
    <w:rsid w:val="004E2D8F"/>
    <w:rsid w:val="004E5E61"/>
    <w:rsid w:val="004F1174"/>
    <w:rsid w:val="004F1410"/>
    <w:rsid w:val="00500264"/>
    <w:rsid w:val="00510152"/>
    <w:rsid w:val="00510B1E"/>
    <w:rsid w:val="005120A9"/>
    <w:rsid w:val="00517D7C"/>
    <w:rsid w:val="00520646"/>
    <w:rsid w:val="0052176F"/>
    <w:rsid w:val="00522F34"/>
    <w:rsid w:val="0052604B"/>
    <w:rsid w:val="0053088D"/>
    <w:rsid w:val="00534BF6"/>
    <w:rsid w:val="00537CDE"/>
    <w:rsid w:val="005409FC"/>
    <w:rsid w:val="0054655F"/>
    <w:rsid w:val="005563D3"/>
    <w:rsid w:val="00562DF4"/>
    <w:rsid w:val="0056778C"/>
    <w:rsid w:val="00570533"/>
    <w:rsid w:val="00575F76"/>
    <w:rsid w:val="005766CE"/>
    <w:rsid w:val="00580F0E"/>
    <w:rsid w:val="005853AB"/>
    <w:rsid w:val="00587A55"/>
    <w:rsid w:val="00591388"/>
    <w:rsid w:val="0059358B"/>
    <w:rsid w:val="005944F9"/>
    <w:rsid w:val="00596428"/>
    <w:rsid w:val="00596CC5"/>
    <w:rsid w:val="005A199D"/>
    <w:rsid w:val="005A4D1C"/>
    <w:rsid w:val="005B046D"/>
    <w:rsid w:val="005B14DC"/>
    <w:rsid w:val="005B33AE"/>
    <w:rsid w:val="005C49D7"/>
    <w:rsid w:val="005C60FB"/>
    <w:rsid w:val="005C7EF5"/>
    <w:rsid w:val="005D1C7F"/>
    <w:rsid w:val="005D2402"/>
    <w:rsid w:val="005D2BF6"/>
    <w:rsid w:val="005D57DE"/>
    <w:rsid w:val="005E7C53"/>
    <w:rsid w:val="005F0356"/>
    <w:rsid w:val="005F44C8"/>
    <w:rsid w:val="005F482E"/>
    <w:rsid w:val="005F73BC"/>
    <w:rsid w:val="00600923"/>
    <w:rsid w:val="0060333A"/>
    <w:rsid w:val="006053FC"/>
    <w:rsid w:val="00607029"/>
    <w:rsid w:val="00612F3F"/>
    <w:rsid w:val="00623637"/>
    <w:rsid w:val="006279C6"/>
    <w:rsid w:val="00644F1D"/>
    <w:rsid w:val="00646B59"/>
    <w:rsid w:val="006520EC"/>
    <w:rsid w:val="006604C2"/>
    <w:rsid w:val="0067618A"/>
    <w:rsid w:val="006861F5"/>
    <w:rsid w:val="00693452"/>
    <w:rsid w:val="00697FBB"/>
    <w:rsid w:val="006A41D5"/>
    <w:rsid w:val="006A776B"/>
    <w:rsid w:val="006B2085"/>
    <w:rsid w:val="006B21B8"/>
    <w:rsid w:val="006B24CB"/>
    <w:rsid w:val="006B7B58"/>
    <w:rsid w:val="006C36EB"/>
    <w:rsid w:val="006C3FD0"/>
    <w:rsid w:val="006D405D"/>
    <w:rsid w:val="006D4B15"/>
    <w:rsid w:val="006D59F7"/>
    <w:rsid w:val="006E5E07"/>
    <w:rsid w:val="006F0434"/>
    <w:rsid w:val="007001A0"/>
    <w:rsid w:val="00701D12"/>
    <w:rsid w:val="0070239F"/>
    <w:rsid w:val="00710528"/>
    <w:rsid w:val="00712244"/>
    <w:rsid w:val="0072309C"/>
    <w:rsid w:val="0072695B"/>
    <w:rsid w:val="0074224C"/>
    <w:rsid w:val="00750A70"/>
    <w:rsid w:val="00752912"/>
    <w:rsid w:val="007556BE"/>
    <w:rsid w:val="007621CC"/>
    <w:rsid w:val="00766563"/>
    <w:rsid w:val="0076668A"/>
    <w:rsid w:val="00773660"/>
    <w:rsid w:val="007821DD"/>
    <w:rsid w:val="00784C08"/>
    <w:rsid w:val="00785EDF"/>
    <w:rsid w:val="00786A29"/>
    <w:rsid w:val="00793B09"/>
    <w:rsid w:val="00795F59"/>
    <w:rsid w:val="007C0A5B"/>
    <w:rsid w:val="007C1B18"/>
    <w:rsid w:val="007D22AB"/>
    <w:rsid w:val="007D6072"/>
    <w:rsid w:val="007D627A"/>
    <w:rsid w:val="007E71E6"/>
    <w:rsid w:val="007F5726"/>
    <w:rsid w:val="0081163A"/>
    <w:rsid w:val="008168FB"/>
    <w:rsid w:val="00822BA6"/>
    <w:rsid w:val="0084129C"/>
    <w:rsid w:val="008419E9"/>
    <w:rsid w:val="00853A40"/>
    <w:rsid w:val="008548FB"/>
    <w:rsid w:val="008623FD"/>
    <w:rsid w:val="00862439"/>
    <w:rsid w:val="00866774"/>
    <w:rsid w:val="00873B97"/>
    <w:rsid w:val="008840BD"/>
    <w:rsid w:val="008A4913"/>
    <w:rsid w:val="008A62AC"/>
    <w:rsid w:val="008B2206"/>
    <w:rsid w:val="008C255D"/>
    <w:rsid w:val="008C527C"/>
    <w:rsid w:val="008D3291"/>
    <w:rsid w:val="008D59AA"/>
    <w:rsid w:val="008E01C8"/>
    <w:rsid w:val="008E145D"/>
    <w:rsid w:val="008E2B56"/>
    <w:rsid w:val="008E6114"/>
    <w:rsid w:val="008F49D1"/>
    <w:rsid w:val="00900232"/>
    <w:rsid w:val="00900BAA"/>
    <w:rsid w:val="00903734"/>
    <w:rsid w:val="00903878"/>
    <w:rsid w:val="00903CF6"/>
    <w:rsid w:val="009052C7"/>
    <w:rsid w:val="00905FFA"/>
    <w:rsid w:val="00907B0A"/>
    <w:rsid w:val="0092017A"/>
    <w:rsid w:val="00922032"/>
    <w:rsid w:val="00924285"/>
    <w:rsid w:val="00925C23"/>
    <w:rsid w:val="00927E08"/>
    <w:rsid w:val="009303FA"/>
    <w:rsid w:val="00943004"/>
    <w:rsid w:val="00946369"/>
    <w:rsid w:val="00953633"/>
    <w:rsid w:val="00966A88"/>
    <w:rsid w:val="00973A47"/>
    <w:rsid w:val="00981ED8"/>
    <w:rsid w:val="00982AA3"/>
    <w:rsid w:val="009863EF"/>
    <w:rsid w:val="00986A41"/>
    <w:rsid w:val="0098719A"/>
    <w:rsid w:val="00991FF2"/>
    <w:rsid w:val="0099315B"/>
    <w:rsid w:val="009953D4"/>
    <w:rsid w:val="00995DD9"/>
    <w:rsid w:val="009B3363"/>
    <w:rsid w:val="009C1F02"/>
    <w:rsid w:val="009C3783"/>
    <w:rsid w:val="009C4E7E"/>
    <w:rsid w:val="009D6951"/>
    <w:rsid w:val="009D7DD1"/>
    <w:rsid w:val="009E0351"/>
    <w:rsid w:val="009E214B"/>
    <w:rsid w:val="009E53AF"/>
    <w:rsid w:val="009E68C8"/>
    <w:rsid w:val="009F0270"/>
    <w:rsid w:val="009F61FA"/>
    <w:rsid w:val="00A02846"/>
    <w:rsid w:val="00A05796"/>
    <w:rsid w:val="00A13CB0"/>
    <w:rsid w:val="00A14FD8"/>
    <w:rsid w:val="00A17974"/>
    <w:rsid w:val="00A215AC"/>
    <w:rsid w:val="00A22CA1"/>
    <w:rsid w:val="00A27D9B"/>
    <w:rsid w:val="00A43A49"/>
    <w:rsid w:val="00A4595D"/>
    <w:rsid w:val="00A50270"/>
    <w:rsid w:val="00A51146"/>
    <w:rsid w:val="00A61D3A"/>
    <w:rsid w:val="00A66833"/>
    <w:rsid w:val="00A70DCF"/>
    <w:rsid w:val="00A72437"/>
    <w:rsid w:val="00A73FDF"/>
    <w:rsid w:val="00A8355E"/>
    <w:rsid w:val="00A870DD"/>
    <w:rsid w:val="00A95A20"/>
    <w:rsid w:val="00A96157"/>
    <w:rsid w:val="00A969AF"/>
    <w:rsid w:val="00A9729E"/>
    <w:rsid w:val="00AA1F69"/>
    <w:rsid w:val="00AB348F"/>
    <w:rsid w:val="00AB7D36"/>
    <w:rsid w:val="00AC1390"/>
    <w:rsid w:val="00AC4663"/>
    <w:rsid w:val="00AE1DD2"/>
    <w:rsid w:val="00AE21BE"/>
    <w:rsid w:val="00AE4106"/>
    <w:rsid w:val="00B033EF"/>
    <w:rsid w:val="00B12138"/>
    <w:rsid w:val="00B17749"/>
    <w:rsid w:val="00B17AE9"/>
    <w:rsid w:val="00B17C05"/>
    <w:rsid w:val="00B20334"/>
    <w:rsid w:val="00B20819"/>
    <w:rsid w:val="00B225B9"/>
    <w:rsid w:val="00B24AB1"/>
    <w:rsid w:val="00B32253"/>
    <w:rsid w:val="00B352BF"/>
    <w:rsid w:val="00B36BD9"/>
    <w:rsid w:val="00B418FF"/>
    <w:rsid w:val="00B41A4C"/>
    <w:rsid w:val="00B4282C"/>
    <w:rsid w:val="00B43095"/>
    <w:rsid w:val="00B446CA"/>
    <w:rsid w:val="00B44DF5"/>
    <w:rsid w:val="00B5093C"/>
    <w:rsid w:val="00B54356"/>
    <w:rsid w:val="00B55FE5"/>
    <w:rsid w:val="00B56C67"/>
    <w:rsid w:val="00B6170F"/>
    <w:rsid w:val="00B62917"/>
    <w:rsid w:val="00B74609"/>
    <w:rsid w:val="00B752B2"/>
    <w:rsid w:val="00B75CC1"/>
    <w:rsid w:val="00B80E39"/>
    <w:rsid w:val="00B824A5"/>
    <w:rsid w:val="00B829DD"/>
    <w:rsid w:val="00B8588F"/>
    <w:rsid w:val="00B858F1"/>
    <w:rsid w:val="00B8684C"/>
    <w:rsid w:val="00B94452"/>
    <w:rsid w:val="00BA5A2D"/>
    <w:rsid w:val="00BA5B8F"/>
    <w:rsid w:val="00BB2B54"/>
    <w:rsid w:val="00BB637D"/>
    <w:rsid w:val="00BC2936"/>
    <w:rsid w:val="00BC3CA1"/>
    <w:rsid w:val="00BC49E5"/>
    <w:rsid w:val="00BC7857"/>
    <w:rsid w:val="00BD3194"/>
    <w:rsid w:val="00BD5FA8"/>
    <w:rsid w:val="00BE23E5"/>
    <w:rsid w:val="00BE31E6"/>
    <w:rsid w:val="00BE396A"/>
    <w:rsid w:val="00BE6CD1"/>
    <w:rsid w:val="00BF5087"/>
    <w:rsid w:val="00BF757E"/>
    <w:rsid w:val="00BF7C0E"/>
    <w:rsid w:val="00BF7F5A"/>
    <w:rsid w:val="00C0364F"/>
    <w:rsid w:val="00C100E1"/>
    <w:rsid w:val="00C1369D"/>
    <w:rsid w:val="00C17719"/>
    <w:rsid w:val="00C22377"/>
    <w:rsid w:val="00C2470A"/>
    <w:rsid w:val="00C2533A"/>
    <w:rsid w:val="00C335D8"/>
    <w:rsid w:val="00C50E12"/>
    <w:rsid w:val="00C54491"/>
    <w:rsid w:val="00C576C7"/>
    <w:rsid w:val="00C71B43"/>
    <w:rsid w:val="00C737B4"/>
    <w:rsid w:val="00C74D8F"/>
    <w:rsid w:val="00C751A9"/>
    <w:rsid w:val="00C766DD"/>
    <w:rsid w:val="00C76BDF"/>
    <w:rsid w:val="00C775CE"/>
    <w:rsid w:val="00C8030E"/>
    <w:rsid w:val="00C8225C"/>
    <w:rsid w:val="00C91697"/>
    <w:rsid w:val="00C92EAA"/>
    <w:rsid w:val="00C9392F"/>
    <w:rsid w:val="00CA148F"/>
    <w:rsid w:val="00CA29F9"/>
    <w:rsid w:val="00CB012B"/>
    <w:rsid w:val="00CB6B73"/>
    <w:rsid w:val="00CB6CF8"/>
    <w:rsid w:val="00CC218D"/>
    <w:rsid w:val="00CC6334"/>
    <w:rsid w:val="00CC677A"/>
    <w:rsid w:val="00CD008E"/>
    <w:rsid w:val="00CD2081"/>
    <w:rsid w:val="00CD6EDC"/>
    <w:rsid w:val="00CE2D1F"/>
    <w:rsid w:val="00CE6C93"/>
    <w:rsid w:val="00CF1561"/>
    <w:rsid w:val="00CF1A40"/>
    <w:rsid w:val="00CF36EF"/>
    <w:rsid w:val="00CF4AE2"/>
    <w:rsid w:val="00D1110F"/>
    <w:rsid w:val="00D15B10"/>
    <w:rsid w:val="00D23E20"/>
    <w:rsid w:val="00D320CC"/>
    <w:rsid w:val="00D32842"/>
    <w:rsid w:val="00D35168"/>
    <w:rsid w:val="00D416A8"/>
    <w:rsid w:val="00D454AB"/>
    <w:rsid w:val="00D536AB"/>
    <w:rsid w:val="00D54E0C"/>
    <w:rsid w:val="00D5537A"/>
    <w:rsid w:val="00D63C73"/>
    <w:rsid w:val="00D71136"/>
    <w:rsid w:val="00D77F36"/>
    <w:rsid w:val="00D8272B"/>
    <w:rsid w:val="00D9057D"/>
    <w:rsid w:val="00D912C8"/>
    <w:rsid w:val="00DA026E"/>
    <w:rsid w:val="00DA0A29"/>
    <w:rsid w:val="00DA576E"/>
    <w:rsid w:val="00DB0A86"/>
    <w:rsid w:val="00DB57B7"/>
    <w:rsid w:val="00DC33CF"/>
    <w:rsid w:val="00DC3415"/>
    <w:rsid w:val="00DD3DE6"/>
    <w:rsid w:val="00DE4534"/>
    <w:rsid w:val="00DF3D3A"/>
    <w:rsid w:val="00DF4228"/>
    <w:rsid w:val="00E0101F"/>
    <w:rsid w:val="00E06670"/>
    <w:rsid w:val="00E274F2"/>
    <w:rsid w:val="00E47752"/>
    <w:rsid w:val="00E53030"/>
    <w:rsid w:val="00E56652"/>
    <w:rsid w:val="00E62C9E"/>
    <w:rsid w:val="00E63341"/>
    <w:rsid w:val="00E63369"/>
    <w:rsid w:val="00E63569"/>
    <w:rsid w:val="00E80756"/>
    <w:rsid w:val="00E81F96"/>
    <w:rsid w:val="00E8302B"/>
    <w:rsid w:val="00E83E34"/>
    <w:rsid w:val="00E84F8C"/>
    <w:rsid w:val="00E85360"/>
    <w:rsid w:val="00E85641"/>
    <w:rsid w:val="00E85DA4"/>
    <w:rsid w:val="00E86B42"/>
    <w:rsid w:val="00E95892"/>
    <w:rsid w:val="00E97354"/>
    <w:rsid w:val="00EA6408"/>
    <w:rsid w:val="00EB26F5"/>
    <w:rsid w:val="00EC0483"/>
    <w:rsid w:val="00ED0897"/>
    <w:rsid w:val="00ED73FF"/>
    <w:rsid w:val="00ED7F01"/>
    <w:rsid w:val="00EE13C5"/>
    <w:rsid w:val="00EE2F36"/>
    <w:rsid w:val="00EE51DE"/>
    <w:rsid w:val="00EF2CA1"/>
    <w:rsid w:val="00EF5E01"/>
    <w:rsid w:val="00EF6EC0"/>
    <w:rsid w:val="00F02058"/>
    <w:rsid w:val="00F0343C"/>
    <w:rsid w:val="00F04CE5"/>
    <w:rsid w:val="00F13514"/>
    <w:rsid w:val="00F1360F"/>
    <w:rsid w:val="00F16AA8"/>
    <w:rsid w:val="00F3226A"/>
    <w:rsid w:val="00F33DB0"/>
    <w:rsid w:val="00F41EB0"/>
    <w:rsid w:val="00F4479B"/>
    <w:rsid w:val="00F45DB8"/>
    <w:rsid w:val="00F54D29"/>
    <w:rsid w:val="00F62BCD"/>
    <w:rsid w:val="00F74B77"/>
    <w:rsid w:val="00F7513C"/>
    <w:rsid w:val="00F764FE"/>
    <w:rsid w:val="00F77DEB"/>
    <w:rsid w:val="00F810A0"/>
    <w:rsid w:val="00F827B6"/>
    <w:rsid w:val="00F92BE5"/>
    <w:rsid w:val="00FA0574"/>
    <w:rsid w:val="00FA3933"/>
    <w:rsid w:val="00FA3EFC"/>
    <w:rsid w:val="00FB68D3"/>
    <w:rsid w:val="00FC4B75"/>
    <w:rsid w:val="00FC5A89"/>
    <w:rsid w:val="00FE0038"/>
    <w:rsid w:val="00FE7554"/>
    <w:rsid w:val="00FF17FE"/>
    <w:rsid w:val="010A6538"/>
    <w:rsid w:val="01655E65"/>
    <w:rsid w:val="068E19BA"/>
    <w:rsid w:val="08BE5736"/>
    <w:rsid w:val="0A3B59B5"/>
    <w:rsid w:val="0A456518"/>
    <w:rsid w:val="0B61769D"/>
    <w:rsid w:val="0BFE313E"/>
    <w:rsid w:val="0C4072B2"/>
    <w:rsid w:val="0D336E17"/>
    <w:rsid w:val="0D58062B"/>
    <w:rsid w:val="0DDF2AFB"/>
    <w:rsid w:val="0E455054"/>
    <w:rsid w:val="0F412BE4"/>
    <w:rsid w:val="126E1463"/>
    <w:rsid w:val="128F2D41"/>
    <w:rsid w:val="137D703E"/>
    <w:rsid w:val="1385580F"/>
    <w:rsid w:val="169A7F07"/>
    <w:rsid w:val="16FC296F"/>
    <w:rsid w:val="175D340E"/>
    <w:rsid w:val="190C3F0E"/>
    <w:rsid w:val="1A147FD0"/>
    <w:rsid w:val="1AE96D67"/>
    <w:rsid w:val="1EDE1F7D"/>
    <w:rsid w:val="1FA83694"/>
    <w:rsid w:val="20EE7FD1"/>
    <w:rsid w:val="2128333F"/>
    <w:rsid w:val="21747CD2"/>
    <w:rsid w:val="236B046C"/>
    <w:rsid w:val="23871813"/>
    <w:rsid w:val="23E80503"/>
    <w:rsid w:val="248858F2"/>
    <w:rsid w:val="24F42ED8"/>
    <w:rsid w:val="25E709B1"/>
    <w:rsid w:val="27806B85"/>
    <w:rsid w:val="27ED433A"/>
    <w:rsid w:val="2A5B7D43"/>
    <w:rsid w:val="2B7BFACB"/>
    <w:rsid w:val="2BC453FA"/>
    <w:rsid w:val="2BD15D21"/>
    <w:rsid w:val="366A124C"/>
    <w:rsid w:val="369B31B3"/>
    <w:rsid w:val="377D7F09"/>
    <w:rsid w:val="380A6843"/>
    <w:rsid w:val="38B202CF"/>
    <w:rsid w:val="3A6060F3"/>
    <w:rsid w:val="3A6559E4"/>
    <w:rsid w:val="3AB72586"/>
    <w:rsid w:val="3BFFA7B4"/>
    <w:rsid w:val="3CB96103"/>
    <w:rsid w:val="3CE641DB"/>
    <w:rsid w:val="3EFF67ED"/>
    <w:rsid w:val="3F0C10F2"/>
    <w:rsid w:val="3F3FD8CF"/>
    <w:rsid w:val="40A435AC"/>
    <w:rsid w:val="42200080"/>
    <w:rsid w:val="45521829"/>
    <w:rsid w:val="46067C57"/>
    <w:rsid w:val="485651E2"/>
    <w:rsid w:val="48627FD5"/>
    <w:rsid w:val="488C513A"/>
    <w:rsid w:val="48B42EB1"/>
    <w:rsid w:val="48B620CF"/>
    <w:rsid w:val="4A3164D8"/>
    <w:rsid w:val="4ADD3943"/>
    <w:rsid w:val="4F0B3CA6"/>
    <w:rsid w:val="50C24D76"/>
    <w:rsid w:val="51AA5A3C"/>
    <w:rsid w:val="53012CE5"/>
    <w:rsid w:val="55172147"/>
    <w:rsid w:val="557650C0"/>
    <w:rsid w:val="557F21C6"/>
    <w:rsid w:val="56A45C5C"/>
    <w:rsid w:val="570A1F63"/>
    <w:rsid w:val="57396EB2"/>
    <w:rsid w:val="58A106A5"/>
    <w:rsid w:val="5955464F"/>
    <w:rsid w:val="5AFE1C82"/>
    <w:rsid w:val="5CFA4246"/>
    <w:rsid w:val="5E7128C8"/>
    <w:rsid w:val="5F322057"/>
    <w:rsid w:val="61826B9A"/>
    <w:rsid w:val="65FFB0E0"/>
    <w:rsid w:val="67BB4BB4"/>
    <w:rsid w:val="68541290"/>
    <w:rsid w:val="6AFF9707"/>
    <w:rsid w:val="6B1E5B86"/>
    <w:rsid w:val="6B376C47"/>
    <w:rsid w:val="6C8934D3"/>
    <w:rsid w:val="6CDC7AA6"/>
    <w:rsid w:val="6E21572C"/>
    <w:rsid w:val="6E743803"/>
    <w:rsid w:val="6EF70BC7"/>
    <w:rsid w:val="6FFED316"/>
    <w:rsid w:val="719941B8"/>
    <w:rsid w:val="73F86BD4"/>
    <w:rsid w:val="740F0761"/>
    <w:rsid w:val="74C652C4"/>
    <w:rsid w:val="75377F70"/>
    <w:rsid w:val="771B7A52"/>
    <w:rsid w:val="783C798B"/>
    <w:rsid w:val="7A5D7732"/>
    <w:rsid w:val="7BD46C1B"/>
    <w:rsid w:val="7C831CEC"/>
    <w:rsid w:val="7CCA791B"/>
    <w:rsid w:val="7CE23944"/>
    <w:rsid w:val="7DFF9AD9"/>
    <w:rsid w:val="7FD7CE42"/>
    <w:rsid w:val="7FFF5CFE"/>
    <w:rsid w:val="BE37D4FB"/>
    <w:rsid w:val="BEFFE306"/>
    <w:rsid w:val="BFF0AFA2"/>
    <w:rsid w:val="DEF241B8"/>
    <w:rsid w:val="F77C4036"/>
    <w:rsid w:val="FBBD4F46"/>
    <w:rsid w:val="FCDD9992"/>
    <w:rsid w:val="FFF50AFF"/>
    <w:rsid w:val="FFF54C7C"/>
    <w:rsid w:val="FFFFD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30"/>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1"/>
    <w:qFormat/>
    <w:uiPriority w:val="0"/>
    <w:pPr>
      <w:keepNext/>
      <w:keepLines/>
      <w:numPr>
        <w:ilvl w:val="2"/>
        <w:numId w:val="1"/>
      </w:numPr>
      <w:spacing w:before="260" w:after="260" w:line="416" w:lineRule="auto"/>
      <w:outlineLvl w:val="2"/>
    </w:pPr>
    <w:rPr>
      <w:b/>
      <w:bCs/>
      <w:sz w:val="30"/>
      <w:szCs w:val="30"/>
    </w:rPr>
  </w:style>
  <w:style w:type="paragraph" w:styleId="7">
    <w:name w:val="heading 4"/>
    <w:basedOn w:val="1"/>
    <w:next w:val="1"/>
    <w:link w:val="32"/>
    <w:autoRedefine/>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8">
    <w:name w:val="heading 5"/>
    <w:basedOn w:val="1"/>
    <w:next w:val="1"/>
    <w:link w:val="33"/>
    <w:autoRedefine/>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34"/>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10">
    <w:name w:val="heading 7"/>
    <w:basedOn w:val="1"/>
    <w:next w:val="1"/>
    <w:link w:val="35"/>
    <w:autoRedefine/>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36"/>
    <w:autoRedefine/>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2">
    <w:name w:val="heading 9"/>
    <w:basedOn w:val="1"/>
    <w:next w:val="1"/>
    <w:link w:val="37"/>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link w:val="27"/>
    <w:autoRedefine/>
    <w:qFormat/>
    <w:uiPriority w:val="99"/>
    <w:pPr>
      <w:jc w:val="left"/>
    </w:pPr>
  </w:style>
  <w:style w:type="paragraph" w:styleId="3">
    <w:name w:val="Body Text"/>
    <w:basedOn w:val="1"/>
    <w:next w:val="2"/>
    <w:link w:val="28"/>
    <w:autoRedefine/>
    <w:qFormat/>
    <w:uiPriority w:val="99"/>
    <w:pPr>
      <w:tabs>
        <w:tab w:val="left" w:pos="420"/>
      </w:tabs>
      <w:spacing w:before="156" w:line="360" w:lineRule="auto"/>
      <w:jc w:val="center"/>
    </w:pPr>
    <w:rPr>
      <w:rFonts w:ascii="宋体" w:hAnsi="宋体"/>
      <w:sz w:val="24"/>
    </w:rPr>
  </w:style>
  <w:style w:type="paragraph" w:styleId="13">
    <w:name w:val="Normal Indent"/>
    <w:basedOn w:val="1"/>
    <w:link w:val="38"/>
    <w:autoRedefine/>
    <w:qFormat/>
    <w:uiPriority w:val="99"/>
    <w:pPr>
      <w:spacing w:before="120" w:beforeLines="50" w:line="360" w:lineRule="auto"/>
      <w:ind w:firstLine="512" w:firstLineChars="200"/>
    </w:pPr>
    <w:rPr>
      <w:spacing w:val="8"/>
      <w:sz w:val="24"/>
      <w:szCs w:val="20"/>
    </w:rPr>
  </w:style>
  <w:style w:type="paragraph" w:styleId="14">
    <w:name w:val="annotation text"/>
    <w:basedOn w:val="1"/>
    <w:link w:val="39"/>
    <w:autoRedefine/>
    <w:unhideWhenUsed/>
    <w:qFormat/>
    <w:uiPriority w:val="0"/>
    <w:pPr>
      <w:jc w:val="left"/>
    </w:pPr>
    <w:rPr>
      <w:kern w:val="0"/>
      <w:sz w:val="20"/>
    </w:rPr>
  </w:style>
  <w:style w:type="paragraph" w:styleId="15">
    <w:name w:val="Plain Text"/>
    <w:basedOn w:val="1"/>
    <w:link w:val="40"/>
    <w:autoRedefine/>
    <w:qFormat/>
    <w:uiPriority w:val="0"/>
    <w:rPr>
      <w:rFonts w:ascii="Calibri" w:hAnsi="Courier New"/>
      <w:szCs w:val="20"/>
    </w:rPr>
  </w:style>
  <w:style w:type="paragraph" w:styleId="16">
    <w:name w:val="Balloon Text"/>
    <w:basedOn w:val="1"/>
    <w:link w:val="41"/>
    <w:qFormat/>
    <w:uiPriority w:val="0"/>
    <w:rPr>
      <w:sz w:val="18"/>
      <w:szCs w:val="18"/>
    </w:rPr>
  </w:style>
  <w:style w:type="paragraph" w:styleId="17">
    <w:name w:val="footer"/>
    <w:basedOn w:val="1"/>
    <w:link w:val="42"/>
    <w:autoRedefine/>
    <w:qFormat/>
    <w:uiPriority w:val="0"/>
    <w:pPr>
      <w:tabs>
        <w:tab w:val="center" w:pos="4153"/>
        <w:tab w:val="right" w:pos="8306"/>
      </w:tabs>
      <w:snapToGrid w:val="0"/>
      <w:jc w:val="left"/>
    </w:pPr>
    <w:rPr>
      <w:sz w:val="18"/>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qFormat/>
    <w:uiPriority w:val="99"/>
    <w:pPr>
      <w:widowControl/>
      <w:spacing w:before="60" w:after="60" w:line="280" w:lineRule="atLeast"/>
      <w:ind w:right="291" w:firstLine="400"/>
    </w:pPr>
    <w:rPr>
      <w:rFonts w:ascii="宋体"/>
      <w:kern w:val="0"/>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qFormat/>
    <w:uiPriority w:val="0"/>
    <w:rPr>
      <w:color w:val="800080"/>
      <w:u w:val="single"/>
    </w:rPr>
  </w:style>
  <w:style w:type="character" w:styleId="25">
    <w:name w:val="Hyperlink"/>
    <w:autoRedefine/>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正文文本 2 字符"/>
    <w:link w:val="2"/>
    <w:qFormat/>
    <w:uiPriority w:val="99"/>
    <w:rPr>
      <w:kern w:val="2"/>
      <w:sz w:val="21"/>
      <w:szCs w:val="24"/>
    </w:rPr>
  </w:style>
  <w:style w:type="character" w:customStyle="1" w:styleId="28">
    <w:name w:val="正文文本 字符"/>
    <w:link w:val="3"/>
    <w:qFormat/>
    <w:uiPriority w:val="99"/>
    <w:rPr>
      <w:rFonts w:ascii="宋体" w:hAnsi="宋体"/>
      <w:kern w:val="2"/>
      <w:sz w:val="24"/>
      <w:szCs w:val="24"/>
    </w:rPr>
  </w:style>
  <w:style w:type="character" w:customStyle="1" w:styleId="29">
    <w:name w:val="标题 1 字符"/>
    <w:link w:val="4"/>
    <w:qFormat/>
    <w:uiPriority w:val="0"/>
    <w:rPr>
      <w:b/>
      <w:bCs/>
      <w:kern w:val="44"/>
      <w:sz w:val="44"/>
      <w:szCs w:val="44"/>
    </w:rPr>
  </w:style>
  <w:style w:type="character" w:customStyle="1" w:styleId="30">
    <w:name w:val="标题 2 字符"/>
    <w:link w:val="5"/>
    <w:qFormat/>
    <w:uiPriority w:val="0"/>
    <w:rPr>
      <w:rFonts w:ascii="等线 Light" w:hAnsi="等线 Light" w:eastAsia="等线 Light" w:cs="Times New Roman"/>
      <w:b/>
      <w:bCs/>
      <w:kern w:val="2"/>
      <w:sz w:val="32"/>
      <w:szCs w:val="32"/>
    </w:rPr>
  </w:style>
  <w:style w:type="character" w:customStyle="1" w:styleId="31">
    <w:name w:val="标题 3 字符"/>
    <w:link w:val="6"/>
    <w:qFormat/>
    <w:uiPriority w:val="0"/>
    <w:rPr>
      <w:b/>
      <w:bCs/>
      <w:kern w:val="2"/>
      <w:sz w:val="30"/>
      <w:szCs w:val="30"/>
    </w:rPr>
  </w:style>
  <w:style w:type="character" w:customStyle="1" w:styleId="32">
    <w:name w:val="标题 4 字符"/>
    <w:link w:val="7"/>
    <w:autoRedefine/>
    <w:qFormat/>
    <w:uiPriority w:val="0"/>
    <w:rPr>
      <w:rFonts w:ascii="宋体" w:hAnsi="宋体"/>
      <w:b/>
      <w:bCs/>
      <w:kern w:val="2"/>
      <w:sz w:val="28"/>
      <w:szCs w:val="28"/>
    </w:rPr>
  </w:style>
  <w:style w:type="character" w:customStyle="1" w:styleId="33">
    <w:name w:val="标题 5 字符"/>
    <w:link w:val="8"/>
    <w:qFormat/>
    <w:uiPriority w:val="0"/>
    <w:rPr>
      <w:b/>
      <w:bCs/>
      <w:kern w:val="2"/>
      <w:sz w:val="28"/>
      <w:szCs w:val="28"/>
    </w:rPr>
  </w:style>
  <w:style w:type="character" w:customStyle="1" w:styleId="34">
    <w:name w:val="标题 6 字符"/>
    <w:link w:val="9"/>
    <w:semiHidden/>
    <w:qFormat/>
    <w:uiPriority w:val="0"/>
    <w:rPr>
      <w:rFonts w:ascii="等线 Light" w:hAnsi="等线 Light" w:eastAsia="等线 Light"/>
      <w:b/>
      <w:bCs/>
      <w:kern w:val="2"/>
      <w:sz w:val="24"/>
      <w:szCs w:val="24"/>
    </w:rPr>
  </w:style>
  <w:style w:type="character" w:customStyle="1" w:styleId="35">
    <w:name w:val="标题 7 字符"/>
    <w:link w:val="10"/>
    <w:semiHidden/>
    <w:qFormat/>
    <w:uiPriority w:val="0"/>
    <w:rPr>
      <w:b/>
      <w:bCs/>
      <w:kern w:val="2"/>
      <w:sz w:val="24"/>
      <w:szCs w:val="24"/>
    </w:rPr>
  </w:style>
  <w:style w:type="character" w:customStyle="1" w:styleId="36">
    <w:name w:val="标题 8 字符"/>
    <w:link w:val="11"/>
    <w:semiHidden/>
    <w:qFormat/>
    <w:uiPriority w:val="0"/>
    <w:rPr>
      <w:rFonts w:ascii="等线 Light" w:hAnsi="等线 Light" w:eastAsia="等线 Light"/>
      <w:kern w:val="2"/>
      <w:sz w:val="24"/>
      <w:szCs w:val="24"/>
    </w:rPr>
  </w:style>
  <w:style w:type="character" w:customStyle="1" w:styleId="37">
    <w:name w:val="标题 9 字符"/>
    <w:link w:val="12"/>
    <w:semiHidden/>
    <w:qFormat/>
    <w:uiPriority w:val="0"/>
    <w:rPr>
      <w:rFonts w:ascii="等线 Light" w:hAnsi="等线 Light" w:eastAsia="等线 Light"/>
      <w:kern w:val="2"/>
      <w:sz w:val="21"/>
      <w:szCs w:val="21"/>
    </w:rPr>
  </w:style>
  <w:style w:type="character" w:customStyle="1" w:styleId="38">
    <w:name w:val="正文缩进 字符"/>
    <w:link w:val="13"/>
    <w:qFormat/>
    <w:uiPriority w:val="99"/>
    <w:rPr>
      <w:spacing w:val="8"/>
      <w:kern w:val="2"/>
      <w:sz w:val="24"/>
    </w:rPr>
  </w:style>
  <w:style w:type="character" w:customStyle="1" w:styleId="39">
    <w:name w:val="批注文字 字符1"/>
    <w:link w:val="14"/>
    <w:qFormat/>
    <w:uiPriority w:val="0"/>
    <w:rPr>
      <w:szCs w:val="24"/>
    </w:rPr>
  </w:style>
  <w:style w:type="character" w:customStyle="1" w:styleId="40">
    <w:name w:val="纯文本 字符"/>
    <w:link w:val="15"/>
    <w:qFormat/>
    <w:uiPriority w:val="0"/>
    <w:rPr>
      <w:rFonts w:ascii="Calibri" w:hAnsi="Courier New"/>
      <w:kern w:val="2"/>
      <w:sz w:val="21"/>
    </w:rPr>
  </w:style>
  <w:style w:type="character" w:customStyle="1" w:styleId="41">
    <w:name w:val="批注框文本 字符"/>
    <w:link w:val="16"/>
    <w:qFormat/>
    <w:uiPriority w:val="0"/>
    <w:rPr>
      <w:kern w:val="2"/>
      <w:sz w:val="18"/>
      <w:szCs w:val="18"/>
    </w:rPr>
  </w:style>
  <w:style w:type="character" w:customStyle="1" w:styleId="42">
    <w:name w:val="页脚 字符1"/>
    <w:link w:val="17"/>
    <w:qFormat/>
    <w:uiPriority w:val="0"/>
    <w:rPr>
      <w:kern w:val="2"/>
      <w:sz w:val="18"/>
      <w:szCs w:val="18"/>
    </w:rPr>
  </w:style>
  <w:style w:type="character" w:customStyle="1" w:styleId="43">
    <w:name w:val="页眉 字符"/>
    <w:link w:val="18"/>
    <w:qFormat/>
    <w:uiPriority w:val="0"/>
    <w:rPr>
      <w:kern w:val="2"/>
      <w:sz w:val="18"/>
      <w:szCs w:val="18"/>
    </w:rPr>
  </w:style>
  <w:style w:type="character" w:customStyle="1" w:styleId="44">
    <w:name w:val="页脚 字符"/>
    <w:qFormat/>
    <w:uiPriority w:val="99"/>
  </w:style>
  <w:style w:type="character" w:customStyle="1" w:styleId="45">
    <w:name w:val="正文（首行缩进2字符） Char"/>
    <w:link w:val="46"/>
    <w:qFormat/>
    <w:uiPriority w:val="0"/>
    <w:rPr>
      <w:kern w:val="2"/>
      <w:sz w:val="24"/>
      <w:szCs w:val="24"/>
    </w:rPr>
  </w:style>
  <w:style w:type="paragraph" w:customStyle="1" w:styleId="46">
    <w:name w:val="正文（首行缩进2字符）"/>
    <w:basedOn w:val="1"/>
    <w:link w:val="45"/>
    <w:qFormat/>
    <w:uiPriority w:val="0"/>
    <w:pPr>
      <w:spacing w:line="360" w:lineRule="auto"/>
      <w:ind w:firstLine="480" w:firstLineChars="200"/>
    </w:pPr>
    <w:rPr>
      <w:sz w:val="24"/>
    </w:rPr>
  </w:style>
  <w:style w:type="character" w:customStyle="1" w:styleId="47">
    <w:name w:val="段落 Char1"/>
    <w:link w:val="48"/>
    <w:qFormat/>
    <w:uiPriority w:val="0"/>
    <w:rPr>
      <w:rFonts w:eastAsia="仿宋_GB2312"/>
      <w:sz w:val="24"/>
      <w:szCs w:val="24"/>
      <w:lang w:val="en-US" w:eastAsia="zh-CN" w:bidi="ar-SA"/>
    </w:rPr>
  </w:style>
  <w:style w:type="paragraph" w:customStyle="1" w:styleId="48">
    <w:name w:val="段落"/>
    <w:link w:val="47"/>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9">
    <w:name w:val="正文（安华金和） Char"/>
    <w:link w:val="50"/>
    <w:qFormat/>
    <w:uiPriority w:val="0"/>
    <w:rPr>
      <w:rFonts w:ascii="Arial" w:hAnsi="Arial"/>
      <w:sz w:val="21"/>
      <w:szCs w:val="21"/>
      <w:lang w:val="en-US" w:eastAsia="zh-CN" w:bidi="ar-SA"/>
    </w:rPr>
  </w:style>
  <w:style w:type="paragraph" w:customStyle="1" w:styleId="50">
    <w:name w:val="正文（安华金和）"/>
    <w:link w:val="49"/>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1">
    <w:name w:val="列表段落 字符"/>
    <w:link w:val="52"/>
    <w:qFormat/>
    <w:uiPriority w:val="34"/>
    <w:rPr>
      <w:rFonts w:ascii="等线" w:hAnsi="等线" w:eastAsia="等线"/>
      <w:kern w:val="2"/>
      <w:sz w:val="21"/>
      <w:szCs w:val="22"/>
    </w:rPr>
  </w:style>
  <w:style w:type="paragraph" w:styleId="52">
    <w:name w:val="List Paragraph"/>
    <w:basedOn w:val="1"/>
    <w:link w:val="51"/>
    <w:qFormat/>
    <w:uiPriority w:val="34"/>
    <w:pPr>
      <w:ind w:firstLine="420" w:firstLineChars="200"/>
    </w:pPr>
    <w:rPr>
      <w:rFonts w:ascii="等线" w:hAnsi="等线" w:eastAsia="等线"/>
      <w:szCs w:val="22"/>
    </w:rPr>
  </w:style>
  <w:style w:type="paragraph" w:customStyle="1" w:styleId="53">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4">
    <w:name w:val="标题 2（DBSec）"/>
    <w:basedOn w:val="5"/>
    <w:next w:val="1"/>
    <w:qFormat/>
    <w:uiPriority w:val="0"/>
    <w:pPr>
      <w:numPr>
        <w:numId w:val="2"/>
      </w:numPr>
      <w:spacing w:line="415" w:lineRule="auto"/>
      <w:ind w:left="794" w:leftChars="200"/>
      <w:jc w:val="left"/>
    </w:pPr>
    <w:rPr>
      <w:rFonts w:ascii="Arial" w:hAnsi="Arial" w:eastAsia="黑体"/>
      <w:bCs w:val="0"/>
    </w:rPr>
  </w:style>
  <w:style w:type="paragraph" w:customStyle="1" w:styleId="5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6">
    <w:name w:val="_Style 27"/>
    <w:basedOn w:val="1"/>
    <w:next w:val="52"/>
    <w:qFormat/>
    <w:uiPriority w:val="34"/>
    <w:pPr>
      <w:widowControl/>
      <w:spacing w:line="240" w:lineRule="atLeast"/>
      <w:ind w:firstLine="420" w:firstLineChars="200"/>
    </w:pPr>
    <w:rPr>
      <w:rFonts w:ascii="Arial" w:hAnsi="Arial"/>
      <w:kern w:val="0"/>
      <w:szCs w:val="21"/>
    </w:rPr>
  </w:style>
  <w:style w:type="paragraph" w:customStyle="1" w:styleId="57">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8">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9">
    <w:name w:val="标题 4（DBSec）"/>
    <w:basedOn w:val="7"/>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60">
    <w:name w:val="标题 3（DBSec）"/>
    <w:basedOn w:val="6"/>
    <w:next w:val="1"/>
    <w:qFormat/>
    <w:uiPriority w:val="0"/>
    <w:pPr>
      <w:numPr>
        <w:numId w:val="2"/>
      </w:numPr>
      <w:tabs>
        <w:tab w:val="left" w:pos="960"/>
      </w:tabs>
      <w:spacing w:line="415" w:lineRule="auto"/>
      <w:ind w:left="200" w:leftChars="200"/>
      <w:jc w:val="left"/>
    </w:pPr>
    <w:rPr>
      <w:rFonts w:ascii="Arial" w:hAnsi="Arial" w:eastAsia="黑体"/>
      <w:bCs w:val="0"/>
      <w:kern w:val="0"/>
    </w:rPr>
  </w:style>
  <w:style w:type="paragraph" w:customStyle="1" w:styleId="61">
    <w:name w:val="标题 1（DBSec）"/>
    <w:basedOn w:val="4"/>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2">
    <w:name w:val="彩色列表 - 着色 11"/>
    <w:basedOn w:val="1"/>
    <w:qFormat/>
    <w:uiPriority w:val="34"/>
    <w:pPr>
      <w:spacing w:line="360" w:lineRule="auto"/>
      <w:ind w:firstLine="420" w:firstLineChars="200"/>
    </w:pPr>
    <w:rPr>
      <w:rFonts w:ascii="Arial" w:hAnsi="Arial"/>
      <w:szCs w:val="21"/>
    </w:rPr>
  </w:style>
  <w:style w:type="paragraph" w:customStyle="1" w:styleId="63">
    <w:name w:val="表格标注（安华金和）"/>
    <w:basedOn w:val="53"/>
    <w:next w:val="1"/>
    <w:qFormat/>
    <w:uiPriority w:val="0"/>
    <w:pPr>
      <w:numPr>
        <w:ilvl w:val="7"/>
      </w:numPr>
    </w:pPr>
  </w:style>
  <w:style w:type="paragraph" w:customStyle="1" w:styleId="64">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5">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6">
    <w:name w:val="批注文字 字符"/>
    <w:qFormat/>
    <w:uiPriority w:val="99"/>
    <w:rPr>
      <w:kern w:val="2"/>
      <w:sz w:val="21"/>
      <w:szCs w:val="24"/>
    </w:rPr>
  </w:style>
  <w:style w:type="character" w:customStyle="1" w:styleId="67">
    <w:name w:val="font31"/>
    <w:qFormat/>
    <w:uiPriority w:val="0"/>
    <w:rPr>
      <w:rFonts w:hint="eastAsia" w:ascii="微软雅黑" w:hAnsi="微软雅黑" w:eastAsia="微软雅黑" w:cs="微软雅黑"/>
      <w:color w:val="FF0000"/>
      <w:sz w:val="20"/>
      <w:szCs w:val="20"/>
      <w:u w:val="none"/>
    </w:rPr>
  </w:style>
  <w:style w:type="character" w:customStyle="1" w:styleId="68">
    <w:name w:val="font21"/>
    <w:qFormat/>
    <w:uiPriority w:val="0"/>
    <w:rPr>
      <w:rFonts w:hint="eastAsia" w:ascii="微软雅黑" w:hAnsi="微软雅黑" w:eastAsia="微软雅黑" w:cs="微软雅黑"/>
      <w:color w:val="000000"/>
      <w:sz w:val="20"/>
      <w:szCs w:val="20"/>
      <w:u w:val="none"/>
    </w:rPr>
  </w:style>
  <w:style w:type="paragraph" w:customStyle="1" w:styleId="69">
    <w:name w:val="楷体粗正文文字"/>
    <w:basedOn w:val="1"/>
    <w:next w:val="19"/>
    <w:qFormat/>
    <w:uiPriority w:val="0"/>
    <w:pPr>
      <w:snapToGrid w:val="0"/>
      <w:spacing w:line="480" w:lineRule="exact"/>
      <w:ind w:firstLine="560"/>
    </w:pPr>
    <w:rPr>
      <w:sz w:val="28"/>
    </w:rPr>
  </w:style>
  <w:style w:type="character" w:customStyle="1" w:styleId="70">
    <w:name w:val="列表段落 字符1"/>
    <w:qFormat/>
    <w:uiPriority w:val="34"/>
    <w:rPr>
      <w:kern w:val="2"/>
      <w:sz w:val="21"/>
      <w:szCs w:val="22"/>
    </w:rPr>
  </w:style>
  <w:style w:type="paragraph" w:customStyle="1" w:styleId="7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4623</Words>
  <Characters>5083</Characters>
  <Lines>45</Lines>
  <Paragraphs>12</Paragraphs>
  <TotalTime>1</TotalTime>
  <ScaleCrop>false</ScaleCrop>
  <LinksUpToDate>false</LinksUpToDate>
  <CharactersWithSpaces>5109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2024-06-24T09:54:00Z</dcterms:created>
  <dc:creator>XXK_PC01</dc:creator>
  <cp:lastModifiedBy>信管处张芳健</cp:lastModifiedBy>
  <dcterms:modified xsi:type="dcterms:W3CDTF">2024-07-03T01:49:21Z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0158F22FB46812505FC36966E6661037_43</vt:lpwstr>
  </property>
</Properties>
</file>