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13FA9">
      <w:pPr>
        <w:spacing w:before="624" w:beforeLines="200" w:after="312" w:afterLines="100" w:line="360" w:lineRule="auto"/>
        <w:jc w:val="center"/>
        <w:rPr>
          <w:rFonts w:ascii="微软雅黑" w:hAnsi="微软雅黑" w:eastAsia="微软雅黑" w:cs="微软雅黑"/>
          <w:b/>
          <w:sz w:val="44"/>
          <w:szCs w:val="30"/>
        </w:rPr>
      </w:pPr>
      <w:r>
        <w:rPr>
          <w:rFonts w:hint="eastAsia" w:ascii="微软雅黑" w:hAnsi="微软雅黑" w:eastAsia="微软雅黑" w:cs="微软雅黑"/>
          <w:b/>
          <w:sz w:val="44"/>
          <w:szCs w:val="30"/>
        </w:rPr>
        <w:t>基于区块链技术的“粤康链”项目需求</w:t>
      </w:r>
    </w:p>
    <w:p w14:paraId="08A18D54">
      <w:pPr>
        <w:pStyle w:val="75"/>
        <w:rPr>
          <w:rFonts w:hint="default"/>
        </w:rPr>
      </w:pPr>
      <w:r>
        <w:t>项目名称</w:t>
      </w:r>
    </w:p>
    <w:p w14:paraId="7D054E85">
      <w:pPr>
        <w:snapToGrid w:val="0"/>
        <w:spacing w:line="360" w:lineRule="auto"/>
        <w:ind w:left="431"/>
        <w:rPr>
          <w:rFonts w:ascii="微软雅黑" w:hAnsi="微软雅黑" w:eastAsia="微软雅黑" w:cs="微软雅黑"/>
          <w:sz w:val="22"/>
        </w:rPr>
      </w:pPr>
      <w:r>
        <w:rPr>
          <w:rFonts w:hint="eastAsia" w:ascii="微软雅黑" w:hAnsi="微软雅黑" w:eastAsia="微软雅黑" w:cs="微软雅黑"/>
          <w:sz w:val="32"/>
          <w:szCs w:val="32"/>
        </w:rPr>
        <w:t>项目名称：基于区块链技术的“粤康链”项目</w:t>
      </w:r>
    </w:p>
    <w:p w14:paraId="11CE5829">
      <w:pPr>
        <w:pStyle w:val="75"/>
        <w:rPr>
          <w:rFonts w:hint="default"/>
        </w:rPr>
      </w:pPr>
      <w:r>
        <w:rPr>
          <w:rFonts w:hint="eastAsia"/>
          <w:lang w:val="en-US" w:eastAsia="zh-CN"/>
        </w:rPr>
        <w:t>项目</w:t>
      </w:r>
      <w:r>
        <w:t>内容</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2"/>
        <w:gridCol w:w="2160"/>
        <w:gridCol w:w="3080"/>
        <w:gridCol w:w="3351"/>
      </w:tblGrid>
      <w:tr w14:paraId="6F33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tcPr>
          <w:p w14:paraId="34A7C00C">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160" w:type="dxa"/>
            <w:tcBorders>
              <w:top w:val="single" w:color="auto" w:sz="4" w:space="0"/>
              <w:left w:val="single" w:color="auto" w:sz="4" w:space="0"/>
              <w:bottom w:val="single" w:color="auto" w:sz="4" w:space="0"/>
              <w:right w:val="single" w:color="auto" w:sz="4" w:space="0"/>
            </w:tcBorders>
          </w:tcPr>
          <w:p w14:paraId="58094627">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模块</w:t>
            </w:r>
            <w:r>
              <w:rPr>
                <w:rFonts w:hint="eastAsia" w:ascii="微软雅黑" w:hAnsi="微软雅黑" w:eastAsia="微软雅黑" w:cs="微软雅黑"/>
                <w:sz w:val="21"/>
                <w:szCs w:val="21"/>
              </w:rPr>
              <w:t>名称</w:t>
            </w:r>
          </w:p>
        </w:tc>
        <w:tc>
          <w:tcPr>
            <w:tcW w:w="3080" w:type="dxa"/>
            <w:tcBorders>
              <w:top w:val="single" w:color="auto" w:sz="4" w:space="0"/>
              <w:left w:val="single" w:color="auto" w:sz="4" w:space="0"/>
              <w:bottom w:val="single" w:color="auto" w:sz="4" w:space="0"/>
              <w:right w:val="single" w:color="auto" w:sz="4" w:space="0"/>
            </w:tcBorders>
          </w:tcPr>
          <w:p w14:paraId="4C541135">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模块</w:t>
            </w:r>
            <w:r>
              <w:rPr>
                <w:rFonts w:hint="eastAsia" w:ascii="微软雅黑" w:hAnsi="微软雅黑" w:eastAsia="微软雅黑" w:cs="微软雅黑"/>
                <w:sz w:val="21"/>
                <w:szCs w:val="21"/>
                <w:lang w:val="en-US" w:eastAsia="zh-CN"/>
              </w:rPr>
              <w:t>需求</w:t>
            </w:r>
          </w:p>
        </w:tc>
        <w:tc>
          <w:tcPr>
            <w:tcW w:w="3351" w:type="dxa"/>
            <w:tcBorders>
              <w:top w:val="single" w:color="auto" w:sz="4" w:space="0"/>
              <w:left w:val="single" w:color="auto" w:sz="4" w:space="0"/>
              <w:bottom w:val="single" w:color="auto" w:sz="4" w:space="0"/>
              <w:right w:val="single" w:color="auto" w:sz="4" w:space="0"/>
            </w:tcBorders>
          </w:tcPr>
          <w:p w14:paraId="70E54023">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详细参数</w:t>
            </w:r>
          </w:p>
        </w:tc>
      </w:tr>
      <w:tr w14:paraId="308A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restart"/>
            <w:tcBorders>
              <w:top w:val="single" w:color="auto" w:sz="4" w:space="0"/>
              <w:left w:val="single" w:color="auto" w:sz="4" w:space="0"/>
              <w:right w:val="single" w:color="auto" w:sz="4" w:space="0"/>
            </w:tcBorders>
            <w:vAlign w:val="center"/>
          </w:tcPr>
          <w:p w14:paraId="7EBA2FCA">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160" w:type="dxa"/>
            <w:vMerge w:val="restart"/>
            <w:tcBorders>
              <w:top w:val="single" w:color="auto" w:sz="4" w:space="0"/>
              <w:left w:val="single" w:color="auto" w:sz="4" w:space="0"/>
              <w:right w:val="single" w:color="auto" w:sz="4" w:space="0"/>
            </w:tcBorders>
            <w:vAlign w:val="center"/>
          </w:tcPr>
          <w:p w14:paraId="55FD419C">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“粤康链”平台底链</w:t>
            </w:r>
          </w:p>
        </w:tc>
        <w:tc>
          <w:tcPr>
            <w:tcW w:w="3080" w:type="dxa"/>
            <w:tcBorders>
              <w:top w:val="single" w:color="auto" w:sz="4" w:space="0"/>
              <w:left w:val="single" w:color="auto" w:sz="4" w:space="0"/>
              <w:bottom w:val="single" w:color="auto" w:sz="4" w:space="0"/>
              <w:right w:val="single" w:color="auto" w:sz="4" w:space="0"/>
            </w:tcBorders>
          </w:tcPr>
          <w:p w14:paraId="64389CA3">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底链框架需求</w:t>
            </w:r>
          </w:p>
        </w:tc>
        <w:tc>
          <w:tcPr>
            <w:tcW w:w="3351" w:type="dxa"/>
            <w:tcBorders>
              <w:top w:val="single" w:color="auto" w:sz="4" w:space="0"/>
              <w:left w:val="single" w:color="auto" w:sz="4" w:space="0"/>
              <w:bottom w:val="single" w:color="auto" w:sz="4" w:space="0"/>
              <w:right w:val="single" w:color="auto" w:sz="4" w:space="0"/>
            </w:tcBorders>
            <w:vAlign w:val="center"/>
          </w:tcPr>
          <w:p w14:paraId="0464D875">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1.1项</w:t>
            </w:r>
          </w:p>
        </w:tc>
      </w:tr>
      <w:tr w14:paraId="738C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bottom w:val="single" w:color="auto" w:sz="4" w:space="0"/>
              <w:right w:val="single" w:color="auto" w:sz="4" w:space="0"/>
            </w:tcBorders>
            <w:vAlign w:val="center"/>
          </w:tcPr>
          <w:p w14:paraId="6F00A3B3">
            <w:pPr>
              <w:snapToGrid w:val="0"/>
              <w:jc w:val="center"/>
              <w:rPr>
                <w:rFonts w:hint="eastAsia" w:ascii="微软雅黑" w:hAnsi="微软雅黑" w:eastAsia="微软雅黑" w:cs="微软雅黑"/>
                <w:sz w:val="21"/>
                <w:szCs w:val="21"/>
              </w:rPr>
            </w:pPr>
          </w:p>
        </w:tc>
        <w:tc>
          <w:tcPr>
            <w:tcW w:w="2160" w:type="dxa"/>
            <w:vMerge w:val="continue"/>
            <w:tcBorders>
              <w:left w:val="single" w:color="auto" w:sz="4" w:space="0"/>
              <w:bottom w:val="single" w:color="auto" w:sz="4" w:space="0"/>
              <w:right w:val="single" w:color="auto" w:sz="4" w:space="0"/>
            </w:tcBorders>
            <w:vAlign w:val="center"/>
          </w:tcPr>
          <w:p w14:paraId="02F65E5A">
            <w:pPr>
              <w:snapToGrid w:val="0"/>
              <w:jc w:val="center"/>
              <w:rPr>
                <w:rFonts w:hint="eastAsia" w:ascii="微软雅黑" w:hAnsi="微软雅黑" w:eastAsia="微软雅黑" w:cs="微软雅黑"/>
                <w:sz w:val="21"/>
                <w:szCs w:val="21"/>
              </w:rPr>
            </w:pPr>
          </w:p>
        </w:tc>
        <w:tc>
          <w:tcPr>
            <w:tcW w:w="3080" w:type="dxa"/>
            <w:tcBorders>
              <w:top w:val="single" w:color="auto" w:sz="4" w:space="0"/>
              <w:left w:val="single" w:color="auto" w:sz="4" w:space="0"/>
              <w:bottom w:val="single" w:color="auto" w:sz="4" w:space="0"/>
              <w:right w:val="single" w:color="auto" w:sz="4" w:space="0"/>
            </w:tcBorders>
          </w:tcPr>
          <w:p w14:paraId="5CB613EC">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底链技术需求</w:t>
            </w:r>
          </w:p>
        </w:tc>
        <w:tc>
          <w:tcPr>
            <w:tcW w:w="3351" w:type="dxa"/>
            <w:tcBorders>
              <w:top w:val="single" w:color="auto" w:sz="4" w:space="0"/>
              <w:left w:val="single" w:color="auto" w:sz="4" w:space="0"/>
              <w:bottom w:val="single" w:color="auto" w:sz="4" w:space="0"/>
              <w:right w:val="single" w:color="auto" w:sz="4" w:space="0"/>
            </w:tcBorders>
            <w:vAlign w:val="center"/>
          </w:tcPr>
          <w:p w14:paraId="1293918F">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1.2项</w:t>
            </w:r>
          </w:p>
        </w:tc>
      </w:tr>
      <w:tr w14:paraId="6B5F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92" w:type="dxa"/>
            <w:vMerge w:val="restart"/>
            <w:tcBorders>
              <w:top w:val="single" w:color="auto" w:sz="4" w:space="0"/>
              <w:left w:val="single" w:color="auto" w:sz="4" w:space="0"/>
              <w:right w:val="single" w:color="auto" w:sz="4" w:space="0"/>
            </w:tcBorders>
            <w:vAlign w:val="center"/>
          </w:tcPr>
          <w:p w14:paraId="5C89136D">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2160" w:type="dxa"/>
            <w:vMerge w:val="restart"/>
            <w:tcBorders>
              <w:top w:val="single" w:color="auto" w:sz="4" w:space="0"/>
              <w:left w:val="single" w:color="auto" w:sz="4" w:space="0"/>
              <w:right w:val="single" w:color="auto" w:sz="4" w:space="0"/>
            </w:tcBorders>
            <w:vAlign w:val="center"/>
          </w:tcPr>
          <w:p w14:paraId="13236A2D">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服务中台</w:t>
            </w:r>
          </w:p>
        </w:tc>
        <w:tc>
          <w:tcPr>
            <w:tcW w:w="3080" w:type="dxa"/>
            <w:tcBorders>
              <w:top w:val="single" w:color="auto" w:sz="4" w:space="0"/>
              <w:left w:val="single" w:color="auto" w:sz="4" w:space="0"/>
              <w:bottom w:val="single" w:color="auto" w:sz="4" w:space="0"/>
              <w:right w:val="single" w:color="auto" w:sz="4" w:space="0"/>
            </w:tcBorders>
            <w:vAlign w:val="center"/>
          </w:tcPr>
          <w:p w14:paraId="7F5214F3">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数据服务中台</w:t>
            </w:r>
          </w:p>
        </w:tc>
        <w:tc>
          <w:tcPr>
            <w:tcW w:w="3351" w:type="dxa"/>
            <w:tcBorders>
              <w:top w:val="single" w:color="auto" w:sz="4" w:space="0"/>
              <w:left w:val="single" w:color="auto" w:sz="4" w:space="0"/>
              <w:bottom w:val="single" w:color="auto" w:sz="4" w:space="0"/>
              <w:right w:val="single" w:color="auto" w:sz="4" w:space="0"/>
            </w:tcBorders>
            <w:vAlign w:val="center"/>
          </w:tcPr>
          <w:p w14:paraId="4C31E7C2">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2.1项</w:t>
            </w:r>
          </w:p>
        </w:tc>
      </w:tr>
      <w:tr w14:paraId="644E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2ABFD3EA">
            <w:pPr>
              <w:snapToGrid w:val="0"/>
              <w:jc w:val="center"/>
              <w:rPr>
                <w:rFonts w:hint="eastAsia" w:ascii="微软雅黑" w:hAnsi="微软雅黑" w:eastAsia="微软雅黑" w:cs="微软雅黑"/>
                <w:sz w:val="21"/>
                <w:szCs w:val="21"/>
              </w:rPr>
            </w:pPr>
          </w:p>
        </w:tc>
        <w:tc>
          <w:tcPr>
            <w:tcW w:w="2160" w:type="dxa"/>
            <w:vMerge w:val="continue"/>
            <w:tcBorders>
              <w:left w:val="single" w:color="auto" w:sz="4" w:space="0"/>
              <w:right w:val="single" w:color="auto" w:sz="4" w:space="0"/>
            </w:tcBorders>
            <w:vAlign w:val="center"/>
          </w:tcPr>
          <w:p w14:paraId="74FF51A2">
            <w:pPr>
              <w:snapToGrid w:val="0"/>
              <w:jc w:val="center"/>
              <w:rPr>
                <w:rFonts w:hint="eastAsia" w:ascii="微软雅黑" w:hAnsi="微软雅黑" w:eastAsia="微软雅黑" w:cs="微软雅黑"/>
                <w:sz w:val="21"/>
                <w:szCs w:val="21"/>
              </w:rPr>
            </w:pPr>
          </w:p>
        </w:tc>
        <w:tc>
          <w:tcPr>
            <w:tcW w:w="3080" w:type="dxa"/>
            <w:tcBorders>
              <w:top w:val="single" w:color="auto" w:sz="4" w:space="0"/>
              <w:left w:val="single" w:color="auto" w:sz="4" w:space="0"/>
              <w:bottom w:val="single" w:color="auto" w:sz="4" w:space="0"/>
              <w:right w:val="single" w:color="auto" w:sz="4" w:space="0"/>
            </w:tcBorders>
            <w:vAlign w:val="center"/>
          </w:tcPr>
          <w:p w14:paraId="596EE00C">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技术服务中台</w:t>
            </w:r>
          </w:p>
        </w:tc>
        <w:tc>
          <w:tcPr>
            <w:tcW w:w="3351" w:type="dxa"/>
            <w:tcBorders>
              <w:top w:val="single" w:color="auto" w:sz="4" w:space="0"/>
              <w:left w:val="single" w:color="auto" w:sz="4" w:space="0"/>
              <w:bottom w:val="single" w:color="auto" w:sz="4" w:space="0"/>
              <w:right w:val="single" w:color="auto" w:sz="4" w:space="0"/>
            </w:tcBorders>
            <w:vAlign w:val="center"/>
          </w:tcPr>
          <w:p w14:paraId="3D03D2F7">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2.2项</w:t>
            </w:r>
          </w:p>
        </w:tc>
      </w:tr>
      <w:tr w14:paraId="3821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bottom w:val="single" w:color="auto" w:sz="4" w:space="0"/>
              <w:right w:val="single" w:color="auto" w:sz="4" w:space="0"/>
            </w:tcBorders>
            <w:vAlign w:val="center"/>
          </w:tcPr>
          <w:p w14:paraId="7549E1E9">
            <w:pPr>
              <w:snapToGrid w:val="0"/>
              <w:jc w:val="center"/>
              <w:rPr>
                <w:rFonts w:hint="eastAsia" w:ascii="微软雅黑" w:hAnsi="微软雅黑" w:eastAsia="微软雅黑" w:cs="微软雅黑"/>
                <w:sz w:val="21"/>
                <w:szCs w:val="21"/>
                <w:lang w:val="en-US" w:eastAsia="zh-CN"/>
              </w:rPr>
            </w:pPr>
          </w:p>
        </w:tc>
        <w:tc>
          <w:tcPr>
            <w:tcW w:w="2160" w:type="dxa"/>
            <w:vMerge w:val="continue"/>
            <w:tcBorders>
              <w:left w:val="single" w:color="auto" w:sz="4" w:space="0"/>
              <w:bottom w:val="single" w:color="auto" w:sz="4" w:space="0"/>
              <w:right w:val="single" w:color="auto" w:sz="4" w:space="0"/>
            </w:tcBorders>
            <w:vAlign w:val="center"/>
          </w:tcPr>
          <w:p w14:paraId="1431495F">
            <w:pPr>
              <w:snapToGrid w:val="0"/>
              <w:jc w:val="center"/>
              <w:rPr>
                <w:rFonts w:hint="eastAsia" w:ascii="微软雅黑" w:hAnsi="微软雅黑" w:eastAsia="微软雅黑" w:cs="微软雅黑"/>
                <w:sz w:val="21"/>
                <w:szCs w:val="21"/>
              </w:rPr>
            </w:pPr>
          </w:p>
        </w:tc>
        <w:tc>
          <w:tcPr>
            <w:tcW w:w="3080" w:type="dxa"/>
            <w:tcBorders>
              <w:top w:val="single" w:color="auto" w:sz="4" w:space="0"/>
              <w:left w:val="single" w:color="auto" w:sz="4" w:space="0"/>
              <w:bottom w:val="single" w:color="auto" w:sz="4" w:space="0"/>
              <w:right w:val="single" w:color="auto" w:sz="4" w:space="0"/>
            </w:tcBorders>
            <w:vAlign w:val="center"/>
          </w:tcPr>
          <w:p w14:paraId="17F3756A">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其它业务服务中台</w:t>
            </w:r>
          </w:p>
        </w:tc>
        <w:tc>
          <w:tcPr>
            <w:tcW w:w="3351" w:type="dxa"/>
            <w:tcBorders>
              <w:top w:val="single" w:color="auto" w:sz="4" w:space="0"/>
              <w:left w:val="single" w:color="auto" w:sz="4" w:space="0"/>
              <w:bottom w:val="single" w:color="auto" w:sz="4" w:space="0"/>
              <w:right w:val="single" w:color="auto" w:sz="4" w:space="0"/>
            </w:tcBorders>
            <w:vAlign w:val="center"/>
          </w:tcPr>
          <w:p w14:paraId="33E27F4D">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2.3项</w:t>
            </w:r>
          </w:p>
        </w:tc>
      </w:tr>
      <w:tr w14:paraId="051F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2" w:type="dxa"/>
            <w:vMerge w:val="restart"/>
            <w:tcBorders>
              <w:top w:val="single" w:color="auto" w:sz="4" w:space="0"/>
              <w:left w:val="single" w:color="auto" w:sz="4" w:space="0"/>
              <w:right w:val="single" w:color="auto" w:sz="4" w:space="0"/>
            </w:tcBorders>
            <w:vAlign w:val="center"/>
          </w:tcPr>
          <w:p w14:paraId="42A18D55">
            <w:pPr>
              <w:snapToGrid w:val="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2160" w:type="dxa"/>
            <w:vMerge w:val="restart"/>
            <w:tcBorders>
              <w:top w:val="single" w:color="auto" w:sz="4" w:space="0"/>
              <w:left w:val="single" w:color="auto" w:sz="4" w:space="0"/>
              <w:right w:val="single" w:color="auto" w:sz="4" w:space="0"/>
            </w:tcBorders>
            <w:vAlign w:val="center"/>
          </w:tcPr>
          <w:p w14:paraId="0C010415">
            <w:pPr>
              <w:snapToGrid w:val="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粤康链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硬件采购</w:t>
            </w:r>
          </w:p>
        </w:tc>
        <w:tc>
          <w:tcPr>
            <w:tcW w:w="3080" w:type="dxa"/>
            <w:tcBorders>
              <w:top w:val="single" w:color="auto" w:sz="4" w:space="0"/>
              <w:left w:val="single" w:color="auto" w:sz="4" w:space="0"/>
              <w:bottom w:val="single" w:color="auto" w:sz="4" w:space="0"/>
              <w:right w:val="single" w:color="auto" w:sz="4" w:space="0"/>
            </w:tcBorders>
            <w:vAlign w:val="center"/>
          </w:tcPr>
          <w:p w14:paraId="30A8C142">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节点服务器采购</w:t>
            </w:r>
          </w:p>
        </w:tc>
        <w:tc>
          <w:tcPr>
            <w:tcW w:w="3351" w:type="dxa"/>
            <w:tcBorders>
              <w:top w:val="single" w:color="auto" w:sz="4" w:space="0"/>
              <w:left w:val="single" w:color="auto" w:sz="4" w:space="0"/>
              <w:bottom w:val="single" w:color="auto" w:sz="4" w:space="0"/>
              <w:right w:val="single" w:color="auto" w:sz="4" w:space="0"/>
            </w:tcBorders>
            <w:vAlign w:val="center"/>
          </w:tcPr>
          <w:p w14:paraId="5B065826">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3.1项</w:t>
            </w:r>
          </w:p>
        </w:tc>
      </w:tr>
      <w:tr w14:paraId="0860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7CA18264">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center"/>
          </w:tcPr>
          <w:p w14:paraId="31BFED0C">
            <w:pPr>
              <w:snapToGrid w:val="0"/>
              <w:jc w:val="center"/>
              <w:rPr>
                <w:rFonts w:hint="eastAsia" w:ascii="微软雅黑" w:hAnsi="微软雅黑" w:eastAsia="微软雅黑" w:cs="微软雅黑"/>
                <w:sz w:val="21"/>
                <w:szCs w:val="21"/>
                <w:lang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4139E1DD">
            <w:pPr>
              <w:snapToGrid w:val="0"/>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sz w:val="21"/>
                <w:szCs w:val="21"/>
                <w:lang w:val="en-US" w:eastAsia="zh-CN"/>
              </w:rPr>
              <w:t>云平台服务采购</w:t>
            </w:r>
          </w:p>
        </w:tc>
        <w:tc>
          <w:tcPr>
            <w:tcW w:w="3351" w:type="dxa"/>
            <w:tcBorders>
              <w:top w:val="single" w:color="auto" w:sz="4" w:space="0"/>
              <w:left w:val="single" w:color="auto" w:sz="4" w:space="0"/>
              <w:bottom w:val="single" w:color="auto" w:sz="4" w:space="0"/>
              <w:right w:val="single" w:color="auto" w:sz="4" w:space="0"/>
            </w:tcBorders>
            <w:vAlign w:val="center"/>
          </w:tcPr>
          <w:p w14:paraId="6AB80885">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3.2项</w:t>
            </w:r>
          </w:p>
        </w:tc>
      </w:tr>
      <w:tr w14:paraId="40AEB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bottom w:val="single" w:color="auto" w:sz="4" w:space="0"/>
              <w:right w:val="single" w:color="auto" w:sz="4" w:space="0"/>
            </w:tcBorders>
            <w:vAlign w:val="center"/>
          </w:tcPr>
          <w:p w14:paraId="2C6116E2">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bottom w:val="single" w:color="auto" w:sz="4" w:space="0"/>
              <w:right w:val="single" w:color="auto" w:sz="4" w:space="0"/>
            </w:tcBorders>
            <w:vAlign w:val="center"/>
          </w:tcPr>
          <w:p w14:paraId="2CE4B951">
            <w:pPr>
              <w:snapToGrid w:val="0"/>
              <w:jc w:val="center"/>
              <w:rPr>
                <w:rFonts w:hint="eastAsia" w:ascii="微软雅黑" w:hAnsi="微软雅黑" w:eastAsia="微软雅黑" w:cs="微软雅黑"/>
                <w:sz w:val="21"/>
                <w:szCs w:val="21"/>
                <w:lang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595709C4">
            <w:pPr>
              <w:snapToGrid w:val="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配套技术服务采购</w:t>
            </w:r>
          </w:p>
        </w:tc>
        <w:tc>
          <w:tcPr>
            <w:tcW w:w="3351" w:type="dxa"/>
            <w:tcBorders>
              <w:top w:val="single" w:color="auto" w:sz="4" w:space="0"/>
              <w:left w:val="single" w:color="auto" w:sz="4" w:space="0"/>
              <w:bottom w:val="single" w:color="auto" w:sz="4" w:space="0"/>
              <w:right w:val="single" w:color="auto" w:sz="4" w:space="0"/>
            </w:tcBorders>
            <w:vAlign w:val="center"/>
          </w:tcPr>
          <w:p w14:paraId="7C57D6DF">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3.3项</w:t>
            </w:r>
          </w:p>
        </w:tc>
      </w:tr>
      <w:tr w14:paraId="04D6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restart"/>
            <w:tcBorders>
              <w:top w:val="single" w:color="auto" w:sz="4" w:space="0"/>
              <w:left w:val="single" w:color="auto" w:sz="4" w:space="0"/>
              <w:right w:val="single" w:color="auto" w:sz="4" w:space="0"/>
            </w:tcBorders>
            <w:vAlign w:val="center"/>
          </w:tcPr>
          <w:p w14:paraId="2A8F9D5C">
            <w:pPr>
              <w:snapToGrid w:val="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2160" w:type="dxa"/>
            <w:vMerge w:val="restart"/>
            <w:tcBorders>
              <w:top w:val="single" w:color="auto" w:sz="4" w:space="0"/>
              <w:left w:val="single" w:color="auto" w:sz="4" w:space="0"/>
              <w:right w:val="single" w:color="auto" w:sz="4" w:space="0"/>
            </w:tcBorders>
            <w:vAlign w:val="center"/>
          </w:tcPr>
          <w:p w14:paraId="7308DF6B">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平台应用建设</w:t>
            </w:r>
          </w:p>
        </w:tc>
        <w:tc>
          <w:tcPr>
            <w:tcW w:w="3080" w:type="dxa"/>
            <w:tcBorders>
              <w:top w:val="single" w:color="auto" w:sz="4" w:space="0"/>
              <w:left w:val="single" w:color="auto" w:sz="4" w:space="0"/>
              <w:bottom w:val="single" w:color="auto" w:sz="4" w:space="0"/>
              <w:right w:val="single" w:color="auto" w:sz="4" w:space="0"/>
            </w:tcBorders>
            <w:vAlign w:val="center"/>
          </w:tcPr>
          <w:p w14:paraId="1AB9BB50">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药物临床试验登记模块</w:t>
            </w:r>
          </w:p>
        </w:tc>
        <w:tc>
          <w:tcPr>
            <w:tcW w:w="3351" w:type="dxa"/>
            <w:tcBorders>
              <w:top w:val="single" w:color="auto" w:sz="4" w:space="0"/>
              <w:left w:val="single" w:color="auto" w:sz="4" w:space="0"/>
              <w:bottom w:val="single" w:color="auto" w:sz="4" w:space="0"/>
              <w:right w:val="single" w:color="auto" w:sz="4" w:space="0"/>
            </w:tcBorders>
            <w:vAlign w:val="center"/>
          </w:tcPr>
          <w:p w14:paraId="72D75BA1">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4.1项</w:t>
            </w:r>
          </w:p>
        </w:tc>
      </w:tr>
      <w:tr w14:paraId="2BA3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460C458D">
            <w:pPr>
              <w:snapToGrid w:val="0"/>
              <w:jc w:val="center"/>
              <w:rPr>
                <w:rFonts w:hint="eastAsia"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0FC5E7A7">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2DBAC4B4">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电子病历共享存证模块</w:t>
            </w:r>
          </w:p>
        </w:tc>
        <w:tc>
          <w:tcPr>
            <w:tcW w:w="3351" w:type="dxa"/>
            <w:tcBorders>
              <w:top w:val="single" w:color="auto" w:sz="4" w:space="0"/>
              <w:left w:val="single" w:color="auto" w:sz="4" w:space="0"/>
              <w:bottom w:val="single" w:color="auto" w:sz="4" w:space="0"/>
              <w:right w:val="single" w:color="auto" w:sz="4" w:space="0"/>
            </w:tcBorders>
            <w:vAlign w:val="center"/>
          </w:tcPr>
          <w:p w14:paraId="056D4017">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4.2项</w:t>
            </w:r>
          </w:p>
        </w:tc>
      </w:tr>
      <w:tr w14:paraId="6E8E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4C7173F9">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2815125B">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73EFBC99">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粤康链用药指导工作台</w:t>
            </w:r>
          </w:p>
        </w:tc>
        <w:tc>
          <w:tcPr>
            <w:tcW w:w="3351" w:type="dxa"/>
            <w:tcBorders>
              <w:top w:val="single" w:color="auto" w:sz="4" w:space="0"/>
              <w:left w:val="single" w:color="auto" w:sz="4" w:space="0"/>
              <w:bottom w:val="single" w:color="auto" w:sz="4" w:space="0"/>
              <w:right w:val="single" w:color="auto" w:sz="4" w:space="0"/>
            </w:tcBorders>
            <w:vAlign w:val="center"/>
          </w:tcPr>
          <w:p w14:paraId="0D87732E">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4.3项</w:t>
            </w:r>
          </w:p>
        </w:tc>
      </w:tr>
      <w:tr w14:paraId="21DD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36442CDA">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7BE3AFE9">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04BAF980">
            <w:pPr>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数据资产登记模块</w:t>
            </w:r>
          </w:p>
        </w:tc>
        <w:tc>
          <w:tcPr>
            <w:tcW w:w="3351" w:type="dxa"/>
            <w:tcBorders>
              <w:top w:val="single" w:color="auto" w:sz="4" w:space="0"/>
              <w:left w:val="single" w:color="auto" w:sz="4" w:space="0"/>
              <w:bottom w:val="single" w:color="auto" w:sz="4" w:space="0"/>
              <w:right w:val="single" w:color="auto" w:sz="4" w:space="0"/>
            </w:tcBorders>
            <w:vAlign w:val="center"/>
          </w:tcPr>
          <w:p w14:paraId="7BDAE8DB">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4.4项</w:t>
            </w:r>
          </w:p>
        </w:tc>
      </w:tr>
      <w:tr w14:paraId="5EA0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61E55F66">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1666EEFB">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3B397065">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科研痕迹稽查模块</w:t>
            </w:r>
          </w:p>
        </w:tc>
        <w:tc>
          <w:tcPr>
            <w:tcW w:w="3351" w:type="dxa"/>
            <w:tcBorders>
              <w:top w:val="single" w:color="auto" w:sz="4" w:space="0"/>
              <w:left w:val="single" w:color="auto" w:sz="4" w:space="0"/>
              <w:bottom w:val="single" w:color="auto" w:sz="4" w:space="0"/>
              <w:right w:val="single" w:color="auto" w:sz="4" w:space="0"/>
            </w:tcBorders>
            <w:vAlign w:val="center"/>
          </w:tcPr>
          <w:p w14:paraId="10FE2460">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4.5项</w:t>
            </w:r>
          </w:p>
        </w:tc>
      </w:tr>
      <w:tr w14:paraId="2327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right w:val="single" w:color="auto" w:sz="4" w:space="0"/>
            </w:tcBorders>
            <w:vAlign w:val="center"/>
          </w:tcPr>
          <w:p w14:paraId="56DAD0CD">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4E8973D6">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09E80568">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商保支付服务模块</w:t>
            </w:r>
          </w:p>
        </w:tc>
        <w:tc>
          <w:tcPr>
            <w:tcW w:w="3351" w:type="dxa"/>
            <w:tcBorders>
              <w:top w:val="single" w:color="auto" w:sz="4" w:space="0"/>
              <w:left w:val="single" w:color="auto" w:sz="4" w:space="0"/>
              <w:bottom w:val="single" w:color="auto" w:sz="4" w:space="0"/>
              <w:right w:val="single" w:color="auto" w:sz="4" w:space="0"/>
            </w:tcBorders>
            <w:vAlign w:val="center"/>
          </w:tcPr>
          <w:p w14:paraId="042D4ECC">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4.6项</w:t>
            </w:r>
          </w:p>
        </w:tc>
      </w:tr>
      <w:tr w14:paraId="42F1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2" w:type="dxa"/>
            <w:vMerge w:val="continue"/>
            <w:tcBorders>
              <w:left w:val="single" w:color="auto" w:sz="4" w:space="0"/>
              <w:bottom w:val="single" w:color="auto" w:sz="4" w:space="0"/>
              <w:right w:val="single" w:color="auto" w:sz="4" w:space="0"/>
            </w:tcBorders>
            <w:vAlign w:val="center"/>
          </w:tcPr>
          <w:p w14:paraId="61F9C096">
            <w:pPr>
              <w:snapToGrid w:val="0"/>
              <w:jc w:val="center"/>
              <w:rPr>
                <w:rFonts w:hint="default" w:ascii="微软雅黑" w:hAnsi="微软雅黑" w:eastAsia="微软雅黑" w:cs="微软雅黑"/>
                <w:sz w:val="21"/>
                <w:szCs w:val="21"/>
                <w:lang w:val="en-US" w:eastAsia="zh-CN"/>
              </w:rPr>
            </w:pPr>
          </w:p>
        </w:tc>
        <w:tc>
          <w:tcPr>
            <w:tcW w:w="2160" w:type="dxa"/>
            <w:vMerge w:val="continue"/>
            <w:tcBorders>
              <w:left w:val="single" w:color="auto" w:sz="4" w:space="0"/>
              <w:right w:val="single" w:color="auto" w:sz="4" w:space="0"/>
            </w:tcBorders>
            <w:vAlign w:val="top"/>
          </w:tcPr>
          <w:p w14:paraId="6FA7729F">
            <w:pPr>
              <w:snapToGrid w:val="0"/>
              <w:rPr>
                <w:rFonts w:hint="eastAsia" w:ascii="微软雅黑" w:hAnsi="微软雅黑" w:eastAsia="微软雅黑" w:cs="微软雅黑"/>
                <w:sz w:val="21"/>
                <w:szCs w:val="21"/>
                <w:lang w:val="en-US" w:eastAsia="zh-CN"/>
              </w:rPr>
            </w:pPr>
          </w:p>
        </w:tc>
        <w:tc>
          <w:tcPr>
            <w:tcW w:w="3080" w:type="dxa"/>
            <w:tcBorders>
              <w:top w:val="single" w:color="auto" w:sz="4" w:space="0"/>
              <w:left w:val="single" w:color="auto" w:sz="4" w:space="0"/>
              <w:bottom w:val="single" w:color="auto" w:sz="4" w:space="0"/>
              <w:right w:val="single" w:color="auto" w:sz="4" w:space="0"/>
            </w:tcBorders>
            <w:vAlign w:val="center"/>
          </w:tcPr>
          <w:p w14:paraId="6F087616">
            <w:pPr>
              <w:snapToGrid w:val="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档案登记管理模块</w:t>
            </w:r>
          </w:p>
        </w:tc>
        <w:tc>
          <w:tcPr>
            <w:tcW w:w="3351" w:type="dxa"/>
            <w:tcBorders>
              <w:top w:val="single" w:color="auto" w:sz="4" w:space="0"/>
              <w:left w:val="single" w:color="auto" w:sz="4" w:space="0"/>
              <w:bottom w:val="single" w:color="auto" w:sz="4" w:space="0"/>
              <w:right w:val="single" w:color="auto" w:sz="4" w:space="0"/>
            </w:tcBorders>
            <w:vAlign w:val="center"/>
          </w:tcPr>
          <w:p w14:paraId="59968209">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\l "_6.1.1、大数据服务器"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详见</w:t>
            </w:r>
            <w:r>
              <w:rPr>
                <w:rFonts w:hint="eastAsia" w:ascii="微软雅黑" w:hAnsi="微软雅黑" w:eastAsia="微软雅黑" w:cs="微软雅黑"/>
                <w:sz w:val="21"/>
                <w:szCs w:val="21"/>
                <w:lang w:val="en-US" w:eastAsia="zh-CN"/>
              </w:rPr>
              <w:t>详细配置参数</w:t>
            </w:r>
            <w:r>
              <w:rPr>
                <w:rFonts w:hint="eastAsia" w:ascii="微软雅黑" w:hAnsi="微软雅黑" w:eastAsia="微软雅黑" w:cs="微软雅黑"/>
                <w:sz w:val="21"/>
                <w:szCs w:val="21"/>
              </w:rPr>
              <w:t>中</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lang w:val="en-US" w:eastAsia="zh-CN"/>
              </w:rPr>
              <w:t>4.7项</w:t>
            </w:r>
          </w:p>
        </w:tc>
      </w:tr>
    </w:tbl>
    <w:p w14:paraId="536D9DB7">
      <w:pPr>
        <w:pStyle w:val="57"/>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14:paraId="17CC2ADF">
      <w:pPr>
        <w:pStyle w:val="57"/>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14:paraId="6193B35E">
      <w:pPr>
        <w:pStyle w:val="57"/>
        <w:keepNext/>
        <w:keepLines/>
        <w:numPr>
          <w:ilvl w:val="0"/>
          <w:numId w:val="1"/>
        </w:numPr>
        <w:spacing w:line="578" w:lineRule="auto"/>
        <w:ind w:firstLineChars="0"/>
        <w:outlineLvl w:val="0"/>
        <w:rPr>
          <w:rFonts w:ascii="微软雅黑" w:hAnsi="微软雅黑" w:eastAsia="微软雅黑" w:cs="微软雅黑"/>
          <w:b/>
          <w:bCs/>
          <w:vanish/>
          <w:kern w:val="44"/>
          <w:szCs w:val="44"/>
        </w:rPr>
      </w:pPr>
    </w:p>
    <w:p w14:paraId="06DBE814">
      <w:pPr>
        <w:pStyle w:val="57"/>
        <w:keepNext/>
        <w:keepLines/>
        <w:numPr>
          <w:ilvl w:val="1"/>
          <w:numId w:val="1"/>
        </w:numPr>
        <w:spacing w:line="578" w:lineRule="auto"/>
        <w:ind w:firstLineChars="0"/>
        <w:outlineLvl w:val="0"/>
        <w:rPr>
          <w:rFonts w:ascii="微软雅黑" w:hAnsi="微软雅黑" w:eastAsia="微软雅黑" w:cs="微软雅黑"/>
          <w:b/>
          <w:bCs/>
          <w:vanish/>
          <w:kern w:val="44"/>
          <w:szCs w:val="44"/>
        </w:rPr>
      </w:pPr>
    </w:p>
    <w:p w14:paraId="44DDDBF9">
      <w:pPr>
        <w:pStyle w:val="73"/>
        <w:numPr>
          <w:ilvl w:val="2"/>
          <w:numId w:val="0"/>
        </w:numPr>
        <w:rPr>
          <w:rFonts w:hint="default"/>
        </w:rPr>
      </w:pPr>
    </w:p>
    <w:p w14:paraId="2FDF5E8E">
      <w:pPr>
        <w:pStyle w:val="75"/>
        <w:rPr>
          <w:rFonts w:hint="default"/>
        </w:rPr>
      </w:pPr>
      <w:r>
        <w:rPr>
          <w:rFonts w:hint="eastAsia"/>
          <w:lang w:val="en-US" w:eastAsia="zh-CN"/>
        </w:rPr>
        <w:t>详细配置参数</w:t>
      </w:r>
    </w:p>
    <w:tbl>
      <w:tblPr>
        <w:tblStyle w:val="26"/>
        <w:tblW w:w="5000" w:type="pct"/>
        <w:tblInd w:w="0" w:type="dxa"/>
        <w:tblLayout w:type="autofit"/>
        <w:tblCellMar>
          <w:top w:w="0" w:type="dxa"/>
          <w:left w:w="108" w:type="dxa"/>
          <w:bottom w:w="0" w:type="dxa"/>
          <w:right w:w="108" w:type="dxa"/>
        </w:tblCellMar>
      </w:tblPr>
      <w:tblGrid>
        <w:gridCol w:w="1042"/>
        <w:gridCol w:w="8244"/>
      </w:tblGrid>
      <w:tr w14:paraId="3EAF9C99">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2DFBA9C">
            <w:pPr>
              <w:widowControl/>
              <w:numPr>
                <w:ilvl w:val="0"/>
                <w:numId w:val="0"/>
              </w:numPr>
              <w:snapToGrid w:val="0"/>
              <w:ind w:leftChars="0"/>
              <w:jc w:val="left"/>
              <w:rPr>
                <w:rFonts w:ascii="微软雅黑" w:hAnsi="微软雅黑" w:eastAsia="微软雅黑" w:cs="微软雅黑"/>
                <w:b/>
                <w:bCs/>
                <w:color w:val="000000"/>
                <w:szCs w:val="21"/>
              </w:rPr>
            </w:pPr>
            <w:bookmarkStart w:id="0" w:name="_6.1.1、大数据服务器"/>
            <w:bookmarkEnd w:id="0"/>
            <w:r>
              <w:rPr>
                <w:rFonts w:hint="eastAsia" w:ascii="微软雅黑" w:hAnsi="微软雅黑" w:eastAsia="微软雅黑" w:cs="微软雅黑"/>
                <w:b/>
                <w:bCs/>
                <w:sz w:val="24"/>
                <w:szCs w:val="32"/>
              </w:rPr>
              <w:t>“粤康链”平台底链</w:t>
            </w:r>
          </w:p>
        </w:tc>
      </w:tr>
      <w:tr w14:paraId="09CCF472">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1344A348">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1.1</w:t>
            </w:r>
          </w:p>
        </w:tc>
        <w:tc>
          <w:tcPr>
            <w:tcW w:w="4438" w:type="pct"/>
            <w:tcBorders>
              <w:top w:val="single" w:color="auto" w:sz="4" w:space="0"/>
              <w:left w:val="single" w:color="auto" w:sz="4" w:space="0"/>
              <w:bottom w:val="single" w:color="auto" w:sz="4" w:space="0"/>
              <w:right w:val="single" w:color="auto" w:sz="4" w:space="0"/>
            </w:tcBorders>
            <w:vAlign w:val="center"/>
          </w:tcPr>
          <w:p w14:paraId="27718EE1">
            <w:pPr>
              <w:widowControl/>
              <w:snapToGrid w:val="0"/>
              <w:rPr>
                <w:rFonts w:ascii="微软雅黑" w:hAnsi="微软雅黑" w:eastAsia="微软雅黑" w:cs="微软雅黑"/>
                <w:color w:val="000000"/>
                <w:szCs w:val="21"/>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粤康链</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底链框架需求</w:t>
            </w:r>
          </w:p>
        </w:tc>
      </w:tr>
      <w:tr w14:paraId="3C7E808C">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14:paraId="3F287E7C">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1.2</w:t>
            </w:r>
          </w:p>
        </w:tc>
        <w:tc>
          <w:tcPr>
            <w:tcW w:w="4438" w:type="pct"/>
            <w:tcBorders>
              <w:top w:val="single" w:color="auto" w:sz="4" w:space="0"/>
              <w:left w:val="single" w:color="auto" w:sz="4" w:space="0"/>
              <w:bottom w:val="single" w:color="auto" w:sz="4" w:space="0"/>
              <w:right w:val="single" w:color="auto" w:sz="4" w:space="0"/>
            </w:tcBorders>
            <w:vAlign w:val="center"/>
          </w:tcPr>
          <w:p w14:paraId="65B5958F">
            <w:pPr>
              <w:widowControl/>
              <w:snapToGrid w:val="0"/>
              <w:rPr>
                <w:rFonts w:ascii="微软雅黑" w:hAnsi="微软雅黑" w:eastAsia="微软雅黑" w:cs="微软雅黑"/>
                <w:color w:val="000000"/>
                <w:szCs w:val="21"/>
              </w:rPr>
            </w:pP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粤康链</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底链技术需求</w:t>
            </w:r>
          </w:p>
        </w:tc>
      </w:tr>
    </w:tbl>
    <w:p w14:paraId="788B90E5">
      <w:pPr>
        <w:pStyle w:val="74"/>
        <w:numPr>
          <w:ilvl w:val="1"/>
          <w:numId w:val="5"/>
        </w:numPr>
        <w:bidi w:val="0"/>
        <w:ind w:left="0" w:leftChars="0" w:firstLine="283" w:firstLineChars="0"/>
        <w:rPr>
          <w:rFonts w:hint="default"/>
        </w:rPr>
      </w:pPr>
      <w:bookmarkStart w:id="1" w:name="_6.1.2、容器服务器"/>
      <w:bookmarkEnd w:id="1"/>
      <w:r>
        <w:rPr>
          <w:rFonts w:hint="eastAsia"/>
          <w:lang w:eastAsia="zh-CN"/>
        </w:rPr>
        <w:t>“</w:t>
      </w:r>
      <w:r>
        <w:rPr>
          <w:rFonts w:hint="eastAsia"/>
          <w:lang w:val="en-US" w:eastAsia="zh-CN"/>
        </w:rPr>
        <w:t>粤康链</w:t>
      </w:r>
      <w:r>
        <w:rPr>
          <w:rFonts w:hint="eastAsia"/>
          <w:lang w:eastAsia="zh-CN"/>
        </w:rPr>
        <w:t>”</w:t>
      </w:r>
      <w:r>
        <w:rPr>
          <w:rFonts w:hint="eastAsia"/>
        </w:rPr>
        <w:t>底链框架需求</w:t>
      </w:r>
    </w:p>
    <w:p w14:paraId="5BE87744">
      <w:pPr>
        <w:pStyle w:val="73"/>
        <w:numPr>
          <w:ilvl w:val="2"/>
          <w:numId w:val="5"/>
        </w:numPr>
        <w:bidi w:val="0"/>
        <w:ind w:left="964" w:leftChars="0" w:hanging="567" w:firstLineChars="0"/>
        <w:rPr>
          <w:rFonts w:hint="default"/>
        </w:rPr>
      </w:pPr>
      <w:r>
        <w:rPr>
          <w:rFonts w:hint="eastAsia"/>
          <w:lang w:val="en-US" w:eastAsia="zh-CN"/>
        </w:rPr>
        <w:t>底链架构：底链架构不限，选择国内外主流联盟链或独立建设私有链架构均可。但在此项选择时，尤其是独立建设私有链时，应完整考虑与主流联盟链架构的跨链交易可行性，至少保证能与FISCO BCOS及长安链的架构拥有基本的交流性能以及跨链对接能力。</w:t>
      </w:r>
    </w:p>
    <w:p w14:paraId="7D14AF01">
      <w:pPr>
        <w:pStyle w:val="73"/>
        <w:numPr>
          <w:ilvl w:val="2"/>
          <w:numId w:val="5"/>
        </w:numPr>
        <w:bidi w:val="0"/>
        <w:ind w:left="964" w:leftChars="0" w:hanging="567" w:firstLineChars="0"/>
        <w:rPr>
          <w:rFonts w:hint="default"/>
        </w:rPr>
      </w:pPr>
      <w:r>
        <w:rPr>
          <w:rFonts w:hint="eastAsia"/>
          <w:lang w:val="en-US" w:eastAsia="zh-CN"/>
        </w:rPr>
        <w:t>元结构：基于区块链的部分元结构构造及定义参考可见下表：</w:t>
      </w:r>
    </w:p>
    <w:tbl>
      <w:tblPr>
        <w:tblStyle w:val="27"/>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008"/>
        <w:gridCol w:w="4871"/>
        <w:gridCol w:w="667"/>
      </w:tblGrid>
      <w:tr w14:paraId="7BD0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Borders>
              <w:top w:val="single" w:color="FEFEFE" w:sz="8" w:space="0"/>
              <w:left w:val="single" w:color="FEFEFE" w:sz="8" w:space="0"/>
              <w:bottom w:val="single" w:color="FEFEFE" w:sz="24" w:space="0"/>
              <w:right w:val="single" w:color="FEFEFE" w:sz="8" w:space="0"/>
            </w:tcBorders>
            <w:shd w:val="clear" w:color="auto" w:fill="5A5A5A"/>
          </w:tcPr>
          <w:p w14:paraId="0AA62F54">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元结构项目</w:t>
            </w:r>
          </w:p>
        </w:tc>
        <w:tc>
          <w:tcPr>
            <w:tcW w:w="1008" w:type="dxa"/>
            <w:tcBorders>
              <w:top w:val="single" w:color="FEFEFE" w:sz="8" w:space="0"/>
              <w:left w:val="single" w:color="FEFEFE" w:sz="8" w:space="0"/>
              <w:bottom w:val="single" w:color="FEFEFE" w:sz="24" w:space="0"/>
              <w:right w:val="single" w:color="FEFEFE" w:sz="8" w:space="0"/>
            </w:tcBorders>
            <w:shd w:val="clear" w:color="auto" w:fill="5A5A5A"/>
          </w:tcPr>
          <w:p w14:paraId="15C0363A">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是否必须</w:t>
            </w:r>
          </w:p>
        </w:tc>
        <w:tc>
          <w:tcPr>
            <w:tcW w:w="4871" w:type="dxa"/>
            <w:tcBorders>
              <w:top w:val="single" w:color="FEFEFE" w:sz="8" w:space="0"/>
              <w:left w:val="single" w:color="FEFEFE" w:sz="8" w:space="0"/>
              <w:bottom w:val="single" w:color="FEFEFE" w:sz="24" w:space="0"/>
              <w:right w:val="single" w:color="FEFEFE" w:sz="8" w:space="0"/>
            </w:tcBorders>
            <w:shd w:val="clear" w:color="auto" w:fill="5A5A5A"/>
          </w:tcPr>
          <w:p w14:paraId="5D84109E">
            <w:pPr>
              <w:pStyle w:val="73"/>
              <w:numPr>
                <w:ilvl w:val="2"/>
                <w:numId w:val="0"/>
              </w:numPr>
              <w:bidi w:val="0"/>
              <w:jc w:val="center"/>
              <w:rPr>
                <w:rFonts w:hint="default"/>
                <w:b/>
                <w:bCs/>
                <w:color w:val="FFFFFF" w:themeColor="background1"/>
                <w:vertAlign w:val="baseline"/>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构造参考</w:t>
            </w:r>
          </w:p>
        </w:tc>
        <w:tc>
          <w:tcPr>
            <w:tcW w:w="667" w:type="dxa"/>
            <w:tcBorders>
              <w:top w:val="single" w:color="FEFEFE" w:sz="8" w:space="0"/>
              <w:left w:val="single" w:color="FEFEFE" w:sz="8" w:space="0"/>
              <w:bottom w:val="single" w:color="FEFEFE" w:sz="24" w:space="0"/>
              <w:right w:val="single" w:color="FEFEFE" w:sz="8" w:space="0"/>
            </w:tcBorders>
            <w:shd w:val="clear" w:color="auto" w:fill="5A5A5A"/>
          </w:tcPr>
          <w:p w14:paraId="0B00B283">
            <w:pPr>
              <w:pStyle w:val="73"/>
              <w:numPr>
                <w:ilvl w:val="2"/>
                <w:numId w:val="0"/>
              </w:numPr>
              <w:bidi w:val="0"/>
              <w:jc w:val="center"/>
              <w:rPr>
                <w:rFonts w:hint="eastAsia"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备注</w:t>
            </w:r>
          </w:p>
        </w:tc>
      </w:tr>
      <w:tr w14:paraId="4BD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Borders>
              <w:top w:val="single" w:color="FEFEFE" w:sz="24" w:space="0"/>
              <w:left w:val="single" w:color="FEFEFE" w:sz="8" w:space="0"/>
              <w:bottom w:val="single" w:color="FEFEFE" w:sz="8" w:space="0"/>
              <w:right w:val="single" w:color="FEFEFE" w:sz="8" w:space="0"/>
            </w:tcBorders>
            <w:shd w:val="clear" w:color="auto" w:fill="DDDDDD"/>
            <w:vAlign w:val="center"/>
          </w:tcPr>
          <w:p w14:paraId="55B1BC63">
            <w:pPr>
              <w:pStyle w:val="73"/>
              <w:numPr>
                <w:ilvl w:val="2"/>
                <w:numId w:val="0"/>
              </w:numPr>
              <w:bidi w:val="0"/>
              <w:jc w:val="center"/>
              <w:rPr>
                <w:rFonts w:hint="default"/>
                <w:color w:val="000000"/>
                <w:sz w:val="18"/>
                <w:szCs w:val="18"/>
                <w:vertAlign w:val="baseline"/>
              </w:rPr>
            </w:pPr>
            <w:r>
              <w:rPr>
                <w:rFonts w:hint="eastAsia"/>
                <w:color w:val="000000"/>
                <w:sz w:val="18"/>
                <w:szCs w:val="18"/>
                <w:vertAlign w:val="baseline"/>
                <w:lang w:val="en-US" w:eastAsia="zh-CN"/>
              </w:rPr>
              <w:t>地址（Address）</w:t>
            </w:r>
          </w:p>
        </w:tc>
        <w:tc>
          <w:tcPr>
            <w:tcW w:w="1008" w:type="dxa"/>
            <w:tcBorders>
              <w:top w:val="single" w:color="FEFEFE" w:sz="24" w:space="0"/>
              <w:left w:val="single" w:color="FEFEFE" w:sz="8" w:space="0"/>
              <w:bottom w:val="single" w:color="FEFEFE" w:sz="8" w:space="0"/>
              <w:right w:val="single" w:color="FEFEFE" w:sz="8" w:space="0"/>
            </w:tcBorders>
            <w:shd w:val="clear" w:color="auto" w:fill="DDDDDD"/>
            <w:vAlign w:val="center"/>
          </w:tcPr>
          <w:p w14:paraId="4A1C155E">
            <w:pPr>
              <w:pStyle w:val="73"/>
              <w:numPr>
                <w:ilvl w:val="2"/>
                <w:numId w:val="0"/>
              </w:numPr>
              <w:bidi w:val="0"/>
              <w:jc w:val="center"/>
              <w:rPr>
                <w:rFonts w:hint="eastAsia" w:eastAsia="微软雅黑"/>
                <w:color w:val="000000"/>
                <w:sz w:val="18"/>
                <w:szCs w:val="18"/>
                <w:vertAlign w:val="baseline"/>
                <w:lang w:val="en-US" w:eastAsia="zh-CN"/>
              </w:rPr>
            </w:pPr>
            <w:r>
              <w:rPr>
                <w:rFonts w:hint="eastAsia"/>
                <w:color w:val="000000"/>
                <w:sz w:val="18"/>
                <w:szCs w:val="18"/>
                <w:vertAlign w:val="baseline"/>
                <w:lang w:val="en-US" w:eastAsia="zh-CN"/>
              </w:rPr>
              <w:t>是</w:t>
            </w:r>
          </w:p>
        </w:tc>
        <w:tc>
          <w:tcPr>
            <w:tcW w:w="4871" w:type="dxa"/>
            <w:tcBorders>
              <w:top w:val="single" w:color="FEFEFE" w:sz="24" w:space="0"/>
              <w:left w:val="single" w:color="FEFEFE" w:sz="8" w:space="0"/>
              <w:bottom w:val="single" w:color="FEFEFE" w:sz="8" w:space="0"/>
              <w:right w:val="single" w:color="FEFEFE" w:sz="8" w:space="0"/>
            </w:tcBorders>
            <w:shd w:val="clear" w:color="auto" w:fill="DDDDDD"/>
          </w:tcPr>
          <w:p w14:paraId="39BC326E">
            <w:pPr>
              <w:pStyle w:val="73"/>
              <w:numPr>
                <w:ilvl w:val="2"/>
                <w:numId w:val="0"/>
              </w:numPr>
              <w:bidi w:val="0"/>
              <w:rPr>
                <w:rFonts w:hint="default"/>
                <w:color w:val="000000"/>
                <w:sz w:val="18"/>
                <w:szCs w:val="18"/>
                <w:vertAlign w:val="baseline"/>
                <w:lang w:val="en-US" w:eastAsia="zh-CN"/>
              </w:rPr>
            </w:pPr>
            <w:r>
              <w:rPr>
                <w:rFonts w:hint="eastAsia"/>
                <w:color w:val="000000"/>
                <w:sz w:val="18"/>
                <w:szCs w:val="18"/>
                <w:vertAlign w:val="baseline"/>
                <w:lang w:val="en-US" w:eastAsia="zh-CN"/>
              </w:rPr>
              <w:t>地址结构在一般性的流通协议中作为对象存在，且信息对象地址需按照公钥进行特殊哈希加密P2SH (Pay-to-Script Hash)，如有需要需构筑多重签名地址。在本项目中，地址结构应分为节点地址以及单点地址，节点地址在应用节点进行建设，单点地址依托传统信息终端而存在。</w:t>
            </w:r>
          </w:p>
        </w:tc>
        <w:tc>
          <w:tcPr>
            <w:tcW w:w="667" w:type="dxa"/>
            <w:tcBorders>
              <w:top w:val="single" w:color="FEFEFE" w:sz="24" w:space="0"/>
              <w:left w:val="single" w:color="FEFEFE" w:sz="8" w:space="0"/>
              <w:bottom w:val="single" w:color="FEFEFE" w:sz="8" w:space="0"/>
              <w:right w:val="single" w:color="FEFEFE" w:sz="8" w:space="0"/>
            </w:tcBorders>
            <w:shd w:val="clear" w:color="auto" w:fill="DDDDDD"/>
            <w:vAlign w:val="center"/>
          </w:tcPr>
          <w:p w14:paraId="6C8821B5">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多级地址</w:t>
            </w:r>
          </w:p>
        </w:tc>
      </w:tr>
      <w:tr w14:paraId="38FA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Borders>
              <w:top w:val="single" w:color="FEFEFE" w:sz="8" w:space="0"/>
              <w:left w:val="single" w:color="FEFEFE" w:sz="8" w:space="0"/>
              <w:bottom w:val="single" w:color="FEFEFE" w:sz="8" w:space="0"/>
              <w:right w:val="single" w:color="FEFEFE" w:sz="8" w:space="0"/>
            </w:tcBorders>
            <w:shd w:val="clear" w:color="auto" w:fill="DDDDDD"/>
            <w:vAlign w:val="center"/>
          </w:tcPr>
          <w:p w14:paraId="1A540570">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钱包（Wallets）</w:t>
            </w:r>
          </w:p>
        </w:tc>
        <w:tc>
          <w:tcPr>
            <w:tcW w:w="1008" w:type="dxa"/>
            <w:tcBorders>
              <w:top w:val="single" w:color="FEFEFE" w:sz="8" w:space="0"/>
              <w:left w:val="single" w:color="FEFEFE" w:sz="8" w:space="0"/>
              <w:bottom w:val="single" w:color="FEFEFE" w:sz="8" w:space="0"/>
              <w:right w:val="single" w:color="FEFEFE" w:sz="8" w:space="0"/>
            </w:tcBorders>
            <w:shd w:val="clear" w:color="auto" w:fill="DDDDDD"/>
            <w:vAlign w:val="center"/>
          </w:tcPr>
          <w:p w14:paraId="79A7C6E7">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否</w:t>
            </w:r>
          </w:p>
        </w:tc>
        <w:tc>
          <w:tcPr>
            <w:tcW w:w="4871" w:type="dxa"/>
            <w:tcBorders>
              <w:top w:val="single" w:color="FEFEFE" w:sz="8" w:space="0"/>
              <w:left w:val="single" w:color="FEFEFE" w:sz="8" w:space="0"/>
              <w:bottom w:val="single" w:color="FEFEFE" w:sz="8" w:space="0"/>
              <w:right w:val="single" w:color="FEFEFE" w:sz="8" w:space="0"/>
            </w:tcBorders>
            <w:shd w:val="clear" w:color="auto" w:fill="DDDDDD"/>
          </w:tcPr>
          <w:p w14:paraId="3870B2BD">
            <w:pPr>
              <w:pStyle w:val="73"/>
              <w:numPr>
                <w:ilvl w:val="2"/>
                <w:numId w:val="0"/>
              </w:numPr>
              <w:bidi w:val="0"/>
              <w:rPr>
                <w:rFonts w:hint="default" w:eastAsia="微软雅黑"/>
                <w:color w:val="000000"/>
                <w:vertAlign w:val="baseline"/>
                <w:lang w:val="en-US" w:eastAsia="zh-CN"/>
              </w:rPr>
            </w:pPr>
            <w:r>
              <w:rPr>
                <w:rFonts w:hint="eastAsia"/>
                <w:color w:val="000000"/>
                <w:vertAlign w:val="baseline"/>
                <w:lang w:val="en-US" w:eastAsia="zh-CN"/>
              </w:rPr>
              <w:t>钱包结构目前只用于粤康链用药指导工作台需求中可能涉及相关使用。在其他节点中，基于数据样本的“钱包”依托于模块数据库进行加密存储，无需进行特殊架构建设。</w:t>
            </w:r>
          </w:p>
        </w:tc>
        <w:tc>
          <w:tcPr>
            <w:tcW w:w="667" w:type="dxa"/>
            <w:tcBorders>
              <w:top w:val="single" w:color="FEFEFE" w:sz="8" w:space="0"/>
              <w:left w:val="single" w:color="FEFEFE" w:sz="8" w:space="0"/>
              <w:bottom w:val="single" w:color="FEFEFE" w:sz="8" w:space="0"/>
              <w:right w:val="single" w:color="FEFEFE" w:sz="8" w:space="0"/>
            </w:tcBorders>
            <w:shd w:val="clear" w:color="auto" w:fill="DDDDDD"/>
          </w:tcPr>
          <w:p w14:paraId="41FD3B2F">
            <w:pPr>
              <w:pStyle w:val="73"/>
              <w:numPr>
                <w:ilvl w:val="2"/>
                <w:numId w:val="0"/>
              </w:numPr>
              <w:bidi w:val="0"/>
              <w:jc w:val="center"/>
              <w:rPr>
                <w:rFonts w:hint="default"/>
                <w:color w:val="000000"/>
                <w:vertAlign w:val="baseline"/>
              </w:rPr>
            </w:pPr>
          </w:p>
        </w:tc>
      </w:tr>
      <w:tr w14:paraId="194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Borders>
              <w:top w:val="single" w:color="FEFEFE" w:sz="8" w:space="0"/>
              <w:left w:val="single" w:color="FEFEFE" w:sz="8" w:space="0"/>
              <w:bottom w:val="single" w:color="FEFEFE" w:sz="8" w:space="0"/>
              <w:right w:val="single" w:color="FEFEFE" w:sz="8" w:space="0"/>
            </w:tcBorders>
            <w:shd w:val="clear" w:color="auto" w:fill="DDDDDD"/>
            <w:vAlign w:val="center"/>
          </w:tcPr>
          <w:p w14:paraId="1879A7C6">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助记词</w:t>
            </w:r>
          </w:p>
        </w:tc>
        <w:tc>
          <w:tcPr>
            <w:tcW w:w="1008" w:type="dxa"/>
            <w:tcBorders>
              <w:top w:val="single" w:color="FEFEFE" w:sz="8" w:space="0"/>
              <w:left w:val="single" w:color="FEFEFE" w:sz="8" w:space="0"/>
              <w:bottom w:val="single" w:color="FEFEFE" w:sz="8" w:space="0"/>
              <w:right w:val="single" w:color="FEFEFE" w:sz="8" w:space="0"/>
            </w:tcBorders>
            <w:shd w:val="clear" w:color="auto" w:fill="DDDDDD"/>
            <w:vAlign w:val="center"/>
          </w:tcPr>
          <w:p w14:paraId="36F7A8ED">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否</w:t>
            </w:r>
          </w:p>
        </w:tc>
        <w:tc>
          <w:tcPr>
            <w:tcW w:w="4871" w:type="dxa"/>
            <w:tcBorders>
              <w:top w:val="single" w:color="FEFEFE" w:sz="8" w:space="0"/>
              <w:left w:val="single" w:color="FEFEFE" w:sz="8" w:space="0"/>
              <w:bottom w:val="single" w:color="FEFEFE" w:sz="8" w:space="0"/>
              <w:right w:val="single" w:color="FEFEFE" w:sz="8" w:space="0"/>
            </w:tcBorders>
            <w:shd w:val="clear" w:color="auto" w:fill="DDDDDD"/>
          </w:tcPr>
          <w:p w14:paraId="19E29A97">
            <w:pPr>
              <w:pStyle w:val="73"/>
              <w:numPr>
                <w:ilvl w:val="2"/>
                <w:numId w:val="0"/>
              </w:numPr>
              <w:bidi w:val="0"/>
              <w:rPr>
                <w:rFonts w:hint="default" w:eastAsia="微软雅黑"/>
                <w:color w:val="000000"/>
                <w:vertAlign w:val="baseline"/>
                <w:lang w:val="en-US" w:eastAsia="zh-CN"/>
              </w:rPr>
            </w:pPr>
            <w:r>
              <w:rPr>
                <w:rFonts w:hint="eastAsia"/>
                <w:color w:val="000000"/>
                <w:vertAlign w:val="baseline"/>
                <w:lang w:val="en-US" w:eastAsia="zh-CN"/>
              </w:rPr>
              <w:t>根据</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粤康链</w:t>
            </w:r>
            <w:r>
              <w:rPr>
                <w:rFonts w:hint="eastAsia" w:ascii="微软雅黑" w:hAnsi="微软雅黑" w:eastAsia="微软雅黑" w:cs="微软雅黑"/>
                <w:lang w:eastAsia="zh-CN"/>
              </w:rPr>
              <w:t>”</w:t>
            </w:r>
            <w:r>
              <w:rPr>
                <w:rFonts w:hint="eastAsia" w:cs="微软雅黑"/>
                <w:lang w:val="en-US" w:eastAsia="zh-CN"/>
              </w:rPr>
              <w:t>底链</w:t>
            </w:r>
            <w:r>
              <w:rPr>
                <w:rFonts w:hint="eastAsia"/>
                <w:color w:val="000000"/>
                <w:vertAlign w:val="baseline"/>
                <w:lang w:val="en-US" w:eastAsia="zh-CN"/>
              </w:rPr>
              <w:t>架构状态，公私钥依托于对应模块进行存储，无需构建助记词。</w:t>
            </w:r>
          </w:p>
        </w:tc>
        <w:tc>
          <w:tcPr>
            <w:tcW w:w="667" w:type="dxa"/>
            <w:tcBorders>
              <w:top w:val="single" w:color="FEFEFE" w:sz="8" w:space="0"/>
              <w:left w:val="single" w:color="FEFEFE" w:sz="8" w:space="0"/>
              <w:bottom w:val="single" w:color="FEFEFE" w:sz="8" w:space="0"/>
              <w:right w:val="single" w:color="FEFEFE" w:sz="8" w:space="0"/>
            </w:tcBorders>
            <w:shd w:val="clear" w:color="auto" w:fill="DDDDDD"/>
          </w:tcPr>
          <w:p w14:paraId="7F092D4F">
            <w:pPr>
              <w:pStyle w:val="73"/>
              <w:numPr>
                <w:ilvl w:val="2"/>
                <w:numId w:val="0"/>
              </w:numPr>
              <w:bidi w:val="0"/>
              <w:jc w:val="center"/>
              <w:rPr>
                <w:rFonts w:hint="default"/>
                <w:color w:val="000000"/>
                <w:vertAlign w:val="baseline"/>
              </w:rPr>
            </w:pPr>
          </w:p>
        </w:tc>
      </w:tr>
    </w:tbl>
    <w:p w14:paraId="2E625C9B">
      <w:pPr>
        <w:pStyle w:val="73"/>
        <w:numPr>
          <w:ilvl w:val="2"/>
          <w:numId w:val="0"/>
        </w:numPr>
        <w:bidi w:val="0"/>
        <w:ind w:left="567" w:leftChars="0"/>
        <w:rPr>
          <w:rFonts w:hint="default"/>
        </w:rPr>
      </w:pPr>
    </w:p>
    <w:p w14:paraId="66E2EEB1">
      <w:pPr>
        <w:pStyle w:val="73"/>
        <w:numPr>
          <w:ilvl w:val="2"/>
          <w:numId w:val="5"/>
        </w:numPr>
        <w:bidi w:val="0"/>
        <w:ind w:left="964" w:leftChars="0" w:hanging="567" w:firstLineChars="0"/>
        <w:rPr>
          <w:rFonts w:hint="default"/>
        </w:rPr>
      </w:pPr>
      <w:r>
        <w:rPr>
          <w:rFonts w:hint="eastAsia"/>
          <w:lang w:val="en-US" w:eastAsia="zh-CN"/>
        </w:rPr>
        <w:t>接口架构：接口架构不限，但需采用轻量级编程接口，比如JSON-RPC（JavaScript Object Notation）类型框架，构造简化的“请求－响应模型”。并同步构造基于基础链架构的响应实例，比如基本的getinfo实例用于查询区块链中的现有区块数量，以及get_transaction实例用于按照交易ID来检索交易输出。值得注意的是，在部分成熟的联盟链架构中该类响应实例可能已经存在，院方允许供应商对于此类实例进行直接封装调用。</w:t>
      </w:r>
    </w:p>
    <w:p w14:paraId="601FF25C">
      <w:pPr>
        <w:pStyle w:val="73"/>
        <w:numPr>
          <w:ilvl w:val="2"/>
          <w:numId w:val="5"/>
        </w:numPr>
        <w:bidi w:val="0"/>
        <w:ind w:left="964" w:leftChars="0" w:hanging="567" w:firstLineChars="0"/>
        <w:rPr>
          <w:rFonts w:hint="default"/>
        </w:rPr>
      </w:pPr>
      <w:r>
        <w:rPr>
          <w:rFonts w:hint="default"/>
        </w:rPr>
        <w:t>工具包</w:t>
      </w:r>
      <w:r>
        <w:rPr>
          <w:rFonts w:hint="eastAsia"/>
          <w:lang w:eastAsia="zh-CN"/>
        </w:rPr>
        <w:t>：</w:t>
      </w:r>
      <w:r>
        <w:rPr>
          <w:rFonts w:hint="eastAsia"/>
          <w:lang w:val="en-US" w:eastAsia="zh-CN"/>
        </w:rPr>
        <w:t>编译语言及工具包不限。</w:t>
      </w:r>
    </w:p>
    <w:p w14:paraId="0AE660A5">
      <w:pPr>
        <w:pStyle w:val="73"/>
        <w:numPr>
          <w:ilvl w:val="2"/>
          <w:numId w:val="0"/>
        </w:numPr>
        <w:bidi w:val="0"/>
        <w:rPr>
          <w:rFonts w:hint="default"/>
        </w:rPr>
      </w:pPr>
    </w:p>
    <w:p w14:paraId="2D316546">
      <w:pPr>
        <w:pStyle w:val="74"/>
        <w:numPr>
          <w:ilvl w:val="1"/>
          <w:numId w:val="5"/>
        </w:numPr>
        <w:bidi w:val="0"/>
        <w:ind w:left="0" w:leftChars="0" w:firstLine="283" w:firstLineChars="0"/>
        <w:rPr>
          <w:rFonts w:hint="default"/>
        </w:rPr>
      </w:pPr>
      <w:r>
        <w:rPr>
          <w:rFonts w:hint="eastAsia"/>
        </w:rPr>
        <w:t>“粤康链”底链技术需求</w:t>
      </w:r>
    </w:p>
    <w:p w14:paraId="5C5926C8">
      <w:pPr>
        <w:pStyle w:val="73"/>
        <w:numPr>
          <w:ilvl w:val="2"/>
          <w:numId w:val="5"/>
        </w:numPr>
        <w:bidi w:val="0"/>
        <w:ind w:left="964" w:leftChars="0" w:hanging="567" w:firstLineChars="0"/>
        <w:rPr>
          <w:rFonts w:hint="default"/>
        </w:rPr>
      </w:pPr>
      <w:r>
        <w:rPr>
          <w:rFonts w:hint="eastAsia"/>
          <w:lang w:val="en-US" w:eastAsia="zh-CN"/>
        </w:rPr>
        <w:t>加密安全技术：区块链在构建数据流通协议的时候需采用椭圆曲线加密技术（ECDSA，Elliptic Curve Digital Signature Algorithm），按照ECC（Ellipse Curve Cryptography）加密通信算法构造公钥私钥及双向算法，即ECDSA正向算法（消息 + 私钥 + 随机数= 签名）和ECDSA反向算法（消息 + 签名= 公钥），形成ECDSA签名。并在区块链基础加密上构筑压缩格式公私钥，形成“白名单、Merkle Tree、加密笔迹校验”的管理功能。</w:t>
      </w:r>
    </w:p>
    <w:p w14:paraId="79BF73C3">
      <w:pPr>
        <w:pStyle w:val="73"/>
        <w:numPr>
          <w:ilvl w:val="2"/>
          <w:numId w:val="0"/>
        </w:numPr>
        <w:bidi w:val="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355465" cy="1275715"/>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5"/>
                    <a:stretch>
                      <a:fillRect/>
                    </a:stretch>
                  </pic:blipFill>
                  <pic:spPr>
                    <a:xfrm>
                      <a:off x="0" y="0"/>
                      <a:ext cx="4355465" cy="1275715"/>
                    </a:xfrm>
                    <a:prstGeom prst="rect">
                      <a:avLst/>
                    </a:prstGeom>
                    <a:noFill/>
                    <a:ln w="9525">
                      <a:noFill/>
                    </a:ln>
                  </pic:spPr>
                </pic:pic>
              </a:graphicData>
            </a:graphic>
          </wp:inline>
        </w:drawing>
      </w:r>
    </w:p>
    <w:p w14:paraId="297C1BB2">
      <w:pPr>
        <w:pStyle w:val="12"/>
        <w:numPr>
          <w:ilvl w:val="0"/>
          <w:numId w:val="0"/>
        </w:numPr>
        <w:bidi w:val="0"/>
        <w:jc w:val="center"/>
        <w:rPr>
          <w:rFonts w:hint="eastAsia" w:ascii="宋体" w:hAnsi="宋体" w:eastAsia="微软雅黑" w:cs="宋体"/>
          <w:sz w:val="24"/>
          <w:szCs w:val="24"/>
          <w:lang w:eastAsia="zh-CN"/>
        </w:rPr>
      </w:pPr>
      <w:r>
        <w:t xml:space="preserve">图 </w:t>
      </w:r>
      <w:r>
        <w:fldChar w:fldCharType="begin"/>
      </w:r>
      <w:r>
        <w:instrText xml:space="preserve"> SEQ 图 \* ARABIC </w:instrText>
      </w:r>
      <w:r>
        <w:fldChar w:fldCharType="separate"/>
      </w:r>
      <w:r>
        <w:t>1</w:t>
      </w:r>
      <w:r>
        <w:fldChar w:fldCharType="end"/>
      </w:r>
      <w:r>
        <w:rPr>
          <w:rFonts w:hint="eastAsia"/>
          <w:lang w:eastAsia="zh-CN"/>
        </w:rPr>
        <w:t xml:space="preserve"> ECDSA加密流</w:t>
      </w:r>
    </w:p>
    <w:p w14:paraId="07CBD739">
      <w:pPr>
        <w:pStyle w:val="73"/>
        <w:numPr>
          <w:ilvl w:val="2"/>
          <w:numId w:val="5"/>
        </w:numPr>
        <w:bidi w:val="0"/>
        <w:ind w:left="964" w:leftChars="0" w:hanging="567" w:firstLineChars="0"/>
        <w:rPr>
          <w:rFonts w:hint="default"/>
        </w:rPr>
      </w:pPr>
      <w:r>
        <w:rPr>
          <w:rFonts w:hint="eastAsia"/>
          <w:lang w:val="en-US" w:eastAsia="zh-CN"/>
        </w:rPr>
        <w:t>流通文本协议：</w:t>
      </w:r>
      <w:r>
        <w:rPr>
          <w:rFonts w:hint="eastAsia"/>
        </w:rPr>
        <w:t>“粤康链”</w:t>
      </w:r>
      <w:r>
        <w:rPr>
          <w:rFonts w:hint="eastAsia"/>
          <w:lang w:val="en-US" w:eastAsia="zh-CN"/>
        </w:rPr>
        <w:t>平台需采用分布式存储的技术，所有节点的文本原则上流通采用全节点广播协议（Bp, Broadcast protocols），在信息确认后，接收节点基于逻辑时间（logical time）进行二次广播校验，主节点进行对端校验，校验逻辑时间真实性。但是在节点扩充至15个以上时，考虑到区块链实际的负载，需将平行节点+全节点广播的架构切换至分级节点的形式。即只有少数主节点接收全协议广播，分支节点只处理接收存储对应模块数据的广播，而其他模块对应的分支节点广播信息只反馈逻辑时间的时间戳，来校对时间真实性。</w:t>
      </w:r>
    </w:p>
    <w:p w14:paraId="66C534F7">
      <w:pPr>
        <w:pStyle w:val="73"/>
        <w:numPr>
          <w:ilvl w:val="2"/>
          <w:numId w:val="0"/>
        </w:numPr>
        <w:bidi w:val="0"/>
        <w:ind w:left="567" w:leftChars="0"/>
        <w:jc w:val="center"/>
      </w:pPr>
      <w:r>
        <w:drawing>
          <wp:inline distT="0" distB="0" distL="114300" distR="114300">
            <wp:extent cx="1898650" cy="1828800"/>
            <wp:effectExtent l="0" t="0" r="635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898650" cy="1828800"/>
                    </a:xfrm>
                    <a:prstGeom prst="rect">
                      <a:avLst/>
                    </a:prstGeom>
                    <a:noFill/>
                    <a:ln>
                      <a:noFill/>
                    </a:ln>
                  </pic:spPr>
                </pic:pic>
              </a:graphicData>
            </a:graphic>
          </wp:inline>
        </w:drawing>
      </w:r>
    </w:p>
    <w:p w14:paraId="137E70C3">
      <w:pPr>
        <w:pStyle w:val="12"/>
        <w:numPr>
          <w:ilvl w:val="0"/>
          <w:numId w:val="0"/>
        </w:numPr>
        <w:bidi w:val="0"/>
        <w:ind w:left="567" w:leftChars="0"/>
        <w:jc w:val="center"/>
        <w:rPr>
          <w:rFonts w:hint="eastAsia" w:eastAsia="微软雅黑"/>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分布式存储网络示意（</w:t>
      </w:r>
      <w:r>
        <w:rPr>
          <w:rFonts w:hint="eastAsia"/>
          <w:lang w:val="en-US" w:eastAsia="zh-CN"/>
        </w:rPr>
        <w:t>全节点平行广播</w:t>
      </w:r>
      <w:r>
        <w:rPr>
          <w:rFonts w:hint="eastAsia"/>
          <w:lang w:eastAsia="zh-CN"/>
        </w:rPr>
        <w:t>）</w:t>
      </w:r>
    </w:p>
    <w:p w14:paraId="071B911D">
      <w:pPr>
        <w:pStyle w:val="73"/>
        <w:numPr>
          <w:ilvl w:val="2"/>
          <w:numId w:val="5"/>
        </w:numPr>
        <w:bidi w:val="0"/>
        <w:ind w:left="964" w:leftChars="0" w:hanging="567" w:firstLineChars="0"/>
        <w:rPr>
          <w:rFonts w:hint="default"/>
        </w:rPr>
      </w:pPr>
      <w:r>
        <w:rPr>
          <w:rFonts w:hint="eastAsia"/>
          <w:lang w:val="en-US" w:eastAsia="zh-CN"/>
        </w:rPr>
        <w:t>共识算法：共识算法依托于底链架构而存在，故不进行特定算法要求。不论是基于BCOS构建的rPBFT（Practical Byzantine Fault Tolerance）抑或是基于长安链构建的TBFT(Tendermint Byzantine Fault Tolerance)，只要基于该共识形成的通信账本满足拜占庭将军问题（BGP, Byzantine Generals Problem）的基本解决能力，即做到恶意节点负载，欺骗攻击反制，通信复杂度O(n2)，则认为共识算法架构响应构造需求。</w:t>
      </w:r>
    </w:p>
    <w:p w14:paraId="6C6789E5">
      <w:pPr>
        <w:pStyle w:val="73"/>
        <w:numPr>
          <w:ilvl w:val="2"/>
          <w:numId w:val="5"/>
        </w:numPr>
        <w:bidi w:val="0"/>
        <w:ind w:left="964" w:leftChars="0" w:hanging="567" w:firstLineChars="0"/>
        <w:rPr>
          <w:rFonts w:hint="default"/>
        </w:rPr>
      </w:pPr>
      <w:r>
        <w:rPr>
          <w:rFonts w:hint="eastAsia"/>
          <w:lang w:val="en-US" w:eastAsia="zh-CN"/>
        </w:rPr>
        <w:t>NFT(Non-Fungible Token)：参考ERC721（Ethereum Request for Comment 721）内基于NFT控制管理的相关协议内非同质化类货币的控制合约，基于卫生医疗行业数据要求形成NFT类的数据管理标准案，测试交互行为，并按照院方要求后续选择执行NFT类交互，构建NFT数据序列索引（需考虑与ERC20基准的数据流通文本协议的拮抗问题，并完成通用解决方案）。</w:t>
      </w:r>
    </w:p>
    <w:p w14:paraId="07119802">
      <w:pPr>
        <w:pStyle w:val="74"/>
        <w:numPr>
          <w:ilvl w:val="1"/>
          <w:numId w:val="0"/>
        </w:numPr>
        <w:rPr>
          <w:rFonts w:hint="default"/>
        </w:rPr>
      </w:pPr>
    </w:p>
    <w:tbl>
      <w:tblPr>
        <w:tblStyle w:val="26"/>
        <w:tblW w:w="5000" w:type="pct"/>
        <w:tblInd w:w="0" w:type="dxa"/>
        <w:tblLayout w:type="autofit"/>
        <w:tblCellMar>
          <w:top w:w="0" w:type="dxa"/>
          <w:left w:w="108" w:type="dxa"/>
          <w:bottom w:w="0" w:type="dxa"/>
          <w:right w:w="108" w:type="dxa"/>
        </w:tblCellMar>
      </w:tblPr>
      <w:tblGrid>
        <w:gridCol w:w="1042"/>
        <w:gridCol w:w="8244"/>
      </w:tblGrid>
      <w:tr w14:paraId="53275117">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07A9719F">
            <w:pPr>
              <w:widowControl/>
              <w:numPr>
                <w:ilvl w:val="0"/>
                <w:numId w:val="0"/>
              </w:numPr>
              <w:snapToGrid w:val="0"/>
              <w:ind w:leftChars="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“粤康链”服务中台</w:t>
            </w:r>
          </w:p>
        </w:tc>
      </w:tr>
      <w:tr w14:paraId="020C8E89">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67BBD07C">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14:paraId="0E338144">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“粤康链”数据服务中台</w:t>
            </w:r>
          </w:p>
        </w:tc>
      </w:tr>
      <w:tr w14:paraId="494122DC">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56E60B5A">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14:paraId="12089E74">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“粤康链”技术服务中台</w:t>
            </w:r>
          </w:p>
        </w:tc>
      </w:tr>
      <w:tr w14:paraId="78708E72">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3FF23032">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14:paraId="67AC8089">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rPr>
              <w:t>“粤康链”其它业务服务中台</w:t>
            </w:r>
          </w:p>
        </w:tc>
      </w:tr>
    </w:tbl>
    <w:p w14:paraId="18750B2E">
      <w:pPr>
        <w:pStyle w:val="74"/>
        <w:numPr>
          <w:ilvl w:val="1"/>
          <w:numId w:val="6"/>
        </w:numPr>
        <w:bidi w:val="0"/>
        <w:ind w:left="0" w:leftChars="0" w:firstLine="283" w:firstLineChars="0"/>
        <w:rPr>
          <w:rFonts w:hint="default"/>
        </w:rPr>
      </w:pPr>
      <w:r>
        <w:rPr>
          <w:rFonts w:hint="eastAsia"/>
        </w:rPr>
        <w:t>“粤康链”数据服务中台</w:t>
      </w:r>
    </w:p>
    <w:p w14:paraId="1444054E">
      <w:pPr>
        <w:pStyle w:val="73"/>
        <w:numPr>
          <w:ilvl w:val="2"/>
          <w:numId w:val="6"/>
        </w:numPr>
        <w:bidi w:val="0"/>
        <w:ind w:left="964" w:leftChars="0" w:hanging="567" w:firstLineChars="0"/>
        <w:rPr>
          <w:rFonts w:hint="default"/>
        </w:rPr>
      </w:pPr>
      <w:r>
        <w:rPr>
          <w:rFonts w:hint="default"/>
        </w:rPr>
        <w:t>医疗健康数据对接与采集：支持通过自动化形式对多源异构的医疗健康数据进行汇聚和采集，并通过统一的规范进行重构、组织和存储。可以支持采集接口的内容</w:t>
      </w:r>
      <w:r>
        <w:rPr>
          <w:rFonts w:hint="eastAsia"/>
          <w:lang w:eastAsia="zh-CN"/>
        </w:rPr>
        <w:t>和模板</w:t>
      </w:r>
      <w:r>
        <w:rPr>
          <w:rFonts w:hint="default"/>
        </w:rPr>
        <w:t>进行定义、采集方式的配置、采集数据的概览呈现以及数据的对接和EMPI号管理。支持对采集和对接过程及数据的监控、报告及管理服务。</w:t>
      </w:r>
    </w:p>
    <w:p w14:paraId="131DD850">
      <w:pPr>
        <w:pStyle w:val="73"/>
        <w:numPr>
          <w:ilvl w:val="2"/>
          <w:numId w:val="6"/>
        </w:numPr>
        <w:bidi w:val="0"/>
        <w:ind w:left="964" w:leftChars="0" w:hanging="567" w:firstLineChars="0"/>
        <w:rPr>
          <w:rFonts w:hint="default"/>
        </w:rPr>
      </w:pPr>
      <w:r>
        <w:rPr>
          <w:rFonts w:hint="default"/>
        </w:rPr>
        <w:t>医疗健康数据标准化：支持对多源异构数据的标准化处理，遵循相关的电子病历规范进行数据的统一标准结构转换。支持按照患者主索引的形式整合为</w:t>
      </w:r>
      <w:r>
        <w:rPr>
          <w:rFonts w:hint="eastAsia"/>
          <w:lang w:eastAsia="zh-CN"/>
        </w:rPr>
        <w:t>同一个</w:t>
      </w:r>
      <w:r>
        <w:rPr>
          <w:rFonts w:hint="default"/>
        </w:rPr>
        <w:t>患者的病历，并按照不同层级，包括门诊、住院、体检等诊疗活动的发生时间进行序列排序，形成标准的医疗健康数据形式。</w:t>
      </w:r>
    </w:p>
    <w:p w14:paraId="420F5759">
      <w:pPr>
        <w:pStyle w:val="73"/>
        <w:numPr>
          <w:ilvl w:val="2"/>
          <w:numId w:val="6"/>
        </w:numPr>
        <w:bidi w:val="0"/>
        <w:ind w:left="964" w:leftChars="0" w:hanging="567" w:firstLineChars="0"/>
        <w:rPr>
          <w:rFonts w:hint="default"/>
        </w:rPr>
      </w:pPr>
      <w:r>
        <w:rPr>
          <w:rFonts w:hint="default"/>
        </w:rPr>
        <w:t>链上数据的探索：链上数据具有透明和不可篡改性，支持通过工具化的形式对链上数据进行使用、分析、挖掘。包含链上数据映射、数据上链共识、数据存证留痕、数据可视化展示等。同时提供数据深度应用的支撑，包括数据的挖掘分析、数据的机器学习利用等</w:t>
      </w:r>
    </w:p>
    <w:p w14:paraId="36D3B0D1">
      <w:pPr>
        <w:pStyle w:val="73"/>
        <w:numPr>
          <w:ilvl w:val="2"/>
          <w:numId w:val="6"/>
        </w:numPr>
        <w:bidi w:val="0"/>
        <w:ind w:left="964" w:leftChars="0" w:hanging="567" w:firstLineChars="0"/>
        <w:rPr>
          <w:rFonts w:hint="default"/>
        </w:rPr>
      </w:pPr>
      <w:r>
        <w:rPr>
          <w:rFonts w:hint="default"/>
        </w:rPr>
        <w:t>医疗健康业务数据服务：支持通过区块链进行公共业务数据的打包和整合，以提供通用的医疗业务数据服务，不面向具体业务做定制。支持电子病历数据的业务数据服务封装，支持检验</w:t>
      </w:r>
      <w:r>
        <w:rPr>
          <w:rFonts w:hint="eastAsia"/>
          <w:lang w:eastAsia="zh-CN"/>
        </w:rPr>
        <w:t>检测</w:t>
      </w:r>
      <w:r>
        <w:rPr>
          <w:rFonts w:hint="default"/>
        </w:rPr>
        <w:t>报告的业务数据服务封装，支持电子处方的数据服务封装</w:t>
      </w:r>
      <w:r>
        <w:rPr>
          <w:rFonts w:hint="eastAsia"/>
          <w:lang w:eastAsia="zh-CN"/>
        </w:rPr>
        <w:t>。</w:t>
      </w:r>
    </w:p>
    <w:p w14:paraId="2518844E">
      <w:pPr>
        <w:pStyle w:val="73"/>
        <w:numPr>
          <w:ilvl w:val="2"/>
          <w:numId w:val="0"/>
        </w:numPr>
        <w:bidi w:val="0"/>
        <w:ind w:left="567" w:leftChars="0"/>
        <w:rPr>
          <w:rFonts w:hint="default"/>
        </w:rPr>
      </w:pPr>
    </w:p>
    <w:p w14:paraId="2B5469BD">
      <w:pPr>
        <w:pStyle w:val="74"/>
        <w:numPr>
          <w:ilvl w:val="1"/>
          <w:numId w:val="6"/>
        </w:numPr>
        <w:bidi w:val="0"/>
        <w:ind w:left="0" w:leftChars="0" w:firstLine="283" w:firstLineChars="0"/>
        <w:rPr>
          <w:rFonts w:hint="default"/>
        </w:rPr>
      </w:pPr>
      <w:r>
        <w:rPr>
          <w:rFonts w:hint="eastAsia"/>
        </w:rPr>
        <w:t>“粤康链”技术服务中台</w:t>
      </w:r>
    </w:p>
    <w:p w14:paraId="5FE899D3">
      <w:pPr>
        <w:pStyle w:val="73"/>
        <w:numPr>
          <w:ilvl w:val="2"/>
          <w:numId w:val="6"/>
        </w:numPr>
        <w:bidi w:val="0"/>
        <w:ind w:left="964" w:leftChars="0" w:hanging="567" w:firstLineChars="0"/>
        <w:rPr>
          <w:rFonts w:hint="default"/>
        </w:rPr>
      </w:pPr>
      <w:r>
        <w:rPr>
          <w:rFonts w:hint="default"/>
        </w:rPr>
        <w:t>数据脱敏加密：支持链上数据进行多种方式</w:t>
      </w:r>
      <w:r>
        <w:rPr>
          <w:rFonts w:hint="eastAsia"/>
          <w:lang w:eastAsia="zh-CN"/>
        </w:rPr>
        <w:t>的</w:t>
      </w:r>
      <w:r>
        <w:rPr>
          <w:rFonts w:hint="default"/>
        </w:rPr>
        <w:t>脱敏、加密处理，并且支持数据脱敏加密服务完成数据源识别授权后，对敏感数据分类分级脱敏并统一展示。同时，支持对敏感数据的使用情况进行追踪和溯源。支持对敏感数据的安全策略进行预定义，并且基于安全策略进行数据的保护和审计。</w:t>
      </w:r>
    </w:p>
    <w:p w14:paraId="3A69764E">
      <w:pPr>
        <w:pStyle w:val="73"/>
        <w:numPr>
          <w:ilvl w:val="2"/>
          <w:numId w:val="6"/>
        </w:numPr>
        <w:bidi w:val="0"/>
        <w:ind w:left="964" w:leftChars="0" w:hanging="567" w:firstLineChars="0"/>
        <w:rPr>
          <w:rFonts w:hint="default"/>
        </w:rPr>
      </w:pPr>
      <w:r>
        <w:rPr>
          <w:rFonts w:hint="eastAsia"/>
          <w:lang w:val="en-US" w:eastAsia="zh-CN"/>
        </w:rPr>
        <w:t>形成数据索引：区块链数据中台应具备数据索引的登记形成能力。所有与“粤康链”中台进行了对接的系统接口，皆需按照此数据索引进行区块链信息登记存储。数据索引的基本结构如下：</w:t>
      </w:r>
    </w:p>
    <w:p w14:paraId="6837507C">
      <w:pPr>
        <w:pStyle w:val="73"/>
        <w:numPr>
          <w:ilvl w:val="2"/>
          <w:numId w:val="0"/>
        </w:numPr>
        <w:bidi w:val="0"/>
        <w:ind w:left="567" w:leftChars="0"/>
        <w:jc w:val="both"/>
        <w:rPr>
          <w:rFonts w:hint="eastAsia" w:hAnsi="Cambria Math" w:cs="微软雅黑"/>
          <w:i w:val="0"/>
          <w:kern w:val="2"/>
          <w:sz w:val="18"/>
          <w:szCs w:val="18"/>
          <w:lang w:val="en-US" w:eastAsia="zh-CN" w:bidi="ar-SA"/>
        </w:rPr>
      </w:pPr>
    </w:p>
    <w:p w14:paraId="7612A108">
      <w:pPr>
        <w:pStyle w:val="73"/>
        <w:numPr>
          <w:ilvl w:val="2"/>
          <w:numId w:val="0"/>
        </w:numPr>
        <w:bidi w:val="0"/>
        <w:ind w:left="567" w:leftChars="0"/>
        <w:jc w:val="both"/>
        <w:rPr>
          <w:rFonts w:hint="default" w:hAnsi="Cambria Math" w:cs="微软雅黑"/>
          <w:i w:val="0"/>
          <w:kern w:val="2"/>
          <w:sz w:val="18"/>
          <w:szCs w:val="18"/>
          <w:lang w:val="en-US" w:eastAsia="zh-CN" w:bidi="ar-SA"/>
        </w:rPr>
      </w:pPr>
    </w:p>
    <w:p w14:paraId="462C4AAB">
      <w:pPr>
        <w:pStyle w:val="73"/>
        <w:numPr>
          <w:ilvl w:val="2"/>
          <w:numId w:val="0"/>
        </w:numPr>
        <w:bidi w:val="0"/>
        <w:jc w:val="center"/>
        <w:rPr>
          <w:rFonts w:hint="default"/>
        </w:rPr>
      </w:pPr>
      <w:r>
        <w:rPr>
          <w:rFonts w:hint="default"/>
        </w:rPr>
        <w:object>
          <v:shape id="_x0000_i1025" o:spt="75" type="#_x0000_t75" style="height:112.85pt;width:453.3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14:paraId="1582FFB2">
      <w:pPr>
        <w:pStyle w:val="73"/>
        <w:numPr>
          <w:ilvl w:val="2"/>
          <w:numId w:val="0"/>
        </w:numPr>
        <w:bidi w:val="0"/>
        <w:ind w:left="567" w:leftChars="0"/>
        <w:rPr>
          <w:rFonts w:hint="default"/>
          <w:vertAlign w:val="baseline"/>
          <w:lang w:val="en-US" w:eastAsia="zh-CN"/>
        </w:rPr>
      </w:pPr>
      <w:r>
        <w:rPr>
          <w:rFonts w:hint="default"/>
        </w:rPr>
        <w:t>注</w:t>
      </w:r>
      <w:r>
        <w:rPr>
          <w:rFonts w:hint="eastAsia"/>
          <w:lang w:val="en-US" w:eastAsia="zh-CN"/>
        </w:rPr>
        <w:t xml:space="preserve">:  </w:t>
      </w:r>
      <w:r>
        <w:rPr>
          <w:rFonts w:hint="eastAsia"/>
          <w:vertAlign w:val="superscript"/>
          <w:lang w:val="en-US" w:eastAsia="zh-CN"/>
        </w:rPr>
        <w:t>1</w:t>
      </w:r>
      <w:r>
        <w:rPr>
          <w:rFonts w:hint="eastAsia"/>
          <w:vertAlign w:val="baseline"/>
          <w:lang w:val="en-US" w:eastAsia="zh-CN"/>
        </w:rPr>
        <w:t>区块链逻辑体前段用于存储数据索引产生者信息，包括逻辑数据操作人，数据源系统（原系统设置代替序号），所有信息进行SHA256加密处理。</w:t>
      </w:r>
    </w:p>
    <w:p w14:paraId="450C8C64">
      <w:pPr>
        <w:pStyle w:val="73"/>
        <w:numPr>
          <w:ilvl w:val="2"/>
          <w:numId w:val="0"/>
        </w:numPr>
        <w:bidi w:val="0"/>
        <w:ind w:left="567" w:leftChars="0" w:firstLine="419" w:firstLineChars="0"/>
        <w:rPr>
          <w:rFonts w:hint="eastAsia"/>
          <w:vertAlign w:val="baseline"/>
          <w:lang w:val="en-US" w:eastAsia="zh-CN"/>
        </w:rPr>
      </w:pPr>
      <w:r>
        <w:rPr>
          <w:rFonts w:hint="eastAsia"/>
          <w:vertAlign w:val="superscript"/>
          <w:lang w:val="en-US" w:eastAsia="zh-CN"/>
        </w:rPr>
        <w:t>2</w:t>
      </w:r>
      <w:r>
        <w:rPr>
          <w:rFonts w:hint="eastAsia"/>
          <w:vertAlign w:val="baseline"/>
          <w:lang w:val="en-US" w:eastAsia="zh-CN"/>
        </w:rPr>
        <w:t>区块链逻辑体中段用于存储操作段信息，包括逻辑操作类型值（增、删、改、查等），逻辑操作信息，所有信息进行SHA256加密处理。</w:t>
      </w:r>
    </w:p>
    <w:p w14:paraId="069D7CFD">
      <w:pPr>
        <w:pStyle w:val="73"/>
        <w:numPr>
          <w:ilvl w:val="2"/>
          <w:numId w:val="0"/>
        </w:numPr>
        <w:bidi w:val="0"/>
        <w:ind w:left="567" w:leftChars="0" w:firstLine="419" w:firstLineChars="0"/>
        <w:rPr>
          <w:rFonts w:hint="eastAsia"/>
          <w:vertAlign w:val="baseline"/>
          <w:lang w:val="en-US" w:eastAsia="zh-CN"/>
        </w:rPr>
      </w:pPr>
      <w:r>
        <w:rPr>
          <w:rFonts w:hint="eastAsia"/>
          <w:vertAlign w:val="superscript"/>
          <w:lang w:val="en-US" w:eastAsia="zh-CN"/>
        </w:rPr>
        <w:t>3</w:t>
      </w:r>
      <w:r>
        <w:rPr>
          <w:rFonts w:hint="eastAsia"/>
          <w:vertAlign w:val="baseline"/>
          <w:lang w:val="en-US" w:eastAsia="zh-CN"/>
        </w:rPr>
        <w:t>区块链逻辑体尾段用于存储操作对象信息，一般为逻辑执行对象，所有信息进行SHA256加密处理。</w:t>
      </w:r>
    </w:p>
    <w:p w14:paraId="02D922A1">
      <w:pPr>
        <w:pStyle w:val="73"/>
        <w:numPr>
          <w:ilvl w:val="2"/>
          <w:numId w:val="0"/>
        </w:numPr>
        <w:bidi w:val="0"/>
        <w:ind w:left="567" w:leftChars="0" w:firstLine="419" w:firstLineChars="0"/>
        <w:rPr>
          <w:rFonts w:hint="default"/>
          <w:vertAlign w:val="baseline"/>
          <w:lang w:val="en-US" w:eastAsia="zh-CN"/>
        </w:rPr>
      </w:pPr>
      <w:r>
        <w:rPr>
          <w:rFonts w:hint="eastAsia"/>
          <w:vertAlign w:val="superscript"/>
          <w:lang w:val="en-US" w:eastAsia="zh-CN"/>
        </w:rPr>
        <w:t>4</w:t>
      </w:r>
      <w:r>
        <w:rPr>
          <w:rFonts w:hint="eastAsia"/>
          <w:vertAlign w:val="baseline"/>
          <w:lang w:val="en-US" w:eastAsia="zh-CN"/>
        </w:rPr>
        <w:t>区块根记录逻辑体的状态及尾段信息。包括操作状态（Operating status，OPT)、广播级别（</w:t>
      </w:r>
      <w:r>
        <w:rPr>
          <w:rFonts w:hint="eastAsia"/>
          <w:lang w:val="en-US" w:eastAsia="zh-CN"/>
        </w:rPr>
        <w:t>Broadcast Level，BL</w:t>
      </w:r>
      <w:r>
        <w:rPr>
          <w:rFonts w:hint="eastAsia"/>
          <w:vertAlign w:val="baseline"/>
          <w:lang w:val="en-US" w:eastAsia="zh-CN"/>
        </w:rPr>
        <w:t>）、尾注（Remarks）和随机数（Random）。</w:t>
      </w:r>
    </w:p>
    <w:p w14:paraId="21218A27">
      <w:pPr>
        <w:pStyle w:val="73"/>
        <w:numPr>
          <w:ilvl w:val="2"/>
          <w:numId w:val="6"/>
        </w:numPr>
        <w:bidi w:val="0"/>
        <w:ind w:left="964" w:leftChars="0" w:hanging="567" w:firstLineChars="0"/>
        <w:rPr>
          <w:rFonts w:hint="default"/>
          <w:lang w:val="en-US" w:eastAsia="zh-CN"/>
        </w:rPr>
      </w:pPr>
      <w:r>
        <w:rPr>
          <w:rFonts w:hint="default"/>
          <w:lang w:val="en-US" w:eastAsia="zh-CN"/>
        </w:rPr>
        <w:t>BaaS（Blockchain as a Service）</w:t>
      </w:r>
      <w:r>
        <w:rPr>
          <w:rFonts w:hint="eastAsia"/>
          <w:lang w:val="en-US" w:eastAsia="zh-CN"/>
        </w:rPr>
        <w:t>服务控制：提供多类BaaS管理相关的功能性服务，包括节点管理、联盟管理、机构管理、应用链管理、合约管理，形成区块链浏览器，工单浏览器，安全审计浏览器，IPFS服务模块，联盟链管理服务模块等功能性服务。</w:t>
      </w:r>
    </w:p>
    <w:p w14:paraId="7DEEFEC1">
      <w:pPr>
        <w:pStyle w:val="73"/>
        <w:numPr>
          <w:ilvl w:val="2"/>
          <w:numId w:val="6"/>
        </w:numPr>
        <w:bidi w:val="0"/>
        <w:ind w:left="964" w:leftChars="0" w:hanging="567" w:firstLineChars="0"/>
        <w:rPr>
          <w:rFonts w:hint="default"/>
          <w:lang w:val="en-US" w:eastAsia="zh-CN"/>
        </w:rPr>
      </w:pPr>
      <w:r>
        <w:t>智能合约管理</w:t>
      </w:r>
      <w:r>
        <w:rPr>
          <w:rFonts w:hint="eastAsia"/>
          <w:lang w:eastAsia="zh-CN"/>
        </w:rPr>
        <w:t>：支持多种图灵完备的智能合约高级编程语言。</w:t>
      </w:r>
      <w:r>
        <w:rPr>
          <w:rFonts w:hint="eastAsia"/>
          <w:lang w:val="en-US" w:eastAsia="zh-CN"/>
        </w:rPr>
        <w:t>构筑</w:t>
      </w:r>
      <w:r>
        <w:rPr>
          <w:rFonts w:hint="eastAsia"/>
          <w:lang w:eastAsia="zh-CN"/>
        </w:rPr>
        <w:t>可视化智能合约管理，通过界面方便管理智能合约的全生命周期，包括智能合约查看、智能合约安装和升级，支持指定智能合约背书策略，支持智能合约静态安全扫描，支持规则检测，支持</w:t>
      </w:r>
      <w:r>
        <w:rPr>
          <w:rFonts w:hint="eastAsia"/>
          <w:lang w:val="en-US" w:eastAsia="zh-CN"/>
        </w:rPr>
        <w:t>流量检查</w:t>
      </w:r>
      <w:r>
        <w:rPr>
          <w:rFonts w:hint="eastAsia"/>
          <w:lang w:eastAsia="zh-CN"/>
        </w:rPr>
        <w:t>。</w:t>
      </w:r>
    </w:p>
    <w:p w14:paraId="6E7E8C47">
      <w:pPr>
        <w:pStyle w:val="73"/>
        <w:numPr>
          <w:ilvl w:val="2"/>
          <w:numId w:val="6"/>
        </w:numPr>
        <w:bidi w:val="0"/>
        <w:ind w:left="964" w:leftChars="0" w:hanging="567" w:firstLineChars="0"/>
        <w:rPr>
          <w:rFonts w:hint="default"/>
          <w:lang w:val="en-US" w:eastAsia="zh-CN"/>
        </w:rPr>
      </w:pPr>
      <w:r>
        <w:rPr>
          <w:rFonts w:hint="eastAsia"/>
          <w:lang w:val="en-US" w:eastAsia="zh-CN"/>
        </w:rPr>
        <w:t>跨链交互管理：支持SPV证明的接口协议，通过协议实现跨链的应用服务，解决“不同链互通”问题，实现联盟链的扩展应用。支持同构底层链和异构底层链跨链服务以及跨链申请授权管理内容，支持应用与多链互操作、同/异构链间互操作等多维跨链内容进行交互。</w:t>
      </w:r>
    </w:p>
    <w:p w14:paraId="64779EF7">
      <w:pPr>
        <w:pStyle w:val="73"/>
        <w:numPr>
          <w:ilvl w:val="2"/>
          <w:numId w:val="0"/>
        </w:numPr>
        <w:bidi w:val="0"/>
        <w:ind w:left="567" w:leftChars="0"/>
        <w:rPr>
          <w:rFonts w:hint="default"/>
          <w:lang w:val="en-US" w:eastAsia="zh-CN"/>
        </w:rPr>
      </w:pPr>
    </w:p>
    <w:p w14:paraId="110ABE59">
      <w:pPr>
        <w:pStyle w:val="74"/>
        <w:numPr>
          <w:ilvl w:val="1"/>
          <w:numId w:val="6"/>
        </w:numPr>
        <w:bidi w:val="0"/>
        <w:ind w:left="0" w:leftChars="0" w:firstLine="283" w:firstLineChars="0"/>
        <w:rPr>
          <w:rFonts w:hint="default"/>
        </w:rPr>
      </w:pPr>
      <w:r>
        <w:rPr>
          <w:rFonts w:hint="eastAsia"/>
          <w:lang w:eastAsia="zh-CN"/>
        </w:rPr>
        <w:t>“</w:t>
      </w:r>
      <w:r>
        <w:rPr>
          <w:rFonts w:hint="eastAsia"/>
        </w:rPr>
        <w:t>粤康链”其它业务服务中台</w:t>
      </w:r>
    </w:p>
    <w:p w14:paraId="4C4389F0">
      <w:pPr>
        <w:pStyle w:val="73"/>
        <w:numPr>
          <w:ilvl w:val="2"/>
          <w:numId w:val="6"/>
        </w:numPr>
        <w:bidi w:val="0"/>
        <w:ind w:left="964" w:leftChars="0" w:hanging="567" w:firstLineChars="0"/>
        <w:rPr>
          <w:rFonts w:hint="default"/>
        </w:rPr>
      </w:pPr>
      <w:r>
        <w:rPr>
          <w:rFonts w:hint="eastAsia"/>
          <w:lang w:val="en-US" w:eastAsia="zh-CN"/>
        </w:rPr>
        <w:t>平台驾驶舱：需建设平台驾驶舱，生成所有数据量衡的一览表。包含目前区块链情况的基本信息（目前的节点数，区块数，数据条目数目，区分级别一览等）、接入情况的基本信息（运维数据情况）等，完成区块链平台的对外可见首页情况。</w:t>
      </w:r>
    </w:p>
    <w:p w14:paraId="672098E9">
      <w:pPr>
        <w:pStyle w:val="73"/>
        <w:numPr>
          <w:ilvl w:val="2"/>
          <w:numId w:val="6"/>
        </w:numPr>
        <w:bidi w:val="0"/>
        <w:ind w:left="964" w:leftChars="0" w:hanging="567" w:firstLineChars="0"/>
        <w:rPr>
          <w:rFonts w:hint="default"/>
        </w:rPr>
      </w:pPr>
      <w:r>
        <w:rPr>
          <w:rFonts w:hint="eastAsia"/>
          <w:lang w:val="en-US" w:eastAsia="zh-CN"/>
        </w:rPr>
        <w:t>平台权限控制模块：完成用于划分区块级别以及区块相关的消息级别的权限控制模块，统一管理各类平台的数据权限，划分服务框架边界。完成用于对区块链管理人员进行权限控制的人员权限控制模块。</w:t>
      </w:r>
      <w:r>
        <w:rPr>
          <w:rFonts w:hint="eastAsia"/>
        </w:rPr>
        <w:t>支持区块链服务管理的账户认证体系和区块链节点接入的账户认证体系；支持区块链服务管理账户的注册和登录认证；支持区块链服务账户详细信息的查询管理；支持区块链节点管理员证书和用户证书的查询、下载。</w:t>
      </w:r>
    </w:p>
    <w:p w14:paraId="1C611659">
      <w:pPr>
        <w:pStyle w:val="73"/>
        <w:numPr>
          <w:ilvl w:val="2"/>
          <w:numId w:val="6"/>
        </w:numPr>
        <w:bidi w:val="0"/>
        <w:ind w:left="964" w:leftChars="0" w:hanging="567" w:firstLineChars="0"/>
        <w:rPr>
          <w:rFonts w:hint="default"/>
        </w:rPr>
      </w:pPr>
      <w:r>
        <w:rPr>
          <w:rFonts w:hint="default"/>
        </w:rPr>
        <w:t>监控与运维服务：支持区块链的管控和运维服务，包括配置管理、资源监控、服务监控、日志管理、操作审计、资源规划、备份恢复等。支持区块链服务相关区块和交易信息的查询功能，包括交易数量、交易详细信息、性能数据及节点状态等，掌控整个区块链服务的状态；支持一段时间内交易量和交易性能数据的查询功能；支持所有交易中不同组织发起的交易占比查询功能。</w:t>
      </w:r>
    </w:p>
    <w:p w14:paraId="3DE2C467">
      <w:pPr>
        <w:pStyle w:val="73"/>
        <w:numPr>
          <w:ilvl w:val="2"/>
          <w:numId w:val="6"/>
        </w:numPr>
        <w:bidi w:val="0"/>
        <w:ind w:left="964" w:leftChars="0" w:hanging="567" w:firstLineChars="0"/>
        <w:rPr>
          <w:rFonts w:hint="default"/>
        </w:rPr>
      </w:pPr>
      <w:r>
        <w:rPr>
          <w:rFonts w:hint="eastAsia"/>
          <w:lang w:val="en-US" w:eastAsia="zh-CN"/>
        </w:rPr>
        <w:t>日志管理：提供</w:t>
      </w:r>
      <w:r>
        <w:rPr>
          <w:rFonts w:hint="eastAsia"/>
        </w:rPr>
        <w:t>平台监控服务，提供计算资源、系统状态、性能和交易情况的监控，运维，告警能力；支持完整的审计日志功能，可以追溯对区块链服务相关的所有增加、修改、删除管理动作；支持完整的区块链节点运行日志功能，方便查看不同时间段日志进行问题定位。</w:t>
      </w:r>
    </w:p>
    <w:p w14:paraId="16ECEEA6">
      <w:pPr>
        <w:pStyle w:val="73"/>
        <w:numPr>
          <w:ilvl w:val="2"/>
          <w:numId w:val="6"/>
        </w:numPr>
        <w:bidi w:val="0"/>
        <w:ind w:left="964" w:leftChars="0" w:hanging="567" w:firstLineChars="0"/>
        <w:rPr>
          <w:rFonts w:hint="default"/>
        </w:rPr>
      </w:pPr>
      <w:r>
        <w:rPr>
          <w:rFonts w:hint="eastAsia"/>
          <w:lang w:val="en-US" w:eastAsia="zh-CN"/>
        </w:rPr>
        <w:t>二次开发指南：应形成对应的接口二次开发指南，形成特殊功能模块，包括但不限于工作流程构建器、页面资源搜索、开发文件共享、对外密钥管理（token）等，保证中台对外的可用性及延展性，确保区块链数据形式可以形成完整对外的二次开发网络。</w:t>
      </w:r>
    </w:p>
    <w:p w14:paraId="1C7FDB82">
      <w:pPr>
        <w:pStyle w:val="73"/>
        <w:numPr>
          <w:ilvl w:val="2"/>
          <w:numId w:val="6"/>
        </w:numPr>
        <w:bidi w:val="0"/>
        <w:ind w:left="964" w:leftChars="0" w:hanging="567" w:firstLineChars="0"/>
        <w:rPr>
          <w:rFonts w:hint="default"/>
        </w:rPr>
      </w:pPr>
      <w:r>
        <w:rPr>
          <w:rFonts w:hint="eastAsia"/>
          <w:lang w:val="en-US" w:eastAsia="zh-CN"/>
        </w:rPr>
        <w:t>对外门户信息：形成对外统一的一体化门户，包含帮助中心、开发者、合作伙伴、copyright等的一般认证信息，形成独立架构网页，完成对外窗口。</w:t>
      </w:r>
    </w:p>
    <w:p w14:paraId="1F7218D3">
      <w:pPr>
        <w:pStyle w:val="73"/>
        <w:numPr>
          <w:ilvl w:val="2"/>
          <w:numId w:val="6"/>
        </w:numPr>
        <w:bidi w:val="0"/>
        <w:ind w:left="964" w:leftChars="0" w:hanging="567" w:firstLineChars="0"/>
        <w:rPr>
          <w:rFonts w:hint="default"/>
        </w:rPr>
      </w:pPr>
      <w:r>
        <w:rPr>
          <w:rFonts w:hint="eastAsia"/>
          <w:lang w:val="en-US" w:eastAsia="zh-CN"/>
        </w:rPr>
        <w:t>其它业务情况支撑模块：按照院方要求构建科研支撑模块，包括共性业务支撑（机构注册、人员注册、患者注册、术语字典注册，认证、授权、加解密、数字摘要、数字签名、存证、留痕、追溯），大数据科研支撑（分布式多中心临床科研、分布式多中心药物临床试验、分布式多中心真实世界研究）以及追溯监管类业务支撑（医疗行为监管、互联网医院监管、医疗废弃物监管、药品追溯监管）功能模块，支持混合型数据存储、可信执行环境、联盟自治、预言机以及可视化运维等特性。保证对应的科研架构可以在中台上正常对接开展。</w:t>
      </w:r>
    </w:p>
    <w:p w14:paraId="0139BB08">
      <w:pPr>
        <w:pStyle w:val="74"/>
        <w:numPr>
          <w:ilvl w:val="1"/>
          <w:numId w:val="0"/>
        </w:numPr>
        <w:ind w:left="283"/>
        <w:rPr>
          <w:rFonts w:hint="default"/>
          <w:color w:val="000000"/>
          <w:szCs w:val="21"/>
        </w:rPr>
      </w:pPr>
    </w:p>
    <w:tbl>
      <w:tblPr>
        <w:tblStyle w:val="26"/>
        <w:tblW w:w="5000" w:type="pct"/>
        <w:tblInd w:w="0" w:type="dxa"/>
        <w:tblLayout w:type="autofit"/>
        <w:tblCellMar>
          <w:top w:w="0" w:type="dxa"/>
          <w:left w:w="108" w:type="dxa"/>
          <w:bottom w:w="0" w:type="dxa"/>
          <w:right w:w="108" w:type="dxa"/>
        </w:tblCellMar>
      </w:tblPr>
      <w:tblGrid>
        <w:gridCol w:w="1042"/>
        <w:gridCol w:w="8244"/>
      </w:tblGrid>
      <w:tr w14:paraId="3FCCE4C4">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8115BE5">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rPr>
              <w:t>“粤康链”硬件采购</w:t>
            </w:r>
          </w:p>
        </w:tc>
      </w:tr>
      <w:tr w14:paraId="3C4D3C83">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54D04F4B">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14:paraId="429BE915">
            <w:pPr>
              <w:widowControl/>
              <w:snapToGrid w:val="0"/>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主</w:t>
            </w:r>
            <w:r>
              <w:rPr>
                <w:rFonts w:hint="eastAsia" w:ascii="微软雅黑" w:hAnsi="微软雅黑" w:eastAsia="微软雅黑" w:cs="微软雅黑"/>
                <w:color w:val="000000"/>
                <w:szCs w:val="21"/>
              </w:rPr>
              <w:t>节点服务器采购</w:t>
            </w:r>
          </w:p>
        </w:tc>
      </w:tr>
      <w:tr w14:paraId="055D1B0B">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4714085E">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14:paraId="5D2DFB14">
            <w:pPr>
              <w:widowControl/>
              <w:snapToGrid w:val="0"/>
              <w:rPr>
                <w:rFonts w:ascii="微软雅黑" w:hAnsi="微软雅黑" w:eastAsia="微软雅黑" w:cs="微软雅黑"/>
                <w:color w:val="000000"/>
                <w:szCs w:val="21"/>
              </w:rPr>
            </w:pPr>
            <w:r>
              <w:rPr>
                <w:rFonts w:hint="eastAsia" w:ascii="微软雅黑" w:hAnsi="微软雅黑" w:eastAsia="微软雅黑" w:cs="微软雅黑"/>
                <w:sz w:val="21"/>
                <w:szCs w:val="21"/>
                <w:lang w:val="en-US" w:eastAsia="zh-CN"/>
              </w:rPr>
              <w:t>云平台服务采购</w:t>
            </w:r>
          </w:p>
        </w:tc>
      </w:tr>
      <w:tr w14:paraId="5F8274EA">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2961C73B">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3.3</w:t>
            </w:r>
          </w:p>
        </w:tc>
        <w:tc>
          <w:tcPr>
            <w:tcW w:w="4438" w:type="pct"/>
            <w:tcBorders>
              <w:top w:val="single" w:color="auto" w:sz="4" w:space="0"/>
              <w:left w:val="single" w:color="auto" w:sz="4" w:space="0"/>
              <w:bottom w:val="single" w:color="auto" w:sz="4" w:space="0"/>
              <w:right w:val="single" w:color="auto" w:sz="4" w:space="0"/>
            </w:tcBorders>
            <w:vAlign w:val="center"/>
          </w:tcPr>
          <w:p w14:paraId="58807EF7">
            <w:pPr>
              <w:widowControl/>
              <w:snapToGrid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配套技术服务采购</w:t>
            </w:r>
          </w:p>
        </w:tc>
      </w:tr>
    </w:tbl>
    <w:p w14:paraId="6F809C43">
      <w:pPr>
        <w:pStyle w:val="74"/>
        <w:numPr>
          <w:ilvl w:val="1"/>
          <w:numId w:val="7"/>
        </w:numPr>
        <w:bidi w:val="0"/>
        <w:ind w:left="0" w:leftChars="0" w:firstLine="283" w:firstLineChars="0"/>
        <w:rPr>
          <w:rFonts w:hint="default"/>
        </w:rPr>
      </w:pPr>
      <w:r>
        <w:rPr>
          <w:rFonts w:hint="eastAsia"/>
          <w:lang w:val="en-US" w:eastAsia="zh-CN"/>
        </w:rPr>
        <w:t>主</w:t>
      </w:r>
      <w:r>
        <w:rPr>
          <w:rFonts w:hint="eastAsia"/>
        </w:rPr>
        <w:t>节点服务器采购</w:t>
      </w:r>
    </w:p>
    <w:p w14:paraId="459B9C73">
      <w:pPr>
        <w:pStyle w:val="73"/>
        <w:numPr>
          <w:ilvl w:val="2"/>
          <w:numId w:val="7"/>
        </w:numPr>
        <w:bidi w:val="0"/>
        <w:ind w:left="964" w:leftChars="0" w:hanging="567" w:firstLineChars="0"/>
        <w:rPr>
          <w:rFonts w:hint="default"/>
        </w:rPr>
      </w:pPr>
      <w:r>
        <w:rPr>
          <w:rFonts w:hint="eastAsia"/>
          <w:lang w:val="en-US" w:eastAsia="zh-CN"/>
        </w:rPr>
        <w:t>需提供5个主节点的服务器，综合考虑区块链特征、应用部署和前置服务对接的需求，以满足最小化服务和应用为原则。区块链服务节点和前置机节点可以考虑根据实际情况是否合并。</w:t>
      </w:r>
    </w:p>
    <w:p w14:paraId="3A6C643C">
      <w:pPr>
        <w:pStyle w:val="73"/>
        <w:numPr>
          <w:ilvl w:val="2"/>
          <w:numId w:val="7"/>
        </w:numPr>
        <w:bidi w:val="0"/>
        <w:ind w:left="964" w:leftChars="0" w:hanging="567" w:firstLineChars="0"/>
        <w:rPr>
          <w:rFonts w:hint="default"/>
        </w:rPr>
      </w:pPr>
      <w:r>
        <w:rPr>
          <w:rFonts w:hint="default"/>
        </w:rPr>
        <w:t>需准备2个分节点部署公共算力网络，基于6.4提供隐私计算的试验节点算力构筑硬件解决方案，相应资源属性应为私有云资源，节点算力级别达到22TOPS，HFU基准线达到13Bsh2，节点评价指标不唯一，基于多重浮点数等的样态等评价标准，按照实际情况判断达至同等产品规格配置均可。</w:t>
      </w:r>
    </w:p>
    <w:p w14:paraId="21E1984A">
      <w:pPr>
        <w:pStyle w:val="73"/>
        <w:numPr>
          <w:ilvl w:val="2"/>
          <w:numId w:val="7"/>
        </w:numPr>
        <w:bidi w:val="0"/>
        <w:ind w:left="964" w:leftChars="0" w:hanging="567" w:firstLineChars="0"/>
        <w:rPr>
          <w:rFonts w:hint="default"/>
        </w:rPr>
      </w:pPr>
      <w:r>
        <w:rPr>
          <w:rFonts w:hint="eastAsia"/>
          <w:lang w:val="en-US" w:eastAsia="zh-CN"/>
        </w:rPr>
        <w:t>对应的服务器需求仅作为参考提供，实际需求可能根据节点供应内容变更，但原则上所有节点遵循最小需求原则。以下为最小化3+1（容错节点）</w:t>
      </w:r>
      <w:r>
        <w:rPr>
          <w:rFonts w:hint="default"/>
          <w:lang w:eastAsia="zh-CN"/>
        </w:rPr>
        <w:t>，主</w:t>
      </w:r>
      <w:r>
        <w:rPr>
          <w:rFonts w:hint="eastAsia"/>
          <w:lang w:val="en-US" w:eastAsia="zh-CN"/>
        </w:rPr>
        <w:t>节点基础需求示例。</w:t>
      </w:r>
    </w:p>
    <w:tbl>
      <w:tblPr>
        <w:tblStyle w:val="26"/>
        <w:tblW w:w="8535" w:type="dxa"/>
        <w:jc w:val="center"/>
        <w:shd w:val="clear" w:color="auto" w:fill="auto"/>
        <w:tblLayout w:type="fixed"/>
        <w:tblCellMar>
          <w:top w:w="0" w:type="dxa"/>
          <w:left w:w="0" w:type="dxa"/>
          <w:bottom w:w="0" w:type="dxa"/>
          <w:right w:w="0" w:type="dxa"/>
        </w:tblCellMar>
      </w:tblPr>
      <w:tblGrid>
        <w:gridCol w:w="730"/>
        <w:gridCol w:w="1473"/>
        <w:gridCol w:w="1391"/>
        <w:gridCol w:w="1888"/>
        <w:gridCol w:w="776"/>
        <w:gridCol w:w="2277"/>
      </w:tblGrid>
      <w:tr w14:paraId="53750529">
        <w:tblPrEx>
          <w:shd w:val="clear" w:color="auto" w:fill="auto"/>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4A4A4A"/>
            <w:noWrap/>
            <w:tcMar>
              <w:top w:w="10" w:type="dxa"/>
              <w:left w:w="10" w:type="dxa"/>
              <w:right w:w="10" w:type="dxa"/>
            </w:tcMar>
            <w:vAlign w:val="center"/>
          </w:tcPr>
          <w:p w14:paraId="35994E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序号</w:t>
            </w:r>
          </w:p>
        </w:tc>
        <w:tc>
          <w:tcPr>
            <w:tcW w:w="1473"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240357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08BDED4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硬件配置</w:t>
            </w:r>
          </w:p>
        </w:tc>
        <w:tc>
          <w:tcPr>
            <w:tcW w:w="1888"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6E405D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lang w:val="en-US" w:eastAsia="zh-CN"/>
                <w14:textFill>
                  <w14:solidFill>
                    <w14:schemeClr w14:val="bg1"/>
                  </w14:solidFill>
                </w14:textFill>
              </w:rPr>
            </w:pPr>
            <w:r>
              <w:rPr>
                <w:rFonts w:hint="eastAsia" w:ascii="微软雅黑" w:hAnsi="微软雅黑" w:eastAsia="微软雅黑" w:cs="微软雅黑"/>
                <w:b/>
                <w:bCs/>
                <w:i w:val="0"/>
                <w:color w:val="FFFFFF" w:themeColor="background1"/>
                <w:sz w:val="18"/>
                <w:szCs w:val="18"/>
                <w:u w:val="none"/>
                <w:lang w:val="en-US" w:eastAsia="zh-CN"/>
                <w14:textFill>
                  <w14:solidFill>
                    <w14:schemeClr w14:val="bg1"/>
                  </w14:solidFill>
                </w14:textFill>
              </w:rPr>
              <w:t>操作系统</w:t>
            </w:r>
          </w:p>
        </w:tc>
        <w:tc>
          <w:tcPr>
            <w:tcW w:w="776"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015C6F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数量</w:t>
            </w:r>
          </w:p>
        </w:tc>
        <w:tc>
          <w:tcPr>
            <w:tcW w:w="2277"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161B1E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说明</w:t>
            </w:r>
          </w:p>
        </w:tc>
      </w:tr>
      <w:tr w14:paraId="33055EAF">
        <w:tblPrEx>
          <w:shd w:val="clear" w:color="auto" w:fill="auto"/>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EBEBEB"/>
            <w:noWrap/>
            <w:tcMar>
              <w:top w:w="10" w:type="dxa"/>
              <w:left w:w="10" w:type="dxa"/>
              <w:right w:w="10" w:type="dxa"/>
            </w:tcMar>
            <w:vAlign w:val="center"/>
          </w:tcPr>
          <w:p w14:paraId="2BF376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473"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34D8A0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代煎区块链服务器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706BB9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w:t>
            </w:r>
            <w:r>
              <w:rPr>
                <w:rFonts w:hint="eastAsia" w:ascii="微软雅黑" w:hAnsi="微软雅黑" w:eastAsia="微软雅黑" w:cs="微软雅黑"/>
                <w:i w:val="0"/>
                <w:iCs w:val="0"/>
                <w:color w:val="000000"/>
                <w:kern w:val="0"/>
                <w:sz w:val="18"/>
                <w:szCs w:val="18"/>
                <w:u w:val="none"/>
                <w:lang w:eastAsia="zh-CN" w:bidi="ar"/>
              </w:rPr>
              <w:t>16</w:t>
            </w:r>
            <w:r>
              <w:rPr>
                <w:rFonts w:hint="eastAsia" w:ascii="微软雅黑" w:hAnsi="微软雅黑" w:eastAsia="微软雅黑" w:cs="微软雅黑"/>
                <w:i w:val="0"/>
                <w:iCs w:val="0"/>
                <w:color w:val="000000"/>
                <w:kern w:val="0"/>
                <w:sz w:val="18"/>
                <w:szCs w:val="18"/>
                <w:u w:val="none"/>
                <w:lang w:val="en-US" w:eastAsia="zh-CN" w:bidi="ar"/>
              </w:rPr>
              <w:t>核；内存-</w:t>
            </w:r>
            <w:r>
              <w:rPr>
                <w:rFonts w:hint="eastAsia" w:ascii="微软雅黑" w:hAnsi="微软雅黑" w:eastAsia="微软雅黑" w:cs="微软雅黑"/>
                <w:i w:val="0"/>
                <w:iCs w:val="0"/>
                <w:color w:val="000000"/>
                <w:kern w:val="0"/>
                <w:sz w:val="18"/>
                <w:szCs w:val="18"/>
                <w:u w:val="none"/>
                <w:lang w:eastAsia="zh-CN" w:bidi="ar"/>
              </w:rPr>
              <w:t>32</w:t>
            </w:r>
            <w:r>
              <w:rPr>
                <w:rFonts w:hint="eastAsia" w:ascii="微软雅黑" w:hAnsi="微软雅黑" w:eastAsia="微软雅黑" w:cs="微软雅黑"/>
                <w:i w:val="0"/>
                <w:iCs w:val="0"/>
                <w:color w:val="000000"/>
                <w:kern w:val="0"/>
                <w:sz w:val="18"/>
                <w:szCs w:val="18"/>
                <w:u w:val="none"/>
                <w:lang w:val="en-US" w:eastAsia="zh-CN" w:bidi="ar"/>
              </w:rPr>
              <w:t>G；</w:t>
            </w:r>
          </w:p>
          <w:p w14:paraId="3E6182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硬盘-500G ；</w:t>
            </w:r>
          </w:p>
        </w:tc>
        <w:tc>
          <w:tcPr>
            <w:tcW w:w="1888"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474CCE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1C62B3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4</w:t>
            </w:r>
          </w:p>
        </w:tc>
        <w:tc>
          <w:tcPr>
            <w:tcW w:w="2277"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D4241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安装部署区块链节点，并接入区块链环境，最小化三个节点，考虑一个容错节点</w:t>
            </w:r>
          </w:p>
        </w:tc>
      </w:tr>
      <w:tr w14:paraId="051063AF">
        <w:tblPrEx>
          <w:shd w:val="clear" w:color="auto" w:fill="auto"/>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EBEBEB"/>
            <w:noWrap/>
            <w:tcMar>
              <w:top w:w="10" w:type="dxa"/>
              <w:left w:w="10" w:type="dxa"/>
              <w:right w:w="10" w:type="dxa"/>
            </w:tcMar>
            <w:vAlign w:val="center"/>
          </w:tcPr>
          <w:p w14:paraId="1B22B8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c>
          <w:tcPr>
            <w:tcW w:w="1473"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A3475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5F9AE32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CPU-16核；内存-32G；</w:t>
            </w:r>
          </w:p>
          <w:p w14:paraId="6DAB8D6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w:t>
            </w:r>
            <w:r>
              <w:rPr>
                <w:rFonts w:hint="eastAsia" w:ascii="微软雅黑" w:hAnsi="微软雅黑" w:eastAsia="微软雅黑" w:cs="微软雅黑"/>
                <w:i w:val="0"/>
                <w:iCs w:val="0"/>
                <w:color w:val="000000"/>
                <w:kern w:val="0"/>
                <w:sz w:val="18"/>
                <w:szCs w:val="18"/>
                <w:u w:val="none"/>
                <w:lang w:eastAsia="zh-CN" w:bidi="ar"/>
              </w:rPr>
              <w:t>5</w:t>
            </w:r>
            <w:r>
              <w:rPr>
                <w:rFonts w:hint="eastAsia" w:ascii="微软雅黑" w:hAnsi="微软雅黑" w:eastAsia="微软雅黑" w:cs="微软雅黑"/>
                <w:i w:val="0"/>
                <w:iCs w:val="0"/>
                <w:color w:val="000000"/>
                <w:kern w:val="0"/>
                <w:sz w:val="18"/>
                <w:szCs w:val="18"/>
                <w:u w:val="none"/>
                <w:lang w:val="en-US" w:eastAsia="zh-CN" w:bidi="ar"/>
              </w:rPr>
              <w:t>00G ；</w:t>
            </w:r>
          </w:p>
        </w:tc>
        <w:tc>
          <w:tcPr>
            <w:tcW w:w="1888"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1E5A5A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4919F8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1</w:t>
            </w:r>
          </w:p>
        </w:tc>
        <w:tc>
          <w:tcPr>
            <w:tcW w:w="2277"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3000C2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管理端部署，建议集群化部署（最小单一部署）</w:t>
            </w:r>
          </w:p>
        </w:tc>
      </w:tr>
      <w:tr w14:paraId="3449FBBB">
        <w:tblPrEx>
          <w:shd w:val="clear" w:color="auto" w:fill="auto"/>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4A4A4A" w:sz="12" w:space="0"/>
              <w:right w:val="single" w:color="FCFCFC" w:sz="8" w:space="0"/>
            </w:tcBorders>
            <w:shd w:val="clear" w:color="auto" w:fill="EBEBEB"/>
            <w:noWrap/>
            <w:tcMar>
              <w:top w:w="10" w:type="dxa"/>
              <w:left w:w="10" w:type="dxa"/>
              <w:right w:w="10" w:type="dxa"/>
            </w:tcMar>
            <w:vAlign w:val="center"/>
          </w:tcPr>
          <w:p w14:paraId="27E9B1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eastAsia="zh-CN" w:bidi="ar"/>
              </w:rPr>
            </w:pPr>
            <w:r>
              <w:rPr>
                <w:rFonts w:hint="eastAsia" w:ascii="微软雅黑" w:hAnsi="微软雅黑" w:eastAsia="微软雅黑" w:cs="微软雅黑"/>
                <w:i w:val="0"/>
                <w:color w:val="000000"/>
                <w:kern w:val="0"/>
                <w:sz w:val="18"/>
                <w:szCs w:val="18"/>
                <w:u w:val="none"/>
                <w:lang w:val="en-US" w:eastAsia="zh-CN" w:bidi="ar"/>
              </w:rPr>
              <w:t>4</w:t>
            </w:r>
          </w:p>
        </w:tc>
        <w:tc>
          <w:tcPr>
            <w:tcW w:w="1473"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2A2C2E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前置机</w:t>
            </w:r>
          </w:p>
        </w:tc>
        <w:tc>
          <w:tcPr>
            <w:tcW w:w="1391"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0BAE14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CPU-8核；内存-16G；</w:t>
            </w:r>
          </w:p>
          <w:p w14:paraId="6B24DA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w:t>
            </w:r>
            <w:r>
              <w:rPr>
                <w:rFonts w:hint="eastAsia" w:ascii="微软雅黑" w:hAnsi="微软雅黑" w:eastAsia="微软雅黑" w:cs="微软雅黑"/>
                <w:i w:val="0"/>
                <w:iCs w:val="0"/>
                <w:color w:val="000000"/>
                <w:kern w:val="0"/>
                <w:sz w:val="18"/>
                <w:szCs w:val="18"/>
                <w:u w:val="none"/>
                <w:lang w:eastAsia="zh-CN" w:bidi="ar"/>
              </w:rPr>
              <w:t>5</w:t>
            </w:r>
            <w:r>
              <w:rPr>
                <w:rFonts w:hint="eastAsia" w:ascii="微软雅黑" w:hAnsi="微软雅黑" w:eastAsia="微软雅黑" w:cs="微软雅黑"/>
                <w:i w:val="0"/>
                <w:iCs w:val="0"/>
                <w:color w:val="000000"/>
                <w:kern w:val="0"/>
                <w:sz w:val="18"/>
                <w:szCs w:val="18"/>
                <w:u w:val="none"/>
                <w:lang w:val="en-US" w:eastAsia="zh-CN" w:bidi="ar"/>
              </w:rPr>
              <w:t>00G ；</w:t>
            </w:r>
          </w:p>
        </w:tc>
        <w:tc>
          <w:tcPr>
            <w:tcW w:w="1888"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3067EB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084AF8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1</w:t>
            </w:r>
          </w:p>
        </w:tc>
        <w:tc>
          <w:tcPr>
            <w:tcW w:w="2277"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73D681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用于节点接口数据对接，可复用原有的一些前置机服务</w:t>
            </w:r>
          </w:p>
        </w:tc>
      </w:tr>
      <w:tr w14:paraId="3CBF1E91">
        <w:tblPrEx>
          <w:shd w:val="clear" w:color="auto" w:fill="auto"/>
          <w:tblCellMar>
            <w:top w:w="0" w:type="dxa"/>
            <w:left w:w="0" w:type="dxa"/>
            <w:bottom w:w="0" w:type="dxa"/>
            <w:right w:w="0" w:type="dxa"/>
          </w:tblCellMar>
        </w:tblPrEx>
        <w:trPr>
          <w:trHeight w:val="312" w:hRule="atLeast"/>
          <w:jc w:val="center"/>
        </w:trPr>
        <w:tc>
          <w:tcPr>
            <w:tcW w:w="730" w:type="dxa"/>
            <w:tcBorders>
              <w:top w:val="single" w:color="4A4A4A" w:sz="12" w:space="0"/>
              <w:left w:val="single" w:color="FCFCFC" w:sz="8" w:space="0"/>
              <w:bottom w:val="single" w:color="FCFCFC" w:sz="8" w:space="0"/>
              <w:right w:val="single" w:color="FCFCFC" w:sz="8" w:space="0"/>
            </w:tcBorders>
            <w:shd w:val="clear" w:color="auto" w:fill="9F9F9F"/>
            <w:noWrap/>
            <w:tcMar>
              <w:top w:w="10" w:type="dxa"/>
              <w:left w:w="10" w:type="dxa"/>
              <w:right w:w="10" w:type="dxa"/>
            </w:tcMar>
            <w:vAlign w:val="center"/>
          </w:tcPr>
          <w:p w14:paraId="1F928F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val="en-US" w:eastAsia="zh-CN" w:bidi="ar"/>
              </w:rPr>
            </w:pPr>
          </w:p>
        </w:tc>
        <w:tc>
          <w:tcPr>
            <w:tcW w:w="1473"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279540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r>
              <w:rPr>
                <w:rFonts w:hint="eastAsia" w:ascii="微软雅黑" w:hAnsi="微软雅黑" w:eastAsia="微软雅黑" w:cs="微软雅黑"/>
                <w:b/>
                <w:bCs/>
                <w:i w:val="0"/>
                <w:color w:val="000000"/>
                <w:kern w:val="0"/>
                <w:sz w:val="18"/>
                <w:szCs w:val="18"/>
                <w:u w:val="none"/>
                <w:lang w:val="en-US" w:eastAsia="zh-CN" w:bidi="ar"/>
              </w:rPr>
              <w:t>合计</w:t>
            </w:r>
          </w:p>
        </w:tc>
        <w:tc>
          <w:tcPr>
            <w:tcW w:w="1391"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6628C6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p>
        </w:tc>
        <w:tc>
          <w:tcPr>
            <w:tcW w:w="1888"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3A9A5F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p>
        </w:tc>
        <w:tc>
          <w:tcPr>
            <w:tcW w:w="776"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3330B3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sz w:val="18"/>
                <w:szCs w:val="18"/>
                <w:u w:val="none"/>
                <w:lang w:val="en-US" w:eastAsia="zh-CN"/>
              </w:rPr>
            </w:pPr>
            <w:r>
              <w:rPr>
                <w:rFonts w:hint="eastAsia" w:ascii="微软雅黑" w:hAnsi="微软雅黑" w:eastAsia="微软雅黑" w:cs="微软雅黑"/>
                <w:b/>
                <w:bCs/>
                <w:i w:val="0"/>
                <w:color w:val="000000"/>
                <w:sz w:val="18"/>
                <w:szCs w:val="18"/>
                <w:u w:val="none"/>
                <w:lang w:val="en-US" w:eastAsia="zh-CN"/>
              </w:rPr>
              <w:t>6</w:t>
            </w:r>
          </w:p>
        </w:tc>
        <w:tc>
          <w:tcPr>
            <w:tcW w:w="2277"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0B13B8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p>
        </w:tc>
      </w:tr>
    </w:tbl>
    <w:p w14:paraId="6BF788AE">
      <w:pPr>
        <w:pStyle w:val="73"/>
        <w:numPr>
          <w:ilvl w:val="2"/>
          <w:numId w:val="0"/>
        </w:numPr>
        <w:rPr>
          <w:rFonts w:hint="default" w:eastAsia="微软雅黑"/>
          <w:lang w:val="en-US" w:eastAsia="zh-CN"/>
        </w:rPr>
      </w:pPr>
      <w:r>
        <w:rPr>
          <w:rFonts w:hint="eastAsia"/>
          <w:lang w:val="en-US" w:eastAsia="zh-CN"/>
        </w:rPr>
        <w:t xml:space="preserve">   </w:t>
      </w:r>
    </w:p>
    <w:p w14:paraId="4F02E59E">
      <w:pPr>
        <w:pStyle w:val="74"/>
        <w:numPr>
          <w:ilvl w:val="1"/>
          <w:numId w:val="7"/>
        </w:numPr>
        <w:bidi w:val="0"/>
        <w:ind w:left="0" w:leftChars="0" w:firstLine="283" w:firstLineChars="0"/>
        <w:rPr>
          <w:rFonts w:hint="default"/>
        </w:rPr>
      </w:pPr>
      <w:r>
        <w:rPr>
          <w:rFonts w:hint="eastAsia"/>
          <w:lang w:val="en-US" w:eastAsia="zh-CN"/>
        </w:rPr>
        <w:t>云平台服务采购</w:t>
      </w:r>
    </w:p>
    <w:p w14:paraId="60FBB86C">
      <w:pPr>
        <w:pStyle w:val="73"/>
        <w:numPr>
          <w:ilvl w:val="2"/>
          <w:numId w:val="7"/>
        </w:numPr>
        <w:bidi w:val="0"/>
        <w:ind w:left="964" w:leftChars="0" w:hanging="567" w:firstLineChars="0"/>
        <w:rPr>
          <w:rFonts w:hint="default"/>
        </w:rPr>
      </w:pPr>
      <w:r>
        <w:rPr>
          <w:rFonts w:hint="eastAsia"/>
          <w:lang w:val="en-US" w:eastAsia="zh-CN"/>
        </w:rPr>
        <w:t>需提供10-15个分节点的云服务器</w:t>
      </w:r>
      <w:r>
        <w:rPr>
          <w:rFonts w:hint="default"/>
          <w:lang w:eastAsia="zh-CN"/>
        </w:rPr>
        <w:t>平台服务，</w:t>
      </w:r>
      <w:r>
        <w:rPr>
          <w:rFonts w:hint="eastAsia"/>
          <w:lang w:val="en-US" w:eastAsia="zh-CN"/>
        </w:rPr>
        <w:t>综合考虑区块链特征、应用部署和前置服务对接的需求，以满足最小化服务和应用为原则。区块链服务节点和前置机节点可以考虑根据实际情况是否合并。</w:t>
      </w:r>
    </w:p>
    <w:p w14:paraId="7609D4B8">
      <w:pPr>
        <w:pStyle w:val="73"/>
        <w:numPr>
          <w:ilvl w:val="2"/>
          <w:numId w:val="7"/>
        </w:numPr>
        <w:bidi w:val="0"/>
        <w:ind w:left="964" w:leftChars="0" w:hanging="567" w:firstLineChars="0"/>
        <w:rPr>
          <w:rFonts w:hint="default"/>
        </w:rPr>
      </w:pPr>
      <w:r>
        <w:rPr>
          <w:rFonts w:hint="eastAsia"/>
          <w:lang w:val="en-US" w:eastAsia="zh-CN"/>
        </w:rPr>
        <w:t>对应的服务器需求仅作为参考提供，实际需求可能根据节点供应内容变更，但原则上所有节点遵循最小需求原则。以下为最小化</w:t>
      </w:r>
      <w:r>
        <w:rPr>
          <w:rFonts w:hint="default"/>
          <w:lang w:eastAsia="zh-CN"/>
        </w:rPr>
        <w:t>1</w:t>
      </w:r>
      <w:r>
        <w:rPr>
          <w:rFonts w:hint="eastAsia"/>
          <w:lang w:val="en-US" w:eastAsia="zh-CN"/>
        </w:rPr>
        <w:t>+1（容错节点）</w:t>
      </w:r>
      <w:r>
        <w:rPr>
          <w:rFonts w:hint="default"/>
          <w:lang w:eastAsia="zh-CN"/>
        </w:rPr>
        <w:t>，</w:t>
      </w:r>
      <w:r>
        <w:rPr>
          <w:rFonts w:hint="eastAsia"/>
          <w:lang w:val="en-US" w:eastAsia="zh-CN"/>
        </w:rPr>
        <w:t>分节点基础需求示例。</w:t>
      </w:r>
    </w:p>
    <w:tbl>
      <w:tblPr>
        <w:tblStyle w:val="26"/>
        <w:tblW w:w="8535" w:type="dxa"/>
        <w:jc w:val="center"/>
        <w:shd w:val="clear" w:color="auto" w:fill="auto"/>
        <w:tblLayout w:type="fixed"/>
        <w:tblCellMar>
          <w:top w:w="0" w:type="dxa"/>
          <w:left w:w="0" w:type="dxa"/>
          <w:bottom w:w="0" w:type="dxa"/>
          <w:right w:w="0" w:type="dxa"/>
        </w:tblCellMar>
      </w:tblPr>
      <w:tblGrid>
        <w:gridCol w:w="730"/>
        <w:gridCol w:w="1473"/>
        <w:gridCol w:w="1391"/>
        <w:gridCol w:w="1888"/>
        <w:gridCol w:w="776"/>
        <w:gridCol w:w="2277"/>
      </w:tblGrid>
      <w:tr w14:paraId="5529D8F4">
        <w:tblPrEx>
          <w:shd w:val="clear" w:color="auto" w:fill="auto"/>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4A4A4A"/>
            <w:noWrap/>
            <w:tcMar>
              <w:top w:w="10" w:type="dxa"/>
              <w:left w:w="10" w:type="dxa"/>
              <w:right w:w="10" w:type="dxa"/>
            </w:tcMar>
            <w:vAlign w:val="center"/>
          </w:tcPr>
          <w:p w14:paraId="341625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序号</w:t>
            </w:r>
          </w:p>
        </w:tc>
        <w:tc>
          <w:tcPr>
            <w:tcW w:w="1473"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3684831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5FD368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硬件配置</w:t>
            </w:r>
          </w:p>
        </w:tc>
        <w:tc>
          <w:tcPr>
            <w:tcW w:w="1888"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42E826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lang w:val="en-US" w:eastAsia="zh-CN"/>
                <w14:textFill>
                  <w14:solidFill>
                    <w14:schemeClr w14:val="bg1"/>
                  </w14:solidFill>
                </w14:textFill>
              </w:rPr>
            </w:pPr>
            <w:r>
              <w:rPr>
                <w:rFonts w:hint="eastAsia" w:ascii="微软雅黑" w:hAnsi="微软雅黑" w:eastAsia="微软雅黑" w:cs="微软雅黑"/>
                <w:b/>
                <w:bCs/>
                <w:i w:val="0"/>
                <w:color w:val="FFFFFF" w:themeColor="background1"/>
                <w:sz w:val="18"/>
                <w:szCs w:val="18"/>
                <w:u w:val="none"/>
                <w:lang w:val="en-US" w:eastAsia="zh-CN"/>
                <w14:textFill>
                  <w14:solidFill>
                    <w14:schemeClr w14:val="bg1"/>
                  </w14:solidFill>
                </w14:textFill>
              </w:rPr>
              <w:t>操作系统</w:t>
            </w:r>
          </w:p>
        </w:tc>
        <w:tc>
          <w:tcPr>
            <w:tcW w:w="776"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5B561A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数量</w:t>
            </w:r>
          </w:p>
        </w:tc>
        <w:tc>
          <w:tcPr>
            <w:tcW w:w="2277" w:type="dxa"/>
            <w:tcBorders>
              <w:top w:val="single" w:color="FCFCFC" w:sz="8" w:space="0"/>
              <w:left w:val="single" w:color="FCFCFC" w:sz="8" w:space="0"/>
              <w:bottom w:val="single" w:color="FCFCFC" w:sz="8" w:space="0"/>
              <w:right w:val="single" w:color="FCFCFC" w:sz="8" w:space="0"/>
            </w:tcBorders>
            <w:shd w:val="clear" w:color="auto" w:fill="4A4A4A"/>
            <w:tcMar>
              <w:top w:w="10" w:type="dxa"/>
              <w:left w:w="10" w:type="dxa"/>
              <w:right w:w="10" w:type="dxa"/>
            </w:tcMar>
            <w:vAlign w:val="center"/>
          </w:tcPr>
          <w:p w14:paraId="05B159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FFFFFF" w:themeColor="background1"/>
                <w:sz w:val="18"/>
                <w:szCs w:val="18"/>
                <w:u w:val="none"/>
                <w14:textFill>
                  <w14:solidFill>
                    <w14:schemeClr w14:val="bg1"/>
                  </w14:solidFill>
                </w14:textFill>
              </w:rPr>
            </w:pPr>
            <w:r>
              <w:rPr>
                <w:rFonts w:hint="eastAsia" w:ascii="微软雅黑" w:hAnsi="微软雅黑" w:eastAsia="微软雅黑" w:cs="微软雅黑"/>
                <w:b/>
                <w:bCs/>
                <w:i w:val="0"/>
                <w:color w:val="FFFFFF" w:themeColor="background1"/>
                <w:kern w:val="0"/>
                <w:sz w:val="18"/>
                <w:szCs w:val="18"/>
                <w:u w:val="none"/>
                <w:lang w:val="en-US" w:eastAsia="zh-CN" w:bidi="ar"/>
                <w14:textFill>
                  <w14:solidFill>
                    <w14:schemeClr w14:val="bg1"/>
                  </w14:solidFill>
                </w14:textFill>
              </w:rPr>
              <w:t>说明</w:t>
            </w:r>
          </w:p>
        </w:tc>
      </w:tr>
      <w:tr w14:paraId="33CD0741">
        <w:tblPrEx>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EBEBEB"/>
            <w:noWrap/>
            <w:tcMar>
              <w:top w:w="10" w:type="dxa"/>
              <w:left w:w="10" w:type="dxa"/>
              <w:right w:w="10" w:type="dxa"/>
            </w:tcMar>
            <w:vAlign w:val="center"/>
          </w:tcPr>
          <w:p w14:paraId="119EDB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473"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7F8334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代煎区块链服务器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177995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w:t>
            </w:r>
            <w:r>
              <w:rPr>
                <w:rFonts w:hint="eastAsia" w:ascii="微软雅黑" w:hAnsi="微软雅黑" w:eastAsia="微软雅黑" w:cs="微软雅黑"/>
                <w:i w:val="0"/>
                <w:iCs w:val="0"/>
                <w:color w:val="000000"/>
                <w:kern w:val="0"/>
                <w:sz w:val="18"/>
                <w:szCs w:val="18"/>
                <w:u w:val="none"/>
                <w:lang w:eastAsia="zh-CN" w:bidi="ar"/>
              </w:rPr>
              <w:t>16</w:t>
            </w:r>
            <w:r>
              <w:rPr>
                <w:rFonts w:hint="eastAsia" w:ascii="微软雅黑" w:hAnsi="微软雅黑" w:eastAsia="微软雅黑" w:cs="微软雅黑"/>
                <w:i w:val="0"/>
                <w:iCs w:val="0"/>
                <w:color w:val="000000"/>
                <w:kern w:val="0"/>
                <w:sz w:val="18"/>
                <w:szCs w:val="18"/>
                <w:u w:val="none"/>
                <w:lang w:val="en-US" w:eastAsia="zh-CN" w:bidi="ar"/>
              </w:rPr>
              <w:t>核；内存-</w:t>
            </w:r>
            <w:r>
              <w:rPr>
                <w:rFonts w:hint="eastAsia" w:ascii="微软雅黑" w:hAnsi="微软雅黑" w:eastAsia="微软雅黑" w:cs="微软雅黑"/>
                <w:i w:val="0"/>
                <w:iCs w:val="0"/>
                <w:color w:val="000000"/>
                <w:kern w:val="0"/>
                <w:sz w:val="18"/>
                <w:szCs w:val="18"/>
                <w:u w:val="none"/>
                <w:lang w:eastAsia="zh-CN" w:bidi="ar"/>
              </w:rPr>
              <w:t>32</w:t>
            </w:r>
            <w:r>
              <w:rPr>
                <w:rFonts w:hint="eastAsia" w:ascii="微软雅黑" w:hAnsi="微软雅黑" w:eastAsia="微软雅黑" w:cs="微软雅黑"/>
                <w:i w:val="0"/>
                <w:iCs w:val="0"/>
                <w:color w:val="000000"/>
                <w:kern w:val="0"/>
                <w:sz w:val="18"/>
                <w:szCs w:val="18"/>
                <w:u w:val="none"/>
                <w:lang w:val="en-US" w:eastAsia="zh-CN" w:bidi="ar"/>
              </w:rPr>
              <w:t>G；</w:t>
            </w:r>
          </w:p>
          <w:p w14:paraId="4A595F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硬盘-500G ；</w:t>
            </w:r>
          </w:p>
        </w:tc>
        <w:tc>
          <w:tcPr>
            <w:tcW w:w="1888"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5A5D3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D00874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1</w:t>
            </w:r>
          </w:p>
        </w:tc>
        <w:tc>
          <w:tcPr>
            <w:tcW w:w="2277"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1C31EE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安装部署区块链节点，并接入区块链环境，最小化三个节点，考虑一个容错节点</w:t>
            </w:r>
          </w:p>
        </w:tc>
      </w:tr>
      <w:tr w14:paraId="10C0E716">
        <w:tblPrEx>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FCFCFC" w:sz="8" w:space="0"/>
              <w:right w:val="single" w:color="FCFCFC" w:sz="8" w:space="0"/>
            </w:tcBorders>
            <w:shd w:val="clear" w:color="auto" w:fill="EBEBEB"/>
            <w:noWrap/>
            <w:tcMar>
              <w:top w:w="10" w:type="dxa"/>
              <w:left w:w="10" w:type="dxa"/>
              <w:right w:w="10" w:type="dxa"/>
            </w:tcMar>
            <w:vAlign w:val="center"/>
          </w:tcPr>
          <w:p w14:paraId="20F185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c>
          <w:tcPr>
            <w:tcW w:w="1473"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43F4BC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应用服务器</w:t>
            </w:r>
          </w:p>
        </w:tc>
        <w:tc>
          <w:tcPr>
            <w:tcW w:w="1391"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628AC2C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CPU-16核；内存-32G；</w:t>
            </w:r>
          </w:p>
          <w:p w14:paraId="2F871E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w:t>
            </w:r>
            <w:r>
              <w:rPr>
                <w:rFonts w:hint="eastAsia" w:ascii="微软雅黑" w:hAnsi="微软雅黑" w:eastAsia="微软雅黑" w:cs="微软雅黑"/>
                <w:i w:val="0"/>
                <w:iCs w:val="0"/>
                <w:color w:val="000000"/>
                <w:kern w:val="0"/>
                <w:sz w:val="18"/>
                <w:szCs w:val="18"/>
                <w:u w:val="none"/>
                <w:lang w:eastAsia="zh-CN" w:bidi="ar"/>
              </w:rPr>
              <w:t>5</w:t>
            </w:r>
            <w:r>
              <w:rPr>
                <w:rFonts w:hint="eastAsia" w:ascii="微软雅黑" w:hAnsi="微软雅黑" w:eastAsia="微软雅黑" w:cs="微软雅黑"/>
                <w:i w:val="0"/>
                <w:iCs w:val="0"/>
                <w:color w:val="000000"/>
                <w:kern w:val="0"/>
                <w:sz w:val="18"/>
                <w:szCs w:val="18"/>
                <w:u w:val="none"/>
                <w:lang w:val="en-US" w:eastAsia="zh-CN" w:bidi="ar"/>
              </w:rPr>
              <w:t>00G ；</w:t>
            </w:r>
          </w:p>
        </w:tc>
        <w:tc>
          <w:tcPr>
            <w:tcW w:w="1888"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51A56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vMerge w:val="restart"/>
            <w:tcBorders>
              <w:top w:val="single" w:color="FCFCFC" w:sz="8" w:space="0"/>
              <w:left w:val="single" w:color="FCFCFC" w:sz="8" w:space="0"/>
              <w:right w:val="single" w:color="FCFCFC" w:sz="8" w:space="0"/>
            </w:tcBorders>
            <w:shd w:val="clear" w:color="auto" w:fill="EBEBEB"/>
            <w:tcMar>
              <w:top w:w="10" w:type="dxa"/>
              <w:left w:w="10" w:type="dxa"/>
              <w:right w:w="10" w:type="dxa"/>
            </w:tcMar>
            <w:vAlign w:val="center"/>
          </w:tcPr>
          <w:p w14:paraId="10C432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1</w:t>
            </w:r>
          </w:p>
        </w:tc>
        <w:tc>
          <w:tcPr>
            <w:tcW w:w="2277" w:type="dxa"/>
            <w:tcBorders>
              <w:top w:val="single" w:color="FCFCFC" w:sz="8" w:space="0"/>
              <w:left w:val="single" w:color="FCFCFC" w:sz="8" w:space="0"/>
              <w:bottom w:val="single" w:color="FCFCFC" w:sz="8" w:space="0"/>
              <w:right w:val="single" w:color="FCFCFC" w:sz="8" w:space="0"/>
            </w:tcBorders>
            <w:shd w:val="clear" w:color="auto" w:fill="EBEBEB"/>
            <w:tcMar>
              <w:top w:w="10" w:type="dxa"/>
              <w:left w:w="10" w:type="dxa"/>
              <w:right w:w="10" w:type="dxa"/>
            </w:tcMar>
            <w:vAlign w:val="center"/>
          </w:tcPr>
          <w:p w14:paraId="063868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管理端部署，建议集群化部署（最小单一部署）</w:t>
            </w:r>
          </w:p>
        </w:tc>
      </w:tr>
      <w:tr w14:paraId="72B9AB55">
        <w:tblPrEx>
          <w:tblCellMar>
            <w:top w:w="0" w:type="dxa"/>
            <w:left w:w="0" w:type="dxa"/>
            <w:bottom w:w="0" w:type="dxa"/>
            <w:right w:w="0" w:type="dxa"/>
          </w:tblCellMar>
        </w:tblPrEx>
        <w:trPr>
          <w:trHeight w:val="312" w:hRule="atLeast"/>
          <w:jc w:val="center"/>
        </w:trPr>
        <w:tc>
          <w:tcPr>
            <w:tcW w:w="730" w:type="dxa"/>
            <w:tcBorders>
              <w:top w:val="single" w:color="FCFCFC" w:sz="8" w:space="0"/>
              <w:left w:val="single" w:color="FCFCFC" w:sz="8" w:space="0"/>
              <w:bottom w:val="single" w:color="4A4A4A" w:sz="12" w:space="0"/>
              <w:right w:val="single" w:color="FCFCFC" w:sz="8" w:space="0"/>
            </w:tcBorders>
            <w:shd w:val="clear" w:color="auto" w:fill="EBEBEB"/>
            <w:noWrap/>
            <w:tcMar>
              <w:top w:w="10" w:type="dxa"/>
              <w:left w:w="10" w:type="dxa"/>
              <w:right w:w="10" w:type="dxa"/>
            </w:tcMar>
            <w:vAlign w:val="center"/>
          </w:tcPr>
          <w:p w14:paraId="36889A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eastAsia="zh-CN" w:bidi="ar"/>
              </w:rPr>
            </w:pPr>
            <w:r>
              <w:rPr>
                <w:rFonts w:hint="eastAsia" w:ascii="微软雅黑" w:hAnsi="微软雅黑" w:eastAsia="微软雅黑" w:cs="微软雅黑"/>
                <w:i w:val="0"/>
                <w:color w:val="000000"/>
                <w:kern w:val="0"/>
                <w:sz w:val="18"/>
                <w:szCs w:val="18"/>
                <w:u w:val="none"/>
                <w:lang w:val="en-US" w:eastAsia="zh-CN" w:bidi="ar"/>
              </w:rPr>
              <w:t>4</w:t>
            </w:r>
          </w:p>
        </w:tc>
        <w:tc>
          <w:tcPr>
            <w:tcW w:w="1473"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701041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前置机</w:t>
            </w:r>
          </w:p>
        </w:tc>
        <w:tc>
          <w:tcPr>
            <w:tcW w:w="1391"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27DDD2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CPU-8核；内存-16G；</w:t>
            </w:r>
          </w:p>
          <w:p w14:paraId="4CCD66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硬盘-</w:t>
            </w:r>
            <w:r>
              <w:rPr>
                <w:rFonts w:hint="eastAsia" w:ascii="微软雅黑" w:hAnsi="微软雅黑" w:eastAsia="微软雅黑" w:cs="微软雅黑"/>
                <w:i w:val="0"/>
                <w:iCs w:val="0"/>
                <w:color w:val="000000"/>
                <w:kern w:val="0"/>
                <w:sz w:val="18"/>
                <w:szCs w:val="18"/>
                <w:u w:val="none"/>
                <w:lang w:eastAsia="zh-CN" w:bidi="ar"/>
              </w:rPr>
              <w:t>5</w:t>
            </w:r>
            <w:r>
              <w:rPr>
                <w:rFonts w:hint="eastAsia" w:ascii="微软雅黑" w:hAnsi="微软雅黑" w:eastAsia="微软雅黑" w:cs="微软雅黑"/>
                <w:i w:val="0"/>
                <w:iCs w:val="0"/>
                <w:color w:val="000000"/>
                <w:kern w:val="0"/>
                <w:sz w:val="18"/>
                <w:szCs w:val="18"/>
                <w:u w:val="none"/>
                <w:lang w:val="en-US" w:eastAsia="zh-CN" w:bidi="ar"/>
              </w:rPr>
              <w:t>00G ；</w:t>
            </w:r>
          </w:p>
        </w:tc>
        <w:tc>
          <w:tcPr>
            <w:tcW w:w="1888"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5B7436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centos7.9/麒麟10/龙蜥操7.9/Ubuntu 22.04</w:t>
            </w:r>
          </w:p>
        </w:tc>
        <w:tc>
          <w:tcPr>
            <w:tcW w:w="776" w:type="dxa"/>
            <w:vMerge w:val="continue"/>
            <w:tcBorders>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4F39A0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p>
        </w:tc>
        <w:tc>
          <w:tcPr>
            <w:tcW w:w="2277" w:type="dxa"/>
            <w:tcBorders>
              <w:top w:val="single" w:color="FCFCFC" w:sz="8" w:space="0"/>
              <w:left w:val="single" w:color="FCFCFC" w:sz="8" w:space="0"/>
              <w:bottom w:val="single" w:color="4A4A4A" w:sz="12" w:space="0"/>
              <w:right w:val="single" w:color="FCFCFC" w:sz="8" w:space="0"/>
            </w:tcBorders>
            <w:shd w:val="clear" w:color="auto" w:fill="EBEBEB"/>
            <w:tcMar>
              <w:top w:w="10" w:type="dxa"/>
              <w:left w:w="10" w:type="dxa"/>
              <w:right w:w="10" w:type="dxa"/>
            </w:tcMar>
            <w:vAlign w:val="center"/>
          </w:tcPr>
          <w:p w14:paraId="342567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用于节点接口数据对接，可复用原有的一些前置机服务</w:t>
            </w:r>
          </w:p>
        </w:tc>
      </w:tr>
      <w:tr w14:paraId="2E2994D3">
        <w:tblPrEx>
          <w:tblCellMar>
            <w:top w:w="0" w:type="dxa"/>
            <w:left w:w="0" w:type="dxa"/>
            <w:bottom w:w="0" w:type="dxa"/>
            <w:right w:w="0" w:type="dxa"/>
          </w:tblCellMar>
        </w:tblPrEx>
        <w:trPr>
          <w:trHeight w:val="312" w:hRule="atLeast"/>
          <w:jc w:val="center"/>
        </w:trPr>
        <w:tc>
          <w:tcPr>
            <w:tcW w:w="730" w:type="dxa"/>
            <w:tcBorders>
              <w:top w:val="single" w:color="4A4A4A" w:sz="12" w:space="0"/>
              <w:left w:val="single" w:color="FCFCFC" w:sz="8" w:space="0"/>
              <w:bottom w:val="single" w:color="FCFCFC" w:sz="8" w:space="0"/>
              <w:right w:val="single" w:color="FCFCFC" w:sz="8" w:space="0"/>
            </w:tcBorders>
            <w:shd w:val="clear" w:color="auto" w:fill="9F9F9F"/>
            <w:noWrap/>
            <w:tcMar>
              <w:top w:w="10" w:type="dxa"/>
              <w:left w:w="10" w:type="dxa"/>
              <w:right w:w="10" w:type="dxa"/>
            </w:tcMar>
            <w:vAlign w:val="center"/>
          </w:tcPr>
          <w:p w14:paraId="42268C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kern w:val="0"/>
                <w:sz w:val="18"/>
                <w:szCs w:val="18"/>
                <w:u w:val="none"/>
                <w:lang w:val="en-US" w:eastAsia="zh-CN" w:bidi="ar"/>
              </w:rPr>
            </w:pPr>
          </w:p>
        </w:tc>
        <w:tc>
          <w:tcPr>
            <w:tcW w:w="1473"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3B55E7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r>
              <w:rPr>
                <w:rFonts w:hint="eastAsia" w:ascii="微软雅黑" w:hAnsi="微软雅黑" w:eastAsia="微软雅黑" w:cs="微软雅黑"/>
                <w:b/>
                <w:bCs/>
                <w:i w:val="0"/>
                <w:color w:val="000000"/>
                <w:kern w:val="0"/>
                <w:sz w:val="18"/>
                <w:szCs w:val="18"/>
                <w:u w:val="none"/>
                <w:lang w:val="en-US" w:eastAsia="zh-CN" w:bidi="ar"/>
              </w:rPr>
              <w:t>合计:</w:t>
            </w:r>
          </w:p>
        </w:tc>
        <w:tc>
          <w:tcPr>
            <w:tcW w:w="1391"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7CAC32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p>
        </w:tc>
        <w:tc>
          <w:tcPr>
            <w:tcW w:w="1888"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3F3E34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kern w:val="0"/>
                <w:sz w:val="18"/>
                <w:szCs w:val="18"/>
                <w:u w:val="none"/>
                <w:lang w:val="en-US" w:eastAsia="zh-CN" w:bidi="ar"/>
              </w:rPr>
            </w:pPr>
          </w:p>
        </w:tc>
        <w:tc>
          <w:tcPr>
            <w:tcW w:w="776"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48118D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color w:val="000000"/>
                <w:sz w:val="18"/>
                <w:szCs w:val="18"/>
                <w:u w:val="none"/>
                <w:lang w:val="en-US" w:eastAsia="zh-CN"/>
              </w:rPr>
            </w:pPr>
            <w:r>
              <w:rPr>
                <w:rFonts w:hint="eastAsia" w:ascii="微软雅黑" w:hAnsi="微软雅黑" w:eastAsia="微软雅黑" w:cs="微软雅黑"/>
                <w:b/>
                <w:bCs/>
                <w:i w:val="0"/>
                <w:color w:val="000000"/>
                <w:sz w:val="18"/>
                <w:szCs w:val="18"/>
                <w:u w:val="none"/>
                <w:lang w:val="en-US" w:eastAsia="zh-CN"/>
              </w:rPr>
              <w:t>2</w:t>
            </w:r>
          </w:p>
        </w:tc>
        <w:tc>
          <w:tcPr>
            <w:tcW w:w="2277" w:type="dxa"/>
            <w:tcBorders>
              <w:top w:val="single" w:color="4A4A4A" w:sz="12" w:space="0"/>
              <w:left w:val="single" w:color="FCFCFC" w:sz="8" w:space="0"/>
              <w:bottom w:val="single" w:color="FCFCFC" w:sz="8" w:space="0"/>
              <w:right w:val="single" w:color="FCFCFC" w:sz="8" w:space="0"/>
            </w:tcBorders>
            <w:shd w:val="clear" w:color="auto" w:fill="9F9F9F"/>
            <w:tcMar>
              <w:top w:w="10" w:type="dxa"/>
              <w:left w:w="10" w:type="dxa"/>
              <w:right w:w="10" w:type="dxa"/>
            </w:tcMar>
            <w:vAlign w:val="center"/>
          </w:tcPr>
          <w:p w14:paraId="450F67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color w:val="000000"/>
                <w:sz w:val="18"/>
                <w:szCs w:val="18"/>
                <w:u w:val="none"/>
                <w:lang w:val="en-US" w:eastAsia="zh-CN"/>
              </w:rPr>
            </w:pPr>
          </w:p>
        </w:tc>
      </w:tr>
    </w:tbl>
    <w:p w14:paraId="4EDF838C">
      <w:pPr>
        <w:pStyle w:val="73"/>
        <w:keepNext w:val="0"/>
        <w:keepLines w:val="0"/>
        <w:pageBreakBefore w:val="0"/>
        <w:widowControl w:val="0"/>
        <w:numPr>
          <w:ilvl w:val="2"/>
          <w:numId w:val="0"/>
        </w:numPr>
        <w:kinsoku/>
        <w:wordWrap/>
        <w:overflowPunct/>
        <w:topLinePunct w:val="0"/>
        <w:autoSpaceDE/>
        <w:autoSpaceDN/>
        <w:bidi w:val="0"/>
        <w:adjustRightInd/>
        <w:snapToGrid/>
        <w:spacing w:after="157" w:afterLines="50"/>
        <w:textAlignment w:val="auto"/>
        <w:rPr>
          <w:rFonts w:hint="default"/>
        </w:rPr>
      </w:pPr>
    </w:p>
    <w:p w14:paraId="2621DF40">
      <w:pPr>
        <w:pStyle w:val="74"/>
        <w:numPr>
          <w:ilvl w:val="1"/>
          <w:numId w:val="7"/>
        </w:numPr>
        <w:bidi w:val="0"/>
        <w:ind w:left="0" w:leftChars="0" w:firstLine="283" w:firstLineChars="0"/>
        <w:rPr>
          <w:rFonts w:hint="default"/>
        </w:rPr>
      </w:pPr>
      <w:r>
        <w:rPr>
          <w:rFonts w:hint="eastAsia"/>
          <w:lang w:val="en-US" w:eastAsia="zh-CN"/>
        </w:rPr>
        <w:t>配套技术服务采购</w:t>
      </w:r>
    </w:p>
    <w:p w14:paraId="0094A86E">
      <w:pPr>
        <w:pStyle w:val="73"/>
        <w:numPr>
          <w:ilvl w:val="2"/>
          <w:numId w:val="7"/>
        </w:numPr>
        <w:bidi w:val="0"/>
        <w:ind w:left="964" w:leftChars="0" w:hanging="567" w:firstLineChars="0"/>
        <w:rPr>
          <w:rFonts w:hint="default"/>
        </w:rPr>
      </w:pPr>
      <w:r>
        <w:rPr>
          <w:rFonts w:hint="eastAsia"/>
          <w:lang w:val="en-US" w:eastAsia="zh-CN"/>
        </w:rPr>
        <w:t>现场服务：</w:t>
      </w:r>
      <w:r>
        <w:rPr>
          <w:rFonts w:hint="default"/>
        </w:rPr>
        <w:t>乙方需委派熟悉服务器、存储及数据库维护的驻点工程师1名</w:t>
      </w:r>
      <w:r>
        <w:rPr>
          <w:rFonts w:hint="eastAsia"/>
          <w:lang w:val="en-US" w:eastAsia="zh-CN"/>
        </w:rPr>
        <w:t>驻点于服务器应用前场</w:t>
      </w:r>
      <w:r>
        <w:rPr>
          <w:rFonts w:hint="default"/>
        </w:rPr>
        <w:t>。非工作时间应安排值班</w:t>
      </w:r>
      <w:r>
        <w:rPr>
          <w:rFonts w:hint="eastAsia"/>
          <w:lang w:val="en-US" w:eastAsia="zh-CN"/>
        </w:rPr>
        <w:t>人</w:t>
      </w:r>
      <w:r>
        <w:rPr>
          <w:rFonts w:hint="default"/>
        </w:rPr>
        <w:t>员</w:t>
      </w:r>
      <w:r>
        <w:rPr>
          <w:rFonts w:hint="eastAsia"/>
          <w:lang w:val="en-US" w:eastAsia="zh-CN"/>
        </w:rPr>
        <w:t>予以紧急维保服务（包括远程服务）。乙方将前往甲方驻地诊断维护，乙方将免费提供一切必要的劳务、零件或材料，以使甲方签约设备及云平台正常运作。如需更换零件，则由乙方免费提供，更换下来的旧零件归乙方所有。此项服务包括对产品运作异常和故障进行检查并加以修理。在寻求永久的解决办法之时，可能会提供暂时的应急措施供甲方采用。</w:t>
      </w:r>
    </w:p>
    <w:p w14:paraId="55A466D2">
      <w:pPr>
        <w:pStyle w:val="73"/>
        <w:numPr>
          <w:ilvl w:val="2"/>
          <w:numId w:val="7"/>
        </w:numPr>
        <w:bidi w:val="0"/>
        <w:ind w:left="964" w:leftChars="0" w:hanging="567" w:firstLineChars="0"/>
        <w:rPr>
          <w:rFonts w:hint="default"/>
        </w:rPr>
      </w:pPr>
      <w:r>
        <w:rPr>
          <w:rFonts w:hint="default"/>
        </w:rPr>
        <w:t>热线服务</w:t>
      </w:r>
      <w:r>
        <w:rPr>
          <w:rFonts w:hint="eastAsia"/>
          <w:lang w:eastAsia="zh-CN"/>
        </w:rPr>
        <w:t>：乙方为甲方提供热线支持（包括电话咨询、提供驱动程序、技术参数等）。</w:t>
      </w:r>
    </w:p>
    <w:p w14:paraId="7D3828A6">
      <w:pPr>
        <w:pStyle w:val="73"/>
        <w:numPr>
          <w:ilvl w:val="2"/>
          <w:numId w:val="7"/>
        </w:numPr>
        <w:bidi w:val="0"/>
        <w:ind w:left="964" w:leftChars="0" w:hanging="567" w:firstLineChars="0"/>
        <w:rPr>
          <w:rFonts w:hint="default"/>
        </w:rPr>
      </w:pPr>
      <w:r>
        <w:rPr>
          <w:rFonts w:hint="default"/>
        </w:rPr>
        <w:t>服务时间：乙方</w:t>
      </w:r>
      <w:r>
        <w:rPr>
          <w:rFonts w:hint="eastAsia"/>
          <w:lang w:val="en-US" w:eastAsia="zh-CN"/>
        </w:rPr>
        <w:t>需保证服务器</w:t>
      </w:r>
      <w:r>
        <w:rPr>
          <w:rFonts w:hint="default"/>
        </w:rPr>
        <w:t>7*24小时</w:t>
      </w:r>
      <w:r>
        <w:rPr>
          <w:rFonts w:hint="eastAsia"/>
          <w:lang w:val="en-US" w:eastAsia="zh-CN"/>
        </w:rPr>
        <w:t>维护</w:t>
      </w:r>
      <w:r>
        <w:rPr>
          <w:rFonts w:hint="default"/>
        </w:rPr>
        <w:t>服务</w:t>
      </w:r>
      <w:r>
        <w:rPr>
          <w:rFonts w:hint="eastAsia"/>
          <w:lang w:val="en-US" w:eastAsia="zh-CN"/>
        </w:rPr>
        <w:t>供应</w:t>
      </w:r>
      <w:r>
        <w:rPr>
          <w:rFonts w:hint="default"/>
        </w:rPr>
        <w:t>。</w:t>
      </w:r>
    </w:p>
    <w:p w14:paraId="36C35167">
      <w:pPr>
        <w:pStyle w:val="73"/>
        <w:numPr>
          <w:ilvl w:val="2"/>
          <w:numId w:val="7"/>
        </w:numPr>
        <w:bidi w:val="0"/>
        <w:ind w:left="964" w:leftChars="0" w:hanging="567" w:firstLineChars="0"/>
        <w:rPr>
          <w:rFonts w:hint="default"/>
        </w:rPr>
      </w:pPr>
      <w:r>
        <w:rPr>
          <w:rFonts w:hint="eastAsia"/>
          <w:lang w:val="en-US" w:eastAsia="zh-CN"/>
        </w:rPr>
        <w:t>维修服务：如服务器发生技术意外，</w:t>
      </w:r>
      <w:r>
        <w:rPr>
          <w:rFonts w:hint="default"/>
        </w:rPr>
        <w:t>乙方应</w:t>
      </w:r>
      <w:r>
        <w:rPr>
          <w:rFonts w:hint="eastAsia"/>
          <w:lang w:val="en-US" w:eastAsia="zh-CN"/>
        </w:rPr>
        <w:t>做</w:t>
      </w:r>
      <w:r>
        <w:rPr>
          <w:rFonts w:hint="default"/>
        </w:rPr>
        <w:t>出无推诿承诺。即乙方在收到甲方报修通知及要求后，须立即派技术人员到场，全力协助、使系统尽快恢复正常。需记录维护服务内容、时间。每次故障处理完毕后，需提供故障分析报告。</w:t>
      </w:r>
    </w:p>
    <w:p w14:paraId="5FCD1529">
      <w:pPr>
        <w:pStyle w:val="73"/>
        <w:numPr>
          <w:ilvl w:val="2"/>
          <w:numId w:val="7"/>
        </w:numPr>
        <w:bidi w:val="0"/>
        <w:ind w:left="964" w:leftChars="0" w:hanging="567" w:firstLineChars="0"/>
        <w:rPr>
          <w:rFonts w:hint="default"/>
        </w:rPr>
      </w:pPr>
      <w:r>
        <w:rPr>
          <w:rFonts w:hint="default"/>
        </w:rPr>
        <w:t>响应时间及服务周期</w:t>
      </w:r>
      <w:r>
        <w:rPr>
          <w:rFonts w:hint="eastAsia"/>
          <w:lang w:eastAsia="zh-CN"/>
        </w:rPr>
        <w:t>：</w:t>
      </w:r>
      <w:r>
        <w:rPr>
          <w:rFonts w:hint="default"/>
        </w:rPr>
        <w:t xml:space="preserve">见下表。 </w:t>
      </w:r>
    </w:p>
    <w:tbl>
      <w:tblPr>
        <w:tblStyle w:val="26"/>
        <w:tblW w:w="0" w:type="auto"/>
        <w:jc w:val="center"/>
        <w:tblLayout w:type="autofit"/>
        <w:tblCellMar>
          <w:top w:w="0" w:type="dxa"/>
          <w:left w:w="0" w:type="dxa"/>
          <w:bottom w:w="0" w:type="dxa"/>
          <w:right w:w="0" w:type="dxa"/>
        </w:tblCellMar>
      </w:tblPr>
      <w:tblGrid>
        <w:gridCol w:w="1205"/>
        <w:gridCol w:w="2170"/>
        <w:gridCol w:w="1450"/>
        <w:gridCol w:w="2495"/>
      </w:tblGrid>
      <w:tr w14:paraId="6DBC82CF">
        <w:tblPrEx>
          <w:tblCellMar>
            <w:top w:w="0" w:type="dxa"/>
            <w:left w:w="0" w:type="dxa"/>
            <w:bottom w:w="0" w:type="dxa"/>
            <w:right w:w="0" w:type="dxa"/>
          </w:tblCellMar>
        </w:tblPrEx>
        <w:trPr>
          <w:trHeight w:val="285" w:hRule="atLeast"/>
          <w:jc w:val="center"/>
        </w:trPr>
        <w:tc>
          <w:tcPr>
            <w:tcW w:w="0" w:type="auto"/>
            <w:tcBorders>
              <w:top w:val="single" w:color="000000" w:sz="12" w:space="0"/>
              <w:left w:val="single" w:color="000000" w:sz="12" w:space="0"/>
              <w:bottom w:val="single" w:color="000000" w:sz="4" w:space="0"/>
              <w:right w:val="single" w:color="000000" w:sz="4" w:space="0"/>
              <w:tl2br w:val="nil"/>
            </w:tcBorders>
            <w:shd w:val="clear" w:color="auto" w:fill="FFFFFF"/>
            <w:noWrap/>
          </w:tcPr>
          <w:p w14:paraId="4D2EA042">
            <w:pPr>
              <w:spacing w:line="360" w:lineRule="auto"/>
              <w:jc w:val="center"/>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项目</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tcPr>
          <w:p w14:paraId="31F14B2F">
            <w:pPr>
              <w:spacing w:line="360" w:lineRule="auto"/>
              <w:jc w:val="center"/>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关键控制点</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tcPr>
          <w:p w14:paraId="092DF3BA">
            <w:pPr>
              <w:spacing w:line="360" w:lineRule="auto"/>
              <w:jc w:val="center"/>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衡量内容</w:t>
            </w:r>
          </w:p>
        </w:tc>
        <w:tc>
          <w:tcPr>
            <w:tcW w:w="0" w:type="auto"/>
            <w:tcBorders>
              <w:top w:val="single" w:color="000000" w:sz="12" w:space="0"/>
              <w:left w:val="single" w:color="000000" w:sz="4" w:space="0"/>
              <w:bottom w:val="single" w:color="000000" w:sz="4" w:space="0"/>
              <w:right w:val="single" w:color="000000" w:sz="12" w:space="0"/>
            </w:tcBorders>
            <w:shd w:val="clear" w:color="auto" w:fill="FFFFFF"/>
            <w:noWrap/>
          </w:tcPr>
          <w:p w14:paraId="0F72B2AB">
            <w:pPr>
              <w:spacing w:line="360" w:lineRule="auto"/>
              <w:jc w:val="center"/>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目标</w:t>
            </w:r>
          </w:p>
        </w:tc>
      </w:tr>
      <w:tr w14:paraId="7A722FDE">
        <w:tblPrEx>
          <w:tblCellMar>
            <w:top w:w="0" w:type="dxa"/>
            <w:left w:w="0" w:type="dxa"/>
            <w:bottom w:w="0" w:type="dxa"/>
            <w:right w:w="0" w:type="dxa"/>
          </w:tblCellMar>
        </w:tblPrEx>
        <w:trPr>
          <w:cantSplit/>
          <w:trHeight w:val="285" w:hRule="atLeast"/>
          <w:jc w:val="center"/>
        </w:trPr>
        <w:tc>
          <w:tcPr>
            <w:tcW w:w="0" w:type="auto"/>
            <w:vMerge w:val="restart"/>
            <w:tcBorders>
              <w:top w:val="single" w:color="000000" w:sz="4" w:space="0"/>
              <w:left w:val="single" w:color="000000" w:sz="12" w:space="0"/>
              <w:bottom w:val="single" w:color="000000" w:sz="4" w:space="0"/>
              <w:right w:val="single" w:color="000000" w:sz="4" w:space="0"/>
            </w:tcBorders>
            <w:shd w:val="clear" w:color="auto" w:fill="FFFFFF"/>
            <w:noWrap/>
          </w:tcPr>
          <w:p w14:paraId="5779ED67">
            <w:pPr>
              <w:spacing w:line="360" w:lineRule="auto"/>
              <w:ind w:firstLine="90" w:firstLineChars="50"/>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服务响应时间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68A09DE4">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现场响应能力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1EFB397A">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工作时间</w:t>
            </w:r>
          </w:p>
        </w:tc>
        <w:tc>
          <w:tcPr>
            <w:tcW w:w="0" w:type="auto"/>
            <w:tcBorders>
              <w:top w:val="single" w:color="000000" w:sz="4" w:space="0"/>
              <w:left w:val="single" w:color="000000" w:sz="4" w:space="0"/>
              <w:bottom w:val="single" w:color="000000" w:sz="4" w:space="0"/>
              <w:right w:val="single" w:color="000000" w:sz="12" w:space="0"/>
            </w:tcBorders>
            <w:shd w:val="clear" w:color="auto" w:fill="FFFFFF"/>
          </w:tcPr>
          <w:p w14:paraId="704E5ECB">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7x24（0:00AM--23：59PM）</w:t>
            </w:r>
          </w:p>
        </w:tc>
      </w:tr>
      <w:tr w14:paraId="315321FC">
        <w:tblPrEx>
          <w:tblCellMar>
            <w:top w:w="0" w:type="dxa"/>
            <w:left w:w="0" w:type="dxa"/>
            <w:bottom w:w="0" w:type="dxa"/>
            <w:right w:w="0" w:type="dxa"/>
          </w:tblCellMar>
        </w:tblPrEx>
        <w:trPr>
          <w:cantSplit/>
          <w:trHeight w:val="285" w:hRule="atLeast"/>
          <w:jc w:val="center"/>
        </w:trPr>
        <w:tc>
          <w:tcPr>
            <w:tcW w:w="0" w:type="auto"/>
            <w:vMerge w:val="continue"/>
            <w:tcBorders>
              <w:top w:val="single" w:color="000000" w:sz="4" w:space="0"/>
              <w:left w:val="single" w:color="000000" w:sz="12" w:space="0"/>
              <w:bottom w:val="single" w:color="000000" w:sz="4" w:space="0"/>
              <w:right w:val="single" w:color="000000" w:sz="4" w:space="0"/>
            </w:tcBorders>
            <w:shd w:val="clear" w:color="auto" w:fill="FFFFFF"/>
            <w:noWrap/>
          </w:tcPr>
          <w:p w14:paraId="2EE1E745">
            <w:pPr>
              <w:spacing w:line="360" w:lineRule="auto"/>
              <w:ind w:firstLine="90" w:firstLineChars="50"/>
              <w:rPr>
                <w:rFonts w:hint="eastAsia" w:ascii="微软雅黑" w:hAnsi="微软雅黑" w:eastAsia="微软雅黑" w:cs="微软雅黑"/>
                <w:b w:val="0"/>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37CE452D">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接到服务请求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52783167">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响应时间</w:t>
            </w:r>
          </w:p>
        </w:tc>
        <w:tc>
          <w:tcPr>
            <w:tcW w:w="0" w:type="auto"/>
            <w:tcBorders>
              <w:top w:val="single" w:color="000000" w:sz="4" w:space="0"/>
              <w:left w:val="single" w:color="000000" w:sz="4" w:space="0"/>
              <w:bottom w:val="single" w:color="000000" w:sz="4" w:space="0"/>
              <w:right w:val="single" w:color="000000" w:sz="12" w:space="0"/>
            </w:tcBorders>
            <w:shd w:val="clear" w:color="auto" w:fill="FFFFFF"/>
          </w:tcPr>
          <w:p w14:paraId="42BF4BE3">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&lt;=10分钟</w:t>
            </w:r>
          </w:p>
        </w:tc>
      </w:tr>
      <w:tr w14:paraId="267F7077">
        <w:tblPrEx>
          <w:tblCellMar>
            <w:top w:w="0" w:type="dxa"/>
            <w:left w:w="0" w:type="dxa"/>
            <w:bottom w:w="0" w:type="dxa"/>
            <w:right w:w="0" w:type="dxa"/>
          </w:tblCellMar>
        </w:tblPrEx>
        <w:trPr>
          <w:cantSplit/>
          <w:trHeight w:val="285" w:hRule="atLeast"/>
          <w:jc w:val="center"/>
        </w:trPr>
        <w:tc>
          <w:tcPr>
            <w:tcW w:w="0" w:type="auto"/>
            <w:vMerge w:val="restart"/>
            <w:tcBorders>
              <w:top w:val="single" w:color="000000" w:sz="4" w:space="0"/>
              <w:left w:val="single" w:color="000000" w:sz="12" w:space="0"/>
              <w:bottom w:val="single" w:color="000000" w:sz="4" w:space="0"/>
              <w:right w:val="single" w:color="000000" w:sz="4" w:space="0"/>
            </w:tcBorders>
            <w:shd w:val="clear" w:color="auto" w:fill="FFFFFF"/>
            <w:noWrap/>
          </w:tcPr>
          <w:p w14:paraId="06D2D281">
            <w:pPr>
              <w:spacing w:line="360" w:lineRule="auto"/>
              <w:ind w:firstLine="90" w:firstLineChars="50"/>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服务周期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71DA6E7B">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硬件故障恢复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0991F098">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工作时间</w:t>
            </w:r>
          </w:p>
        </w:tc>
        <w:tc>
          <w:tcPr>
            <w:tcW w:w="0" w:type="auto"/>
            <w:tcBorders>
              <w:top w:val="single" w:color="000000" w:sz="4" w:space="0"/>
              <w:left w:val="single" w:color="000000" w:sz="4" w:space="0"/>
              <w:bottom w:val="single" w:color="000000" w:sz="4" w:space="0"/>
              <w:right w:val="single" w:color="000000" w:sz="12" w:space="0"/>
            </w:tcBorders>
            <w:shd w:val="clear" w:color="auto" w:fill="FFFFFF"/>
          </w:tcPr>
          <w:p w14:paraId="30CC350D">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7x24（0:00AM--23：59PM）</w:t>
            </w:r>
          </w:p>
        </w:tc>
      </w:tr>
      <w:tr w14:paraId="56DA3C41">
        <w:tblPrEx>
          <w:tblCellMar>
            <w:top w:w="0" w:type="dxa"/>
            <w:left w:w="0" w:type="dxa"/>
            <w:bottom w:w="0" w:type="dxa"/>
            <w:right w:w="0" w:type="dxa"/>
          </w:tblCellMar>
        </w:tblPrEx>
        <w:trPr>
          <w:cantSplit/>
          <w:trHeight w:val="285" w:hRule="atLeast"/>
          <w:jc w:val="center"/>
        </w:trPr>
        <w:tc>
          <w:tcPr>
            <w:tcW w:w="0" w:type="auto"/>
            <w:vMerge w:val="continue"/>
            <w:tcBorders>
              <w:top w:val="single" w:color="000000" w:sz="4" w:space="0"/>
              <w:left w:val="single" w:color="000000" w:sz="12" w:space="0"/>
              <w:bottom w:val="single" w:color="000000" w:sz="4" w:space="0"/>
              <w:right w:val="single" w:color="000000" w:sz="4" w:space="0"/>
            </w:tcBorders>
            <w:shd w:val="clear" w:color="auto" w:fill="FFFFFF"/>
            <w:noWrap/>
          </w:tcPr>
          <w:p w14:paraId="5F3CCFFF">
            <w:pPr>
              <w:spacing w:line="360" w:lineRule="auto"/>
              <w:ind w:firstLine="90" w:firstLineChars="50"/>
              <w:rPr>
                <w:rFonts w:hint="eastAsia" w:ascii="微软雅黑" w:hAnsi="微软雅黑" w:eastAsia="微软雅黑" w:cs="微软雅黑"/>
                <w:b w:val="0"/>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3BC598BB">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紧急故障（系统瘫痪）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6C3EC802">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硬件故障恢复周期</w:t>
            </w:r>
          </w:p>
        </w:tc>
        <w:tc>
          <w:tcPr>
            <w:tcW w:w="0" w:type="auto"/>
            <w:tcBorders>
              <w:top w:val="single" w:color="000000" w:sz="4" w:space="0"/>
              <w:left w:val="single" w:color="000000" w:sz="4" w:space="0"/>
              <w:bottom w:val="single" w:color="000000" w:sz="4" w:space="0"/>
              <w:right w:val="single" w:color="000000" w:sz="12" w:space="0"/>
            </w:tcBorders>
            <w:shd w:val="clear" w:color="auto" w:fill="FFFFFF"/>
          </w:tcPr>
          <w:p w14:paraId="07941382">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&lt;=0.5小时</w:t>
            </w:r>
          </w:p>
          <w:p w14:paraId="4638E280">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超过2小时提供配件备机</w:t>
            </w:r>
          </w:p>
        </w:tc>
      </w:tr>
      <w:tr w14:paraId="7D4F76FE">
        <w:tblPrEx>
          <w:tblCellMar>
            <w:top w:w="0" w:type="dxa"/>
            <w:left w:w="0" w:type="dxa"/>
            <w:bottom w:w="0" w:type="dxa"/>
            <w:right w:w="0" w:type="dxa"/>
          </w:tblCellMar>
        </w:tblPrEx>
        <w:trPr>
          <w:cantSplit/>
          <w:trHeight w:val="285" w:hRule="atLeast"/>
          <w:jc w:val="center"/>
        </w:trPr>
        <w:tc>
          <w:tcPr>
            <w:tcW w:w="0" w:type="auto"/>
            <w:vMerge w:val="continue"/>
            <w:tcBorders>
              <w:top w:val="single" w:color="000000" w:sz="4" w:space="0"/>
              <w:left w:val="single" w:color="000000" w:sz="12" w:space="0"/>
              <w:bottom w:val="single" w:color="000000" w:sz="4" w:space="0"/>
              <w:right w:val="single" w:color="000000" w:sz="4" w:space="0"/>
            </w:tcBorders>
            <w:shd w:val="clear" w:color="auto" w:fill="FFFFFF"/>
            <w:noWrap/>
          </w:tcPr>
          <w:p w14:paraId="29184B13">
            <w:pPr>
              <w:spacing w:line="360" w:lineRule="auto"/>
              <w:ind w:firstLine="90" w:firstLineChars="50"/>
              <w:rPr>
                <w:rFonts w:hint="eastAsia" w:ascii="微软雅黑" w:hAnsi="微软雅黑" w:eastAsia="微软雅黑" w:cs="微软雅黑"/>
                <w:b w:val="0"/>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79DC6A33">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严重故障（系统性能受损）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Pr>
          <w:p w14:paraId="3C1C2BFD">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硬件故障恢复周期</w:t>
            </w:r>
          </w:p>
        </w:tc>
        <w:tc>
          <w:tcPr>
            <w:tcW w:w="0" w:type="auto"/>
            <w:tcBorders>
              <w:top w:val="single" w:color="000000" w:sz="4" w:space="0"/>
              <w:left w:val="single" w:color="000000" w:sz="4" w:space="0"/>
              <w:bottom w:val="single" w:color="000000" w:sz="4" w:space="0"/>
              <w:right w:val="single" w:color="000000" w:sz="12" w:space="0"/>
            </w:tcBorders>
            <w:shd w:val="clear" w:color="auto" w:fill="FFFFFF"/>
          </w:tcPr>
          <w:p w14:paraId="073029B5">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&lt;=1小时</w:t>
            </w:r>
          </w:p>
        </w:tc>
      </w:tr>
      <w:tr w14:paraId="6103467F">
        <w:tblPrEx>
          <w:tblCellMar>
            <w:top w:w="0" w:type="dxa"/>
            <w:left w:w="0" w:type="dxa"/>
            <w:bottom w:w="0" w:type="dxa"/>
            <w:right w:w="0" w:type="dxa"/>
          </w:tblCellMar>
        </w:tblPrEx>
        <w:trPr>
          <w:cantSplit/>
          <w:trHeight w:val="90" w:hRule="atLeast"/>
          <w:jc w:val="center"/>
        </w:trPr>
        <w:tc>
          <w:tcPr>
            <w:tcW w:w="0" w:type="auto"/>
            <w:vMerge w:val="continue"/>
            <w:tcBorders>
              <w:top w:val="single" w:color="000000" w:sz="4" w:space="0"/>
              <w:left w:val="single" w:color="000000" w:sz="12" w:space="0"/>
              <w:bottom w:val="single" w:color="000000" w:sz="12" w:space="0"/>
              <w:right w:val="single" w:color="000000" w:sz="4" w:space="0"/>
            </w:tcBorders>
            <w:shd w:val="clear" w:color="auto" w:fill="FFFFFF"/>
            <w:noWrap/>
          </w:tcPr>
          <w:p w14:paraId="0C8959F0">
            <w:pPr>
              <w:spacing w:line="360" w:lineRule="auto"/>
              <w:ind w:firstLine="90" w:firstLineChars="50"/>
              <w:rPr>
                <w:rFonts w:hint="eastAsia" w:ascii="微软雅黑" w:hAnsi="微软雅黑" w:eastAsia="微软雅黑" w:cs="微软雅黑"/>
                <w:b w:val="0"/>
                <w:color w:val="000000"/>
                <w:sz w:val="18"/>
                <w:szCs w:val="18"/>
              </w:rPr>
            </w:pP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tcPr>
          <w:p w14:paraId="378603C7">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一般故障（系统运行正常）</w:t>
            </w: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tcPr>
          <w:p w14:paraId="76283489">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硬件故障恢复周期</w:t>
            </w:r>
          </w:p>
        </w:tc>
        <w:tc>
          <w:tcPr>
            <w:tcW w:w="0" w:type="auto"/>
            <w:tcBorders>
              <w:top w:val="single" w:color="000000" w:sz="4" w:space="0"/>
              <w:left w:val="single" w:color="000000" w:sz="4" w:space="0"/>
              <w:bottom w:val="single" w:color="000000" w:sz="12" w:space="0"/>
              <w:right w:val="single" w:color="000000" w:sz="12" w:space="0"/>
            </w:tcBorders>
            <w:shd w:val="clear" w:color="auto" w:fill="FFFFFF"/>
          </w:tcPr>
          <w:p w14:paraId="1E4BE5F2">
            <w:pPr>
              <w:spacing w:line="360" w:lineRule="auto"/>
              <w:rPr>
                <w:rFonts w:hint="eastAsia"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&lt;=2小时</w:t>
            </w:r>
          </w:p>
        </w:tc>
      </w:tr>
    </w:tbl>
    <w:p w14:paraId="508BFABA">
      <w:pPr>
        <w:pStyle w:val="73"/>
        <w:numPr>
          <w:ilvl w:val="2"/>
          <w:numId w:val="0"/>
        </w:numPr>
        <w:bidi w:val="0"/>
        <w:ind w:left="567" w:leftChars="0"/>
        <w:rPr>
          <w:rFonts w:hint="default"/>
        </w:rPr>
      </w:pPr>
      <w:r>
        <w:rPr>
          <w:rFonts w:hint="default"/>
        </w:rPr>
        <w:t>注：由于不可控因素如遇：洪水、风暴、火灾等引起的交通系统或邮政系统原因乙方响应时间和服务周期做相应延长。</w:t>
      </w:r>
    </w:p>
    <w:p w14:paraId="268ECE2A">
      <w:pPr>
        <w:pStyle w:val="73"/>
        <w:numPr>
          <w:ilvl w:val="2"/>
          <w:numId w:val="7"/>
        </w:numPr>
        <w:bidi w:val="0"/>
        <w:ind w:left="964" w:leftChars="0" w:hanging="567" w:firstLineChars="0"/>
        <w:rPr>
          <w:rFonts w:hint="default"/>
        </w:rPr>
      </w:pPr>
      <w:r>
        <w:rPr>
          <w:rFonts w:hint="eastAsia"/>
          <w:lang w:val="en-US" w:eastAsia="zh-CN"/>
        </w:rPr>
        <w:t>其他服务：乙方将针对本次项目部署专用备机，服务期间不得挪用其他项目。乙方针对设备的重要性，为甲方提供专属备机备件服务。准备备件和备机放在甲方现场。当设备出现故障时，由乙方技术人员现场取备件解决故障，或在故障无法在规定时限内修复启用备机，以确保甲方业务系统的及时恢复。平时备件备机可以用来做测试、培训讲课使用。</w:t>
      </w:r>
    </w:p>
    <w:p w14:paraId="16C4490C">
      <w:pPr>
        <w:pStyle w:val="73"/>
        <w:numPr>
          <w:ilvl w:val="2"/>
          <w:numId w:val="0"/>
        </w:numPr>
        <w:bidi w:val="0"/>
        <w:ind w:left="567" w:leftChars="0"/>
        <w:rPr>
          <w:rFonts w:hint="default"/>
        </w:rPr>
      </w:pPr>
    </w:p>
    <w:p w14:paraId="03071A51">
      <w:pPr>
        <w:pStyle w:val="73"/>
        <w:numPr>
          <w:ilvl w:val="2"/>
          <w:numId w:val="0"/>
        </w:numPr>
        <w:bidi w:val="0"/>
        <w:ind w:left="567" w:leftChars="0"/>
        <w:rPr>
          <w:rFonts w:hint="default"/>
        </w:rPr>
      </w:pPr>
    </w:p>
    <w:tbl>
      <w:tblPr>
        <w:tblStyle w:val="26"/>
        <w:tblW w:w="5000" w:type="pct"/>
        <w:tblInd w:w="0" w:type="dxa"/>
        <w:tblLayout w:type="autofit"/>
        <w:tblCellMar>
          <w:top w:w="0" w:type="dxa"/>
          <w:left w:w="108" w:type="dxa"/>
          <w:bottom w:w="0" w:type="dxa"/>
          <w:right w:w="108" w:type="dxa"/>
        </w:tblCellMar>
      </w:tblPr>
      <w:tblGrid>
        <w:gridCol w:w="1042"/>
        <w:gridCol w:w="8244"/>
      </w:tblGrid>
      <w:tr w14:paraId="5510FE50">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8165F70">
            <w:pPr>
              <w:widowControl/>
              <w:snapToGrid w:val="0"/>
              <w:jc w:val="left"/>
              <w:rPr>
                <w:rFonts w:ascii="微软雅黑" w:hAnsi="微软雅黑" w:eastAsia="微软雅黑" w:cs="微软雅黑"/>
                <w:b/>
                <w:bCs/>
                <w:color w:val="000000"/>
                <w:szCs w:val="21"/>
              </w:rPr>
            </w:pPr>
            <w:r>
              <w:rPr>
                <w:rFonts w:hint="eastAsia" w:ascii="微软雅黑" w:hAnsi="微软雅黑" w:eastAsia="微软雅黑" w:cs="微软雅黑"/>
                <w:b/>
                <w:bCs/>
                <w:sz w:val="24"/>
                <w:szCs w:val="32"/>
                <w:lang w:val="en-US" w:eastAsia="zh-CN"/>
              </w:rPr>
              <w:t>平台</w:t>
            </w:r>
            <w:r>
              <w:rPr>
                <w:rFonts w:hint="eastAsia" w:ascii="微软雅黑" w:hAnsi="微软雅黑" w:eastAsia="微软雅黑" w:cs="微软雅黑"/>
                <w:b/>
                <w:bCs/>
                <w:sz w:val="24"/>
                <w:szCs w:val="32"/>
              </w:rPr>
              <w:t>应用建设</w:t>
            </w:r>
          </w:p>
        </w:tc>
      </w:tr>
      <w:tr w14:paraId="2C2F7AF7">
        <w:tblPrEx>
          <w:tblCellMar>
            <w:top w:w="0" w:type="dxa"/>
            <w:left w:w="108" w:type="dxa"/>
            <w:bottom w:w="0" w:type="dxa"/>
            <w:right w:w="108" w:type="dxa"/>
          </w:tblCellMar>
        </w:tblPrEx>
        <w:trPr>
          <w:trHeight w:val="341" w:hRule="atLeast"/>
        </w:trPr>
        <w:tc>
          <w:tcPr>
            <w:tcW w:w="561" w:type="pct"/>
            <w:tcBorders>
              <w:top w:val="single" w:color="auto" w:sz="4" w:space="0"/>
              <w:left w:val="single" w:color="auto" w:sz="4" w:space="0"/>
              <w:bottom w:val="single" w:color="auto" w:sz="4" w:space="0"/>
              <w:right w:val="single" w:color="auto" w:sz="4" w:space="0"/>
            </w:tcBorders>
            <w:vAlign w:val="center"/>
          </w:tcPr>
          <w:p w14:paraId="64F452B2">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1</w:t>
            </w:r>
          </w:p>
        </w:tc>
        <w:tc>
          <w:tcPr>
            <w:tcW w:w="4438" w:type="pct"/>
            <w:tcBorders>
              <w:top w:val="single" w:color="auto" w:sz="4" w:space="0"/>
              <w:left w:val="single" w:color="auto" w:sz="4" w:space="0"/>
              <w:bottom w:val="single" w:color="auto" w:sz="4" w:space="0"/>
              <w:right w:val="single" w:color="auto" w:sz="4" w:space="0"/>
            </w:tcBorders>
            <w:vAlign w:val="center"/>
          </w:tcPr>
          <w:p w14:paraId="54A9A12C">
            <w:pPr>
              <w:snapToGrid w:val="0"/>
              <w:jc w:val="left"/>
              <w:rPr>
                <w:rFonts w:ascii="微软雅黑" w:hAnsi="微软雅黑" w:eastAsia="微软雅黑" w:cs="微软雅黑"/>
                <w:color w:val="000000"/>
                <w:szCs w:val="21"/>
              </w:rPr>
            </w:pPr>
            <w:r>
              <w:rPr>
                <w:rFonts w:hint="eastAsia" w:ascii="微软雅黑" w:hAnsi="微软雅黑" w:eastAsia="微软雅黑" w:cs="微软雅黑"/>
                <w:sz w:val="21"/>
                <w:szCs w:val="21"/>
              </w:rPr>
              <w:t>药物临床试验登记模块</w:t>
            </w:r>
          </w:p>
        </w:tc>
      </w:tr>
      <w:tr w14:paraId="48C00D1A">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08CCF1B2">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2</w:t>
            </w:r>
          </w:p>
        </w:tc>
        <w:tc>
          <w:tcPr>
            <w:tcW w:w="4438" w:type="pct"/>
            <w:tcBorders>
              <w:top w:val="single" w:color="auto" w:sz="4" w:space="0"/>
              <w:left w:val="single" w:color="auto" w:sz="4" w:space="0"/>
              <w:bottom w:val="single" w:color="auto" w:sz="4" w:space="0"/>
              <w:right w:val="single" w:color="auto" w:sz="4" w:space="0"/>
            </w:tcBorders>
            <w:vAlign w:val="center"/>
          </w:tcPr>
          <w:p w14:paraId="15D2B89A">
            <w:pPr>
              <w:snapToGrid w:val="0"/>
              <w:jc w:val="left"/>
              <w:rPr>
                <w:rFonts w:ascii="微软雅黑" w:hAnsi="微软雅黑" w:eastAsia="微软雅黑" w:cs="微软雅黑"/>
                <w:color w:val="000000"/>
                <w:szCs w:val="21"/>
              </w:rPr>
            </w:pPr>
            <w:r>
              <w:rPr>
                <w:rFonts w:hint="eastAsia" w:ascii="微软雅黑" w:hAnsi="微软雅黑" w:eastAsia="微软雅黑" w:cs="微软雅黑"/>
                <w:sz w:val="21"/>
                <w:szCs w:val="21"/>
              </w:rPr>
              <w:t>电子病历共享存证模块</w:t>
            </w:r>
          </w:p>
        </w:tc>
      </w:tr>
      <w:tr w14:paraId="3F91B9A3">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5380E6DE">
            <w:pPr>
              <w:widowControl/>
              <w:snapToGrid w:val="0"/>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3</w:t>
            </w:r>
          </w:p>
        </w:tc>
        <w:tc>
          <w:tcPr>
            <w:tcW w:w="4438" w:type="pct"/>
            <w:tcBorders>
              <w:top w:val="single" w:color="auto" w:sz="4" w:space="0"/>
              <w:left w:val="single" w:color="auto" w:sz="4" w:space="0"/>
              <w:bottom w:val="single" w:color="auto" w:sz="4" w:space="0"/>
              <w:right w:val="single" w:color="auto" w:sz="4" w:space="0"/>
            </w:tcBorders>
            <w:vAlign w:val="center"/>
          </w:tcPr>
          <w:p w14:paraId="41915671">
            <w:pPr>
              <w:snapToGrid w:val="0"/>
              <w:jc w:val="left"/>
              <w:rPr>
                <w:rFonts w:ascii="微软雅黑" w:hAnsi="微软雅黑" w:eastAsia="微软雅黑" w:cs="微软雅黑"/>
                <w:color w:val="000000"/>
                <w:szCs w:val="21"/>
              </w:rPr>
            </w:pPr>
            <w:r>
              <w:rPr>
                <w:rFonts w:hint="eastAsia" w:ascii="微软雅黑" w:hAnsi="微软雅黑" w:eastAsia="微软雅黑" w:cs="微软雅黑"/>
                <w:sz w:val="21"/>
                <w:szCs w:val="21"/>
              </w:rPr>
              <w:t>粤康链用药指导工作台</w:t>
            </w:r>
          </w:p>
        </w:tc>
      </w:tr>
      <w:tr w14:paraId="54DE7D24">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215CE92F">
            <w:pPr>
              <w:widowControl/>
              <w:snapToGrid w:val="0"/>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4.4</w:t>
            </w:r>
          </w:p>
        </w:tc>
        <w:tc>
          <w:tcPr>
            <w:tcW w:w="4438" w:type="pct"/>
            <w:tcBorders>
              <w:top w:val="single" w:color="auto" w:sz="4" w:space="0"/>
              <w:left w:val="single" w:color="auto" w:sz="4" w:space="0"/>
              <w:bottom w:val="single" w:color="auto" w:sz="4" w:space="0"/>
              <w:right w:val="single" w:color="auto" w:sz="4" w:space="0"/>
            </w:tcBorders>
            <w:vAlign w:val="center"/>
          </w:tcPr>
          <w:p w14:paraId="32E1B27F">
            <w:pPr>
              <w:snapToGrid w:val="0"/>
              <w:jc w:val="left"/>
              <w:rPr>
                <w:rFonts w:hint="eastAsia" w:ascii="微软雅黑" w:hAnsi="微软雅黑" w:eastAsia="微软雅黑" w:cs="微软雅黑"/>
                <w:color w:val="000000"/>
                <w:szCs w:val="21"/>
              </w:rPr>
            </w:pPr>
            <w:r>
              <w:rPr>
                <w:rFonts w:hint="eastAsia" w:ascii="微软雅黑" w:hAnsi="微软雅黑" w:eastAsia="微软雅黑" w:cs="微软雅黑"/>
                <w:sz w:val="21"/>
                <w:szCs w:val="21"/>
                <w:lang w:val="en-US" w:eastAsia="zh-CN"/>
              </w:rPr>
              <w:t>数据资产登记模块</w:t>
            </w:r>
          </w:p>
        </w:tc>
      </w:tr>
      <w:tr w14:paraId="51A150C1">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510E46BC">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4.5</w:t>
            </w:r>
          </w:p>
        </w:tc>
        <w:tc>
          <w:tcPr>
            <w:tcW w:w="4438" w:type="pct"/>
            <w:tcBorders>
              <w:top w:val="single" w:color="auto" w:sz="4" w:space="0"/>
              <w:left w:val="single" w:color="auto" w:sz="4" w:space="0"/>
              <w:bottom w:val="single" w:color="auto" w:sz="4" w:space="0"/>
              <w:right w:val="single" w:color="auto" w:sz="4" w:space="0"/>
            </w:tcBorders>
            <w:vAlign w:val="center"/>
          </w:tcPr>
          <w:p w14:paraId="4DA513AC">
            <w:pPr>
              <w:snapToGrid w:val="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科研痕迹稽查模块</w:t>
            </w:r>
          </w:p>
        </w:tc>
      </w:tr>
      <w:tr w14:paraId="5B4E3514">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4B03DE26">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4.6</w:t>
            </w:r>
          </w:p>
        </w:tc>
        <w:tc>
          <w:tcPr>
            <w:tcW w:w="4438" w:type="pct"/>
            <w:tcBorders>
              <w:top w:val="single" w:color="auto" w:sz="4" w:space="0"/>
              <w:left w:val="single" w:color="auto" w:sz="4" w:space="0"/>
              <w:bottom w:val="single" w:color="auto" w:sz="4" w:space="0"/>
              <w:right w:val="single" w:color="auto" w:sz="4" w:space="0"/>
            </w:tcBorders>
            <w:vAlign w:val="center"/>
          </w:tcPr>
          <w:p w14:paraId="425B2A7B">
            <w:pPr>
              <w:snapToGrid w:val="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商保支付服务模块</w:t>
            </w:r>
          </w:p>
        </w:tc>
      </w:tr>
      <w:tr w14:paraId="5AB0F97E">
        <w:tblPrEx>
          <w:tblCellMar>
            <w:top w:w="0" w:type="dxa"/>
            <w:left w:w="108" w:type="dxa"/>
            <w:bottom w:w="0" w:type="dxa"/>
            <w:right w:w="108" w:type="dxa"/>
          </w:tblCellMar>
        </w:tblPrEx>
        <w:trPr>
          <w:trHeight w:val="90" w:hRule="atLeast"/>
        </w:trPr>
        <w:tc>
          <w:tcPr>
            <w:tcW w:w="561" w:type="pct"/>
            <w:tcBorders>
              <w:top w:val="single" w:color="auto" w:sz="4" w:space="0"/>
              <w:left w:val="single" w:color="auto" w:sz="4" w:space="0"/>
              <w:bottom w:val="single" w:color="auto" w:sz="4" w:space="0"/>
              <w:right w:val="single" w:color="auto" w:sz="4" w:space="0"/>
            </w:tcBorders>
            <w:vAlign w:val="center"/>
          </w:tcPr>
          <w:p w14:paraId="07D3E62B">
            <w:pPr>
              <w:widowControl/>
              <w:snapToGrid w:val="0"/>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4.7</w:t>
            </w:r>
          </w:p>
        </w:tc>
        <w:tc>
          <w:tcPr>
            <w:tcW w:w="4438" w:type="pct"/>
            <w:tcBorders>
              <w:top w:val="single" w:color="auto" w:sz="4" w:space="0"/>
              <w:left w:val="single" w:color="auto" w:sz="4" w:space="0"/>
              <w:bottom w:val="single" w:color="auto" w:sz="4" w:space="0"/>
              <w:right w:val="single" w:color="auto" w:sz="4" w:space="0"/>
            </w:tcBorders>
            <w:vAlign w:val="center"/>
          </w:tcPr>
          <w:p w14:paraId="31E80163">
            <w:pPr>
              <w:snapToGrid w:val="0"/>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档案登记管理模块</w:t>
            </w:r>
          </w:p>
        </w:tc>
      </w:tr>
    </w:tbl>
    <w:p w14:paraId="295D8DDB">
      <w:pPr>
        <w:pStyle w:val="74"/>
        <w:bidi w:val="0"/>
        <w:ind w:left="0" w:leftChars="0" w:firstLine="283" w:firstLineChars="0"/>
        <w:rPr>
          <w:rFonts w:hint="default"/>
        </w:rPr>
      </w:pPr>
      <w:r>
        <w:rPr>
          <w:rFonts w:hint="eastAsia"/>
        </w:rPr>
        <w:t>药物临床试验登记模块</w:t>
      </w:r>
    </w:p>
    <w:p w14:paraId="3A7DF38D">
      <w:pPr>
        <w:pStyle w:val="73"/>
        <w:numPr>
          <w:ilvl w:val="2"/>
          <w:numId w:val="0"/>
        </w:numPr>
        <w:ind w:firstLine="420" w:firstLineChars="0"/>
        <w:rPr>
          <w:rFonts w:hint="eastAsia"/>
          <w:lang w:val="en-US" w:eastAsia="zh-CN"/>
        </w:rPr>
      </w:pPr>
      <w:r>
        <w:rPr>
          <w:rFonts w:hint="eastAsia"/>
          <w:lang w:val="en-US" w:eastAsia="zh-CN"/>
        </w:rPr>
        <w:t>结合广东省人民医院临床研究管理平台及临床数据中心（CDR），对院内的临床研究项目进行生态管理。依托于“粤康链”数据服务中台进行数据的合规加密流转，存证索引登记，同时“粤康链”数据服务中台对于数据本身提供二次共享效用，完善链上可信共享生态。</w:t>
      </w:r>
    </w:p>
    <w:p w14:paraId="6AC13FED">
      <w:pPr>
        <w:pStyle w:val="73"/>
        <w:numPr>
          <w:ilvl w:val="2"/>
          <w:numId w:val="0"/>
        </w:numPr>
        <w:ind w:firstLine="420" w:firstLineChars="0"/>
        <w:rPr>
          <w:rFonts w:hint="default"/>
          <w:lang w:val="en-US" w:eastAsia="zh-CN"/>
        </w:rPr>
      </w:pPr>
      <w:r>
        <w:rPr>
          <w:rFonts w:hint="eastAsia"/>
          <w:lang w:val="en-US" w:eastAsia="zh-CN"/>
        </w:rPr>
        <w:t>该模块需建设广东省人民医院药物临床试验区块链登记“1+3+4”的临床研究数据管理体系，即“建设1条基于区块链数据存证构建的临床研究可实践化路径，对接3个临床研究主体系统平台（临床研究管理平台、临床研究数据平台、药物临床研究试验小程序），形成4类主数据的上链索引”，旨在对院内的临床试验全项目流程进行开放式登记管理，对整个临床试验中所涉及的人员、沟通、预算、进度、费用、文档以及申报等进行管理和控制，使监管者方便及时地掌握试验进展情况，同时基于业务场景出发搭建药物临床试验数据存证登记的“粤康链”数据服务中台组块（专门基于临床研究的业务进行标准化数据的存证登记）。</w:t>
      </w:r>
    </w:p>
    <w:p w14:paraId="546F268D">
      <w:pPr>
        <w:pStyle w:val="73"/>
        <w:numPr>
          <w:ilvl w:val="2"/>
          <w:numId w:val="0"/>
        </w:numPr>
        <w:ind w:firstLine="420" w:firstLineChars="0"/>
        <w:rPr>
          <w:rFonts w:hint="eastAsia"/>
          <w:lang w:val="en-US" w:eastAsia="zh-CN"/>
        </w:rPr>
      </w:pPr>
      <w:r>
        <w:rPr>
          <w:rFonts w:hint="eastAsia"/>
          <w:lang w:val="en-US" w:eastAsia="zh-CN"/>
        </w:rPr>
        <w:t>模块具体功能需求如下：</w:t>
      </w:r>
    </w:p>
    <w:p w14:paraId="6BA7A1B9">
      <w:pPr>
        <w:pStyle w:val="73"/>
        <w:bidi w:val="0"/>
        <w:ind w:left="964" w:leftChars="0" w:hanging="567" w:firstLineChars="0"/>
        <w:rPr>
          <w:rFonts w:hint="eastAsia"/>
          <w:lang w:val="en-US" w:eastAsia="zh-CN"/>
        </w:rPr>
      </w:pPr>
      <w:r>
        <w:rPr>
          <w:rFonts w:hint="eastAsia"/>
          <w:lang w:val="en-US" w:eastAsia="zh-CN"/>
        </w:rPr>
        <w:t>建设基于区块链数据存证构建的临床研究可实践化路径（以下简称“区块链临床路径”）：</w:t>
      </w:r>
    </w:p>
    <w:p w14:paraId="34164F71">
      <w:pPr>
        <w:pStyle w:val="73"/>
        <w:numPr>
          <w:ilvl w:val="2"/>
          <w:numId w:val="0"/>
        </w:numPr>
        <w:bidi w:val="0"/>
        <w:jc w:val="center"/>
      </w:pPr>
      <w:r>
        <w:drawing>
          <wp:inline distT="0" distB="0" distL="114300" distR="114300">
            <wp:extent cx="4119880" cy="19500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119880" cy="1950085"/>
                    </a:xfrm>
                    <a:prstGeom prst="rect">
                      <a:avLst/>
                    </a:prstGeom>
                    <a:noFill/>
                    <a:ln>
                      <a:noFill/>
                    </a:ln>
                  </pic:spPr>
                </pic:pic>
              </a:graphicData>
            </a:graphic>
          </wp:inline>
        </w:drawing>
      </w:r>
    </w:p>
    <w:p w14:paraId="4388A560">
      <w:pPr>
        <w:pStyle w:val="12"/>
        <w:numPr>
          <w:ilvl w:val="0"/>
          <w:numId w:val="0"/>
        </w:numPr>
        <w:bidi w:val="0"/>
        <w:jc w:val="center"/>
        <w:rPr>
          <w:rFonts w:hint="eastAsia"/>
          <w:lang w:eastAsia="zh-CN"/>
        </w:rPr>
      </w:pPr>
      <w:r>
        <w:t xml:space="preserve">图 </w:t>
      </w:r>
      <w:r>
        <w:fldChar w:fldCharType="begin"/>
      </w:r>
      <w:r>
        <w:instrText xml:space="preserve"> SEQ 图 \* ARABIC </w:instrText>
      </w:r>
      <w:r>
        <w:fldChar w:fldCharType="separate"/>
      </w:r>
      <w:r>
        <w:t>3</w:t>
      </w:r>
      <w:r>
        <w:fldChar w:fldCharType="end"/>
      </w:r>
      <w:r>
        <w:rPr>
          <w:rFonts w:hint="eastAsia"/>
          <w:lang w:eastAsia="zh-CN"/>
        </w:rPr>
        <w:t xml:space="preserve"> 基于区块链数据存证构建的临床研究可实践化路径</w:t>
      </w:r>
    </w:p>
    <w:p w14:paraId="4E1EC62D">
      <w:pPr>
        <w:pStyle w:val="73"/>
        <w:numPr>
          <w:ilvl w:val="2"/>
          <w:numId w:val="0"/>
        </w:numPr>
        <w:bidi w:val="0"/>
        <w:ind w:left="567" w:leftChars="0"/>
        <w:rPr>
          <w:rFonts w:hint="eastAsia"/>
          <w:lang w:val="en-US" w:eastAsia="zh-CN"/>
        </w:rPr>
      </w:pPr>
      <w:r>
        <w:rPr>
          <w:rFonts w:hint="default"/>
        </w:rPr>
        <w:t>注：</w:t>
      </w:r>
      <w:r>
        <w:rPr>
          <w:rFonts w:hint="eastAsia"/>
          <w:lang w:val="en-US" w:eastAsia="zh-CN"/>
        </w:rPr>
        <w:t>路径中各个环节的详细技术定义可参见《基于区块链和对象标识符（OID）的药物临床试验数据流转应用规范（广东省地标）》的标准征求意见稿。</w:t>
      </w:r>
    </w:p>
    <w:p w14:paraId="38E46861">
      <w:pPr>
        <w:pStyle w:val="73"/>
        <w:bidi w:val="0"/>
        <w:ind w:left="964" w:leftChars="0" w:hanging="567" w:firstLineChars="0"/>
        <w:rPr>
          <w:rFonts w:hint="default"/>
          <w:lang w:val="en-US" w:eastAsia="zh-CN"/>
        </w:rPr>
      </w:pPr>
      <w:r>
        <w:rPr>
          <w:rFonts w:hint="eastAsia"/>
          <w:lang w:val="en-US" w:eastAsia="zh-CN"/>
        </w:rPr>
        <w:t>对接广东省人民医院临床研究管理平台：通过与广东省人民医院临床研究管理平台的相关对接，获取临床研究项目，临床研究人员操作等的登记信息数据推送，进行数据标准化处理等，完成在“粤康链”数据服务中台中进行数据索引登记的全部前置数据处理任务。</w:t>
      </w:r>
    </w:p>
    <w:p w14:paraId="205401AC">
      <w:pPr>
        <w:pStyle w:val="73"/>
        <w:bidi w:val="0"/>
        <w:ind w:left="964" w:leftChars="0" w:hanging="567" w:firstLineChars="0"/>
        <w:rPr>
          <w:rFonts w:hint="default"/>
          <w:lang w:val="en-US" w:eastAsia="zh-CN"/>
        </w:rPr>
      </w:pPr>
      <w:r>
        <w:rPr>
          <w:rFonts w:hint="eastAsia"/>
          <w:lang w:val="en-US" w:eastAsia="zh-CN"/>
        </w:rPr>
        <w:t>对接广东省人民医院临床研究数据平台：通过与广东省人民医院临床研究数据平台的相关对接，获取临床研究数据流传过程的数据推送，进行数据标准化处理等，完成在“粤康链”数据服务中台中进行数据索引登记的全部前置数据处理任务。</w:t>
      </w:r>
    </w:p>
    <w:p w14:paraId="4B88F62E">
      <w:pPr>
        <w:pStyle w:val="73"/>
        <w:bidi w:val="0"/>
        <w:ind w:left="964" w:leftChars="0" w:hanging="567" w:firstLineChars="0"/>
        <w:rPr>
          <w:rFonts w:hint="default"/>
          <w:lang w:val="en-US" w:eastAsia="zh-CN"/>
        </w:rPr>
      </w:pPr>
      <w:r>
        <w:rPr>
          <w:rFonts w:hint="eastAsia"/>
          <w:lang w:val="en-US" w:eastAsia="zh-CN"/>
        </w:rPr>
        <w:t>对接广东省人民医院药物临床研究试验小程序：通过与广东省人民医院药物临床研究试验小程序的相关对接，获取受试者的登记信息数据推送，进行数据标准化处理等，完成在“粤康链”数据服务中台中进行数据索引登记的全部前置数据处理任务。</w:t>
      </w:r>
    </w:p>
    <w:p w14:paraId="47D1BA0A">
      <w:pPr>
        <w:pStyle w:val="73"/>
        <w:bidi w:val="0"/>
        <w:ind w:left="964" w:leftChars="0" w:hanging="567" w:firstLineChars="0"/>
        <w:rPr>
          <w:rFonts w:hint="eastAsia"/>
          <w:lang w:val="en-US" w:eastAsia="zh-CN"/>
        </w:rPr>
      </w:pPr>
      <w:r>
        <w:rPr>
          <w:rFonts w:hint="eastAsia"/>
          <w:lang w:val="en-US" w:eastAsia="zh-CN"/>
        </w:rPr>
        <w:t>按照监察数据上链存证与共享监管要求，形成4类数据（病例资料，试验方案和协议，试验药物和设备，试验数据）的上链索引并进行存证登记。病例资料包含病人的个人信息、病史、体检结果、诊断结果等。试验方案和协议包含试验的设计、实施、监督和终止等方面的规定等。试验药物和设备包括试验药物和设备的名称、规格、质量、来源、使用方法等。试验数据包括试验的结果、统计分析、数据验证等。所有数据应在链上进行索引值分配，操作项分配，以及对应的内容存证。以保证必须数据的增、删、改、查都在“粤康链”数据服务中台形成完整的索引登记。</w:t>
      </w:r>
    </w:p>
    <w:p w14:paraId="33D43EB1">
      <w:pPr>
        <w:pStyle w:val="73"/>
        <w:bidi w:val="0"/>
        <w:ind w:left="964" w:leftChars="0" w:hanging="567" w:firstLineChars="0"/>
        <w:rPr>
          <w:rFonts w:hint="default"/>
          <w:lang w:val="en-US" w:eastAsia="zh-CN"/>
        </w:rPr>
      </w:pPr>
      <w:r>
        <w:rPr>
          <w:rFonts w:hint="eastAsia"/>
          <w:lang w:val="en-US" w:eastAsia="zh-CN"/>
        </w:rPr>
        <w:t>搭建基于专病研究的2个区块链多中心科研节点：搭建基于区块链的多中心科研节点，开展专病多中心临床研究，在专病节点部署标准化的专病库。奠定单病种多中心研究的标准和基础，形成单病种标准化电子病历数据集，建立病种研究的标准化指标，为研究者开展单病种真实世界研究奠定基础，有效提升专病科研水平和诊疗服务能力，支持多中心专病科研的开展，为以病种为单位的多中心研究的模式和路径提供指导。并通过项目建设，探索院际医院之间如何实现数据确权和价值交换方式，实现将符合指标集的专病数据进行上链存证、协同共享。节点需求拓扑如下：</w:t>
      </w:r>
    </w:p>
    <w:p w14:paraId="44F4782C">
      <w:pPr>
        <w:pStyle w:val="73"/>
        <w:numPr>
          <w:ilvl w:val="2"/>
          <w:numId w:val="0"/>
        </w:numPr>
        <w:bidi w:val="0"/>
        <w:jc w:val="center"/>
      </w:pPr>
      <w:r>
        <w:drawing>
          <wp:inline distT="0" distB="0" distL="114300" distR="114300">
            <wp:extent cx="4217670" cy="1906270"/>
            <wp:effectExtent l="0" t="0" r="1143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217670" cy="1906270"/>
                    </a:xfrm>
                    <a:prstGeom prst="rect">
                      <a:avLst/>
                    </a:prstGeom>
                    <a:noFill/>
                    <a:ln>
                      <a:noFill/>
                    </a:ln>
                  </pic:spPr>
                </pic:pic>
              </a:graphicData>
            </a:graphic>
          </wp:inline>
        </w:drawing>
      </w:r>
    </w:p>
    <w:p w14:paraId="2840E033">
      <w:pPr>
        <w:pStyle w:val="12"/>
        <w:numPr>
          <w:ilvl w:val="0"/>
          <w:numId w:val="0"/>
        </w:numPr>
        <w:bidi w:val="0"/>
        <w:jc w:val="center"/>
        <w:rPr>
          <w:rFonts w:hint="default"/>
          <w:lang w:val="en-US" w:eastAsia="zh-CN"/>
        </w:rPr>
      </w:pPr>
      <w:r>
        <w:t xml:space="preserve">图 </w:t>
      </w:r>
      <w:r>
        <w:fldChar w:fldCharType="begin"/>
      </w:r>
      <w:r>
        <w:instrText xml:space="preserve"> SEQ 图 \* ARABIC </w:instrText>
      </w:r>
      <w:r>
        <w:fldChar w:fldCharType="separate"/>
      </w:r>
      <w:r>
        <w:t>4</w:t>
      </w:r>
      <w:r>
        <w:fldChar w:fldCharType="end"/>
      </w:r>
      <w:r>
        <w:rPr>
          <w:rFonts w:hint="eastAsia"/>
          <w:lang w:eastAsia="zh-CN"/>
        </w:rPr>
        <w:t xml:space="preserve"> 区块链可信应用拓展释义－多中心科研</w:t>
      </w:r>
    </w:p>
    <w:p w14:paraId="17523ADA">
      <w:pPr>
        <w:pStyle w:val="73"/>
        <w:numPr>
          <w:ilvl w:val="2"/>
          <w:numId w:val="0"/>
        </w:numPr>
        <w:ind w:firstLine="420" w:firstLineChars="0"/>
        <w:rPr>
          <w:rFonts w:hint="default" w:eastAsia="微软雅黑"/>
          <w:lang w:val="en-US" w:eastAsia="zh-CN"/>
        </w:rPr>
      </w:pPr>
    </w:p>
    <w:p w14:paraId="0453190B">
      <w:pPr>
        <w:pStyle w:val="74"/>
        <w:bidi w:val="0"/>
        <w:ind w:left="0" w:leftChars="0" w:firstLine="283" w:firstLineChars="0"/>
        <w:rPr>
          <w:rFonts w:hint="default"/>
        </w:rPr>
      </w:pPr>
      <w:r>
        <w:rPr>
          <w:rFonts w:hint="eastAsia"/>
        </w:rPr>
        <w:t>电子病历共享存证模块</w:t>
      </w:r>
    </w:p>
    <w:p w14:paraId="6A7A861F">
      <w:pPr>
        <w:pStyle w:val="73"/>
        <w:numPr>
          <w:ilvl w:val="2"/>
          <w:numId w:val="0"/>
        </w:numPr>
        <w:ind w:firstLine="420" w:firstLineChars="0"/>
        <w:rPr>
          <w:rFonts w:hint="default" w:eastAsia="微软雅黑"/>
          <w:lang w:val="en-US" w:eastAsia="zh-CN"/>
        </w:rPr>
      </w:pPr>
      <w:r>
        <w:rPr>
          <w:rFonts w:hint="eastAsia"/>
          <w:lang w:val="en-US" w:eastAsia="zh-CN"/>
        </w:rPr>
        <w:t>建设电子病历共享的调阅存证模块，建设各级电子病历数据共享节点，包括但不仅限于各级医院，乡镇卫生院，养老院，康复机构等，构建一个由华南示范区内参与机构共同维护的联盟链体系，建设患者信息安全调阅平台。</w:t>
      </w:r>
    </w:p>
    <w:p w14:paraId="1C83DAC4">
      <w:pPr>
        <w:pStyle w:val="73"/>
        <w:bidi w:val="0"/>
        <w:ind w:left="964" w:leftChars="0" w:hanging="567" w:firstLineChars="0"/>
        <w:rPr>
          <w:rFonts w:hint="default"/>
        </w:rPr>
      </w:pPr>
      <w:r>
        <w:rPr>
          <w:rFonts w:hint="default"/>
        </w:rPr>
        <w:t>建设</w:t>
      </w:r>
      <w:r>
        <w:rPr>
          <w:rFonts w:hint="eastAsia"/>
          <w:lang w:val="en-US" w:eastAsia="zh-CN"/>
        </w:rPr>
        <w:t>多级</w:t>
      </w:r>
      <w:r>
        <w:rPr>
          <w:rFonts w:hint="default"/>
        </w:rPr>
        <w:t>电子病历数据共享节点</w:t>
      </w:r>
      <w:r>
        <w:rPr>
          <w:rFonts w:hint="eastAsia"/>
          <w:lang w:eastAsia="zh-CN"/>
        </w:rPr>
        <w:t>：</w:t>
      </w:r>
      <w:r>
        <w:rPr>
          <w:rFonts w:hint="eastAsia"/>
          <w:lang w:val="en-US" w:eastAsia="zh-CN"/>
        </w:rPr>
        <w:t>按照院方要求，建设多级分节点，对照三级医院、二级医院、社区医院、急救中心、老龄科学研究院、老年医学研究院、养老机构、康复机构、急救中心、社区居家智能终端、适老化数字健康产品，共计11个外联节点选项，构筑覆盖</w:t>
      </w:r>
      <w:r>
        <w:rPr>
          <w:rFonts w:hint="default"/>
          <w:lang w:val="en-US" w:eastAsia="zh-CN"/>
        </w:rPr>
        <w:t>医疗、养老和</w:t>
      </w:r>
      <w:r>
        <w:rPr>
          <w:rFonts w:hint="eastAsia"/>
          <w:lang w:val="en-US" w:eastAsia="zh-CN"/>
        </w:rPr>
        <w:t>康复</w:t>
      </w:r>
      <w:r>
        <w:rPr>
          <w:rFonts w:hint="default"/>
          <w:lang w:val="en-US" w:eastAsia="zh-CN"/>
        </w:rPr>
        <w:t>等多个行业</w:t>
      </w:r>
      <w:r>
        <w:rPr>
          <w:rFonts w:hint="eastAsia"/>
          <w:lang w:val="en-US" w:eastAsia="zh-CN"/>
        </w:rPr>
        <w:t>的患者信息安全调阅体系。</w:t>
      </w:r>
    </w:p>
    <w:p w14:paraId="27F32390">
      <w:pPr>
        <w:pStyle w:val="73"/>
        <w:bidi w:val="0"/>
        <w:ind w:left="964" w:leftChars="0" w:hanging="567" w:firstLineChars="0"/>
        <w:rPr>
          <w:rFonts w:hint="default"/>
        </w:rPr>
      </w:pPr>
      <w:r>
        <w:rPr>
          <w:rFonts w:hint="eastAsia"/>
          <w:lang w:val="en-US" w:eastAsia="zh-CN"/>
        </w:rPr>
        <w:t>构筑试点场景实例：按照院方要求，构筑3大类共计6项的电子病历跨域共享试点方案，并完成场景建设，包括共享类、便民类、研究类，完成6项电子病历跨域共享试点构筑，即面向医联体的电子病历跨域共享、面向深度便民服务的跨域健康档案共享、面向医联体多级服务支撑的跨域转诊信息支撑、面向医联体多级服务支撑的跨域会诊信息支撑、面向医养康一体化数据服务的多级信息共享、以及面向千镇万村业务的微型服务支撑。</w:t>
      </w:r>
    </w:p>
    <w:p w14:paraId="2610DB40">
      <w:pPr>
        <w:pStyle w:val="73"/>
        <w:bidi w:val="0"/>
        <w:ind w:left="964" w:leftChars="0" w:hanging="567" w:firstLineChars="0"/>
        <w:rPr>
          <w:rFonts w:hint="default"/>
        </w:rPr>
      </w:pPr>
      <w:r>
        <w:rPr>
          <w:rFonts w:hint="eastAsia"/>
          <w:lang w:val="en-US" w:eastAsia="zh-CN"/>
        </w:rPr>
        <w:t>建设围绕健康档案共享的标准化数据集：需按照院方要求对于健康档案共享的相关数据进行对接分布式存储，同步形成一套符合专病特色的电子病历数据集共享规范，建立标准化数据指标，为医联体跨域信息共享提供研究基础，健康档案中形成上链索引的信息参考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350"/>
        <w:gridCol w:w="1911"/>
        <w:gridCol w:w="3475"/>
      </w:tblGrid>
      <w:tr w14:paraId="654D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bottom w:val="single" w:color="DDDDDD" w:sz="4" w:space="0"/>
              <w:right w:val="single" w:color="DDDDDD" w:sz="4" w:space="0"/>
            </w:tcBorders>
            <w:shd w:val="clear" w:color="auto" w:fill="3A3A3A"/>
          </w:tcPr>
          <w:p w14:paraId="0D32B0D0">
            <w:pPr>
              <w:pStyle w:val="73"/>
              <w:numPr>
                <w:ilvl w:val="2"/>
                <w:numId w:val="0"/>
              </w:numPr>
              <w:bidi w:val="0"/>
              <w:jc w:val="center"/>
              <w:rPr>
                <w:rFonts w:hint="eastAsia"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序号</w:t>
            </w:r>
          </w:p>
        </w:tc>
        <w:tc>
          <w:tcPr>
            <w:tcW w:w="1350" w:type="dxa"/>
            <w:tcBorders>
              <w:left w:val="single" w:color="DDDDDD" w:sz="4" w:space="0"/>
              <w:bottom w:val="single" w:color="DDDDDD" w:sz="4" w:space="0"/>
              <w:right w:val="single" w:color="DDDDDD" w:sz="4" w:space="0"/>
            </w:tcBorders>
            <w:shd w:val="clear" w:color="auto" w:fill="3A3A3A"/>
          </w:tcPr>
          <w:p w14:paraId="72F26721">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数据属性分类</w:t>
            </w:r>
          </w:p>
        </w:tc>
        <w:tc>
          <w:tcPr>
            <w:tcW w:w="1911" w:type="dxa"/>
            <w:tcBorders>
              <w:left w:val="single" w:color="DDDDDD" w:sz="4" w:space="0"/>
              <w:bottom w:val="single" w:color="DDDDDD" w:sz="4" w:space="0"/>
              <w:right w:val="single" w:color="DDDDDD" w:sz="4" w:space="0"/>
            </w:tcBorders>
            <w:shd w:val="clear" w:color="auto" w:fill="3A3A3A"/>
          </w:tcPr>
          <w:p w14:paraId="134CC6D2">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数据采集源</w:t>
            </w:r>
          </w:p>
        </w:tc>
        <w:tc>
          <w:tcPr>
            <w:tcW w:w="3475" w:type="dxa"/>
            <w:tcBorders>
              <w:left w:val="single" w:color="DDDDDD" w:sz="4" w:space="0"/>
              <w:bottom w:val="single" w:color="DDDDDD" w:sz="4" w:space="0"/>
            </w:tcBorders>
            <w:shd w:val="clear" w:color="auto" w:fill="3A3A3A"/>
          </w:tcPr>
          <w:p w14:paraId="18DA78FF">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上链数据项目</w:t>
            </w:r>
          </w:p>
        </w:tc>
      </w:tr>
      <w:tr w14:paraId="1771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DDDDDD" w:sz="4" w:space="0"/>
              <w:bottom w:val="single" w:color="DDDDDD" w:sz="4" w:space="0"/>
              <w:right w:val="single" w:color="DDDDDD" w:sz="4" w:space="0"/>
            </w:tcBorders>
            <w:shd w:val="clear" w:color="auto" w:fill="FFFFFF"/>
          </w:tcPr>
          <w:p w14:paraId="65261477">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1</w:t>
            </w:r>
          </w:p>
        </w:tc>
        <w:tc>
          <w:tcPr>
            <w:tcW w:w="1350" w:type="dxa"/>
            <w:tcBorders>
              <w:top w:val="single" w:color="DDDDDD" w:sz="4" w:space="0"/>
              <w:left w:val="single" w:color="DDDDDD" w:sz="4" w:space="0"/>
              <w:bottom w:val="single" w:color="DDDDDD" w:sz="4" w:space="0"/>
              <w:right w:val="single" w:color="DDDDDD" w:sz="4" w:space="0"/>
            </w:tcBorders>
            <w:shd w:val="clear" w:color="auto" w:fill="FFFFFF"/>
          </w:tcPr>
          <w:p w14:paraId="6E3CC4D2">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健康档案数据</w:t>
            </w:r>
          </w:p>
        </w:tc>
        <w:tc>
          <w:tcPr>
            <w:tcW w:w="1911" w:type="dxa"/>
            <w:tcBorders>
              <w:top w:val="single" w:color="DDDDDD" w:sz="4" w:space="0"/>
              <w:left w:val="single" w:color="DDDDDD" w:sz="4" w:space="0"/>
              <w:bottom w:val="single" w:color="DDDDDD" w:sz="4" w:space="0"/>
              <w:right w:val="single" w:color="DDDDDD" w:sz="4" w:space="0"/>
            </w:tcBorders>
            <w:shd w:val="clear" w:color="auto" w:fill="FFFFFF"/>
          </w:tcPr>
          <w:p w14:paraId="38CC7EC8">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临床数据中心</w:t>
            </w:r>
          </w:p>
        </w:tc>
        <w:tc>
          <w:tcPr>
            <w:tcW w:w="3475" w:type="dxa"/>
            <w:tcBorders>
              <w:top w:val="single" w:color="DDDDDD" w:sz="4" w:space="0"/>
              <w:left w:val="single" w:color="DDDDDD" w:sz="4" w:space="0"/>
              <w:bottom w:val="single" w:color="DDDDDD" w:sz="4" w:space="0"/>
            </w:tcBorders>
            <w:shd w:val="clear" w:color="auto" w:fill="FFFFFF"/>
          </w:tcPr>
          <w:p w14:paraId="689954C5">
            <w:pPr>
              <w:pStyle w:val="73"/>
              <w:numPr>
                <w:ilvl w:val="2"/>
                <w:numId w:val="0"/>
              </w:numPr>
              <w:bidi w:val="0"/>
              <w:jc w:val="center"/>
              <w:rPr>
                <w:rFonts w:hint="default" w:eastAsia="微软雅黑"/>
                <w:color w:val="000000"/>
                <w:vertAlign w:val="baseline"/>
                <w:lang w:val="en-US" w:eastAsia="zh-CN"/>
              </w:rPr>
            </w:pPr>
            <w:r>
              <w:rPr>
                <w:rFonts w:hint="default"/>
                <w:color w:val="000000"/>
                <w:vertAlign w:val="baseline"/>
              </w:rPr>
              <w:t>就诊</w:t>
            </w:r>
            <w:r>
              <w:rPr>
                <w:rFonts w:hint="eastAsia"/>
                <w:color w:val="000000"/>
                <w:vertAlign w:val="baseline"/>
                <w:lang w:val="en-US" w:eastAsia="zh-CN"/>
              </w:rPr>
              <w:t>数据、专科数据、诊断数据、治疗数据、随访数据等</w:t>
            </w:r>
          </w:p>
        </w:tc>
      </w:tr>
      <w:tr w14:paraId="1AF4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DDDDDD" w:sz="4" w:space="0"/>
              <w:bottom w:val="single" w:color="DDDDDD" w:sz="4" w:space="0"/>
              <w:right w:val="single" w:color="DDDDDD" w:sz="4" w:space="0"/>
            </w:tcBorders>
            <w:shd w:val="clear" w:color="auto" w:fill="FFFFFF"/>
          </w:tcPr>
          <w:p w14:paraId="03D8BC65">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2</w:t>
            </w:r>
          </w:p>
        </w:tc>
        <w:tc>
          <w:tcPr>
            <w:tcW w:w="1350" w:type="dxa"/>
            <w:tcBorders>
              <w:top w:val="single" w:color="DDDDDD" w:sz="4" w:space="0"/>
              <w:left w:val="single" w:color="DDDDDD" w:sz="4" w:space="0"/>
              <w:bottom w:val="single" w:color="DDDDDD" w:sz="4" w:space="0"/>
              <w:right w:val="single" w:color="DDDDDD" w:sz="4" w:space="0"/>
            </w:tcBorders>
            <w:shd w:val="clear" w:color="auto" w:fill="FFFFFF"/>
          </w:tcPr>
          <w:p w14:paraId="4BC21B73">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流转数据</w:t>
            </w:r>
          </w:p>
        </w:tc>
        <w:tc>
          <w:tcPr>
            <w:tcW w:w="1911" w:type="dxa"/>
            <w:tcBorders>
              <w:top w:val="single" w:color="DDDDDD" w:sz="4" w:space="0"/>
              <w:left w:val="single" w:color="DDDDDD" w:sz="4" w:space="0"/>
              <w:bottom w:val="single" w:color="DDDDDD" w:sz="4" w:space="0"/>
              <w:right w:val="single" w:color="DDDDDD" w:sz="4" w:space="0"/>
            </w:tcBorders>
            <w:shd w:val="clear" w:color="auto" w:fill="FFFFFF"/>
          </w:tcPr>
          <w:p w14:paraId="678CDEEA">
            <w:pPr>
              <w:pStyle w:val="73"/>
              <w:numPr>
                <w:ilvl w:val="2"/>
                <w:numId w:val="0"/>
              </w:numPr>
              <w:bidi w:val="0"/>
              <w:jc w:val="center"/>
              <w:rPr>
                <w:rFonts w:hint="default"/>
                <w:color w:val="000000"/>
                <w:vertAlign w:val="baseline"/>
              </w:rPr>
            </w:pPr>
            <w:r>
              <w:rPr>
                <w:rFonts w:hint="default"/>
                <w:color w:val="000000"/>
                <w:vertAlign w:val="baseline"/>
              </w:rPr>
              <w:t>共享存证模块</w:t>
            </w:r>
          </w:p>
        </w:tc>
        <w:tc>
          <w:tcPr>
            <w:tcW w:w="3475" w:type="dxa"/>
            <w:tcBorders>
              <w:top w:val="single" w:color="DDDDDD" w:sz="4" w:space="0"/>
              <w:left w:val="single" w:color="DDDDDD" w:sz="4" w:space="0"/>
              <w:bottom w:val="single" w:color="DDDDDD" w:sz="4" w:space="0"/>
            </w:tcBorders>
            <w:shd w:val="clear" w:color="auto" w:fill="FFFFFF"/>
          </w:tcPr>
          <w:p w14:paraId="6F2AF772">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阅档人员、修改数据、版本数据</w:t>
            </w:r>
          </w:p>
        </w:tc>
      </w:tr>
      <w:tr w14:paraId="3F03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DDDDDD" w:sz="4" w:space="0"/>
              <w:bottom w:val="single" w:color="DDDDDD" w:sz="4" w:space="0"/>
              <w:right w:val="single" w:color="DDDDDD" w:sz="4" w:space="0"/>
            </w:tcBorders>
            <w:shd w:val="clear" w:color="auto" w:fill="FFFFFF"/>
          </w:tcPr>
          <w:p w14:paraId="7C8F32C9">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3</w:t>
            </w:r>
          </w:p>
        </w:tc>
        <w:tc>
          <w:tcPr>
            <w:tcW w:w="1350" w:type="dxa"/>
            <w:tcBorders>
              <w:top w:val="single" w:color="DDDDDD" w:sz="4" w:space="0"/>
              <w:left w:val="single" w:color="DDDDDD" w:sz="4" w:space="0"/>
              <w:bottom w:val="single" w:color="DDDDDD" w:sz="4" w:space="0"/>
              <w:right w:val="single" w:color="DDDDDD" w:sz="4" w:space="0"/>
            </w:tcBorders>
            <w:shd w:val="clear" w:color="auto" w:fill="FFFFFF"/>
          </w:tcPr>
          <w:p w14:paraId="4982CE3A">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专病信息</w:t>
            </w:r>
          </w:p>
        </w:tc>
        <w:tc>
          <w:tcPr>
            <w:tcW w:w="1911" w:type="dxa"/>
            <w:tcBorders>
              <w:top w:val="single" w:color="DDDDDD" w:sz="4" w:space="0"/>
              <w:left w:val="single" w:color="DDDDDD" w:sz="4" w:space="0"/>
              <w:bottom w:val="single" w:color="DDDDDD" w:sz="4" w:space="0"/>
              <w:right w:val="single" w:color="DDDDDD" w:sz="4" w:space="0"/>
            </w:tcBorders>
            <w:shd w:val="clear" w:color="auto" w:fill="FFFFFF"/>
          </w:tcPr>
          <w:p w14:paraId="4E3FC781">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专病数据库</w:t>
            </w:r>
          </w:p>
        </w:tc>
        <w:tc>
          <w:tcPr>
            <w:tcW w:w="3475" w:type="dxa"/>
            <w:tcBorders>
              <w:top w:val="single" w:color="DDDDDD" w:sz="4" w:space="0"/>
              <w:left w:val="single" w:color="DDDDDD" w:sz="4" w:space="0"/>
              <w:bottom w:val="single" w:color="DDDDDD" w:sz="4" w:space="0"/>
            </w:tcBorders>
            <w:shd w:val="clear" w:color="auto" w:fill="FFFFFF"/>
          </w:tcPr>
          <w:p w14:paraId="6376BA2A">
            <w:pPr>
              <w:pStyle w:val="73"/>
              <w:numPr>
                <w:ilvl w:val="2"/>
                <w:numId w:val="0"/>
              </w:numPr>
              <w:bidi w:val="0"/>
              <w:jc w:val="center"/>
              <w:rPr>
                <w:rFonts w:hint="default" w:eastAsia="微软雅黑"/>
                <w:color w:val="000000"/>
                <w:vertAlign w:val="baseline"/>
                <w:lang w:val="en-US" w:eastAsia="zh-CN"/>
              </w:rPr>
            </w:pPr>
            <w:r>
              <w:rPr>
                <w:rFonts w:hint="default"/>
                <w:color w:val="000000"/>
                <w:vertAlign w:val="baseline"/>
              </w:rPr>
              <w:t>专病指标数据</w:t>
            </w:r>
            <w:r>
              <w:rPr>
                <w:rFonts w:hint="eastAsia"/>
                <w:color w:val="000000"/>
                <w:vertAlign w:val="baseline"/>
                <w:lang w:eastAsia="zh-CN"/>
              </w:rPr>
              <w:t>、专病特征</w:t>
            </w:r>
            <w:r>
              <w:rPr>
                <w:rFonts w:hint="eastAsia"/>
                <w:color w:val="000000"/>
                <w:vertAlign w:val="baseline"/>
                <w:lang w:val="en-US" w:eastAsia="zh-CN"/>
              </w:rPr>
              <w:t>数据</w:t>
            </w:r>
          </w:p>
        </w:tc>
      </w:tr>
      <w:tr w14:paraId="413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DDDDDD" w:sz="4" w:space="0"/>
              <w:bottom w:val="single" w:color="DDDDDD" w:sz="4" w:space="0"/>
              <w:right w:val="single" w:color="DDDDDD" w:sz="4" w:space="0"/>
            </w:tcBorders>
            <w:shd w:val="clear" w:color="auto" w:fill="FFFFFF"/>
          </w:tcPr>
          <w:p w14:paraId="77E41EF9">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4</w:t>
            </w:r>
          </w:p>
        </w:tc>
        <w:tc>
          <w:tcPr>
            <w:tcW w:w="1350" w:type="dxa"/>
            <w:tcBorders>
              <w:top w:val="single" w:color="DDDDDD" w:sz="4" w:space="0"/>
              <w:left w:val="single" w:color="DDDDDD" w:sz="4" w:space="0"/>
              <w:bottom w:val="single" w:color="DDDDDD" w:sz="4" w:space="0"/>
              <w:right w:val="single" w:color="DDDDDD" w:sz="4" w:space="0"/>
            </w:tcBorders>
            <w:shd w:val="clear" w:color="auto" w:fill="FFFFFF"/>
          </w:tcPr>
          <w:p w14:paraId="14345127">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其它数据</w:t>
            </w:r>
          </w:p>
        </w:tc>
        <w:tc>
          <w:tcPr>
            <w:tcW w:w="1911" w:type="dxa"/>
            <w:tcBorders>
              <w:top w:val="single" w:color="DDDDDD" w:sz="4" w:space="0"/>
              <w:left w:val="single" w:color="DDDDDD" w:sz="4" w:space="0"/>
              <w:bottom w:val="single" w:color="DDDDDD" w:sz="4" w:space="0"/>
              <w:right w:val="single" w:color="DDDDDD" w:sz="4" w:space="0"/>
            </w:tcBorders>
            <w:shd w:val="clear" w:color="auto" w:fill="FFFFFF"/>
          </w:tcPr>
          <w:p w14:paraId="0A4D9EA3">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“粤康链”数据中台</w:t>
            </w:r>
          </w:p>
        </w:tc>
        <w:tc>
          <w:tcPr>
            <w:tcW w:w="3475" w:type="dxa"/>
            <w:tcBorders>
              <w:top w:val="single" w:color="DDDDDD" w:sz="4" w:space="0"/>
              <w:left w:val="single" w:color="DDDDDD" w:sz="4" w:space="0"/>
              <w:bottom w:val="single" w:color="DDDDDD" w:sz="4" w:space="0"/>
            </w:tcBorders>
            <w:shd w:val="clear" w:color="auto" w:fill="FFFFFF"/>
          </w:tcPr>
          <w:p w14:paraId="08B8DC32">
            <w:pPr>
              <w:pStyle w:val="73"/>
              <w:numPr>
                <w:ilvl w:val="2"/>
                <w:numId w:val="0"/>
              </w:numPr>
              <w:bidi w:val="0"/>
              <w:jc w:val="center"/>
              <w:rPr>
                <w:rFonts w:hint="eastAsia" w:eastAsia="微软雅黑"/>
                <w:color w:val="000000"/>
                <w:vertAlign w:val="baseline"/>
                <w:lang w:eastAsia="zh-CN"/>
              </w:rPr>
            </w:pPr>
            <w:r>
              <w:rPr>
                <w:rFonts w:hint="default"/>
                <w:color w:val="000000"/>
                <w:vertAlign w:val="baseline"/>
              </w:rPr>
              <w:t>采集规则、采集设置、接口模式</w:t>
            </w:r>
            <w:r>
              <w:rPr>
                <w:rFonts w:hint="eastAsia"/>
                <w:color w:val="000000"/>
                <w:vertAlign w:val="baseline"/>
                <w:lang w:eastAsia="zh-CN"/>
              </w:rPr>
              <w:t>、访问账号、访问时间、访问数据情况</w:t>
            </w:r>
          </w:p>
        </w:tc>
      </w:tr>
      <w:tr w14:paraId="1D93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tcBorders>
              <w:top w:val="single" w:color="DDDDDD" w:sz="4" w:space="0"/>
              <w:right w:val="single" w:color="DDDDDD" w:sz="4" w:space="0"/>
            </w:tcBorders>
            <w:shd w:val="clear" w:color="auto" w:fill="FFFFFF"/>
          </w:tcPr>
          <w:p w14:paraId="2C1C0346">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5</w:t>
            </w:r>
          </w:p>
        </w:tc>
        <w:tc>
          <w:tcPr>
            <w:tcW w:w="1350" w:type="dxa"/>
            <w:tcBorders>
              <w:top w:val="single" w:color="DDDDDD" w:sz="4" w:space="0"/>
              <w:left w:val="single" w:color="DDDDDD" w:sz="4" w:space="0"/>
              <w:right w:val="single" w:color="DDDDDD" w:sz="4" w:space="0"/>
            </w:tcBorders>
            <w:shd w:val="clear" w:color="auto" w:fill="FFFFFF"/>
          </w:tcPr>
          <w:p w14:paraId="22CAD52F">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医养康数据</w:t>
            </w:r>
          </w:p>
        </w:tc>
        <w:tc>
          <w:tcPr>
            <w:tcW w:w="1911" w:type="dxa"/>
            <w:tcBorders>
              <w:top w:val="single" w:color="DDDDDD" w:sz="4" w:space="0"/>
              <w:left w:val="single" w:color="DDDDDD" w:sz="4" w:space="0"/>
              <w:right w:val="single" w:color="DDDDDD" w:sz="4" w:space="0"/>
            </w:tcBorders>
            <w:shd w:val="clear" w:color="auto" w:fill="FFFFFF"/>
          </w:tcPr>
          <w:p w14:paraId="47C58EA9">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医养康一体化</w:t>
            </w:r>
          </w:p>
          <w:p w14:paraId="62CE5C45">
            <w:pPr>
              <w:pStyle w:val="73"/>
              <w:numPr>
                <w:ilvl w:val="2"/>
                <w:numId w:val="0"/>
              </w:numPr>
              <w:bidi w:val="0"/>
              <w:jc w:val="center"/>
              <w:rPr>
                <w:rFonts w:hint="eastAsia"/>
                <w:color w:val="000000"/>
                <w:vertAlign w:val="baseline"/>
                <w:lang w:val="en-US" w:eastAsia="zh-CN"/>
              </w:rPr>
            </w:pPr>
            <w:r>
              <w:rPr>
                <w:rFonts w:hint="eastAsia"/>
                <w:color w:val="000000"/>
                <w:vertAlign w:val="baseline"/>
                <w:lang w:val="en-US" w:eastAsia="zh-CN"/>
              </w:rPr>
              <w:t>数据湖平台</w:t>
            </w:r>
          </w:p>
        </w:tc>
        <w:tc>
          <w:tcPr>
            <w:tcW w:w="3475" w:type="dxa"/>
            <w:tcBorders>
              <w:top w:val="single" w:color="DDDDDD" w:sz="4" w:space="0"/>
              <w:left w:val="single" w:color="DDDDDD" w:sz="4" w:space="0"/>
            </w:tcBorders>
            <w:shd w:val="clear" w:color="auto" w:fill="FFFFFF"/>
          </w:tcPr>
          <w:p w14:paraId="5E69384A">
            <w:pPr>
              <w:pStyle w:val="73"/>
              <w:numPr>
                <w:ilvl w:val="2"/>
                <w:numId w:val="0"/>
              </w:numPr>
              <w:bidi w:val="0"/>
              <w:jc w:val="center"/>
              <w:rPr>
                <w:rFonts w:hint="default"/>
                <w:color w:val="000000"/>
                <w:vertAlign w:val="baseline"/>
              </w:rPr>
            </w:pPr>
            <w:r>
              <w:rPr>
                <w:rFonts w:hint="default"/>
                <w:color w:val="000000"/>
                <w:vertAlign w:val="baseline"/>
              </w:rPr>
              <w:t>医养康信息摘要、健康体检、医疗服务信息、医生巡诊、康复服务记录、照护记录、心理支持、安宁疗护以及适龄化产品使用情况、服务协议</w:t>
            </w:r>
          </w:p>
        </w:tc>
      </w:tr>
    </w:tbl>
    <w:p w14:paraId="4BE0E480">
      <w:pPr>
        <w:pStyle w:val="73"/>
        <w:keepNext w:val="0"/>
        <w:keepLines w:val="0"/>
        <w:pageBreakBefore w:val="0"/>
        <w:widowControl w:val="0"/>
        <w:numPr>
          <w:ilvl w:val="2"/>
          <w:numId w:val="0"/>
        </w:numPr>
        <w:kinsoku/>
        <w:wordWrap/>
        <w:overflowPunct/>
        <w:topLinePunct w:val="0"/>
        <w:autoSpaceDE/>
        <w:autoSpaceDN/>
        <w:bidi w:val="0"/>
        <w:adjustRightInd/>
        <w:snapToGrid/>
        <w:spacing w:after="63" w:afterLines="20"/>
        <w:textAlignment w:val="auto"/>
        <w:rPr>
          <w:rFonts w:hint="default"/>
        </w:rPr>
      </w:pPr>
    </w:p>
    <w:p w14:paraId="5049A75D">
      <w:pPr>
        <w:pStyle w:val="73"/>
        <w:bidi w:val="0"/>
        <w:ind w:left="964" w:leftChars="0" w:hanging="567" w:firstLineChars="0"/>
        <w:rPr>
          <w:rFonts w:hint="default"/>
        </w:rPr>
      </w:pPr>
      <w:r>
        <w:rPr>
          <w:rFonts w:hint="eastAsia"/>
          <w:lang w:val="en-US" w:eastAsia="zh-CN"/>
        </w:rPr>
        <w:t>数据溯源服务：基于上链存证的数据信息基础，构建溯源服务方案。实现数据过程即时可追溯、可溯源。</w:t>
      </w:r>
    </w:p>
    <w:p w14:paraId="4FA9312E">
      <w:pPr>
        <w:pStyle w:val="73"/>
        <w:bidi w:val="0"/>
        <w:ind w:left="964" w:leftChars="0" w:hanging="567" w:firstLineChars="0"/>
        <w:rPr>
          <w:rFonts w:hint="default"/>
        </w:rPr>
      </w:pPr>
      <w:r>
        <w:rPr>
          <w:rFonts w:hint="eastAsia"/>
          <w:lang w:val="en-US" w:eastAsia="zh-CN"/>
        </w:rPr>
        <w:t>受控访问服务：构架受控访问服务框架，搭建基于受控访问的电子病历权限控制体系，对于实例数据权限进行分布式诠释，区分数据广播级别，数据查阅级别，数据修改级别。对于数据的脱敏段和处理段执行严格安全受控环境，对于“黑匣子”内的交互数据，做到生命周期完则清空，单点进行强制隔离，构</w:t>
      </w:r>
      <w:bookmarkStart w:id="2" w:name="_GoBack"/>
      <w:bookmarkEnd w:id="2"/>
      <w:r>
        <w:rPr>
          <w:rFonts w:hint="eastAsia"/>
          <w:lang w:val="en-US" w:eastAsia="zh-CN"/>
        </w:rPr>
        <w:t>筑非空模块假设预言机，构筑冲突断点（建议使用硬件管脚信号中断的形式）。</w:t>
      </w:r>
    </w:p>
    <w:p w14:paraId="3C38AE78">
      <w:pPr>
        <w:pStyle w:val="73"/>
        <w:numPr>
          <w:ilvl w:val="2"/>
          <w:numId w:val="0"/>
        </w:numPr>
        <w:bidi w:val="0"/>
        <w:ind w:left="567" w:leftChars="0"/>
        <w:rPr>
          <w:rFonts w:hint="default"/>
        </w:rPr>
      </w:pPr>
    </w:p>
    <w:p w14:paraId="090D0751">
      <w:pPr>
        <w:pStyle w:val="74"/>
        <w:bidi w:val="0"/>
        <w:ind w:left="0" w:leftChars="0" w:firstLine="283" w:firstLineChars="0"/>
        <w:rPr>
          <w:rFonts w:hint="eastAsia"/>
          <w:lang w:val="en-US" w:eastAsia="zh-CN"/>
        </w:rPr>
      </w:pPr>
      <w:r>
        <w:rPr>
          <w:rFonts w:hint="eastAsia"/>
        </w:rPr>
        <w:t>粤康链用药指导工作台</w:t>
      </w:r>
    </w:p>
    <w:p w14:paraId="05980638">
      <w:pPr>
        <w:pStyle w:val="73"/>
        <w:numPr>
          <w:ilvl w:val="2"/>
          <w:numId w:val="0"/>
        </w:numPr>
        <w:ind w:firstLine="420" w:firstLineChars="0"/>
        <w:rPr>
          <w:rFonts w:hint="eastAsia"/>
          <w:lang w:val="en-US" w:eastAsia="zh-CN"/>
        </w:rPr>
      </w:pPr>
      <w:r>
        <w:rPr>
          <w:rFonts w:hint="eastAsia"/>
          <w:lang w:val="en-US" w:eastAsia="zh-CN"/>
        </w:rPr>
        <w:t>建设粤康链用药指导工作台，对接广东省人民医院基于医码链的“药数链”药物使用指导登记系统，利用区块链技术对于自动化用药指导视频生成，使用，分享进行存证索引登记，同时“粤康链”数据服务中台对于数据本身提供二次共享效用，完善链上可信共享生态。</w:t>
      </w:r>
    </w:p>
    <w:p w14:paraId="4D97FA45">
      <w:pPr>
        <w:pStyle w:val="73"/>
        <w:bidi w:val="0"/>
        <w:ind w:left="964" w:leftChars="0" w:hanging="567" w:firstLineChars="0"/>
        <w:rPr>
          <w:rFonts w:hint="default"/>
          <w:lang w:val="en-US" w:eastAsia="zh-CN"/>
        </w:rPr>
      </w:pPr>
      <w:r>
        <w:rPr>
          <w:rFonts w:hint="eastAsia"/>
          <w:lang w:val="en-US" w:eastAsia="zh-CN"/>
        </w:rPr>
        <w:t>对接粤康链用药指导工作台：需生成对应视频并进行上链操作。而粤康链用药指导工作台则提供对应操作的固定区块链载体，完成用药指导视频的流传流程登记。工作台的大致架构内容如下：</w:t>
      </w:r>
    </w:p>
    <w:p w14:paraId="07FE6C8B">
      <w:pPr>
        <w:pStyle w:val="73"/>
        <w:numPr>
          <w:ilvl w:val="2"/>
          <w:numId w:val="0"/>
        </w:numPr>
        <w:bidi w:val="0"/>
        <w:jc w:val="center"/>
      </w:pPr>
      <w:r>
        <w:drawing>
          <wp:inline distT="0" distB="0" distL="114300" distR="114300">
            <wp:extent cx="3975735" cy="1998345"/>
            <wp:effectExtent l="0" t="0" r="571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975735" cy="1998345"/>
                    </a:xfrm>
                    <a:prstGeom prst="rect">
                      <a:avLst/>
                    </a:prstGeom>
                    <a:noFill/>
                    <a:ln>
                      <a:noFill/>
                    </a:ln>
                  </pic:spPr>
                </pic:pic>
              </a:graphicData>
            </a:graphic>
          </wp:inline>
        </w:drawing>
      </w:r>
    </w:p>
    <w:p w14:paraId="50A17DFD">
      <w:pPr>
        <w:pStyle w:val="12"/>
        <w:numPr>
          <w:ilvl w:val="0"/>
          <w:numId w:val="0"/>
        </w:numPr>
        <w:bidi w:val="0"/>
        <w:jc w:val="center"/>
        <w:rPr>
          <w:rFonts w:hint="eastAsia" w:eastAsia="微软雅黑"/>
          <w:lang w:val="en-US" w:eastAsia="zh-CN"/>
        </w:rPr>
      </w:pPr>
      <w:r>
        <w:t xml:space="preserve">图 </w:t>
      </w:r>
      <w:r>
        <w:fldChar w:fldCharType="begin"/>
      </w:r>
      <w:r>
        <w:instrText xml:space="preserve"> SEQ 图 \* ARABIC </w:instrText>
      </w:r>
      <w:r>
        <w:fldChar w:fldCharType="separate"/>
      </w:r>
      <w:r>
        <w:t>5</w:t>
      </w:r>
      <w:r>
        <w:fldChar w:fldCharType="end"/>
      </w:r>
      <w:r>
        <w:rPr>
          <w:rFonts w:hint="eastAsia"/>
          <w:lang w:eastAsia="zh-CN"/>
        </w:rPr>
        <w:t xml:space="preserve"> 基于区块链用药指导工作台架构</w:t>
      </w:r>
    </w:p>
    <w:p w14:paraId="0061AA6A">
      <w:pPr>
        <w:pStyle w:val="73"/>
        <w:bidi w:val="0"/>
        <w:ind w:left="964" w:leftChars="0" w:hanging="567" w:firstLineChars="0"/>
        <w:rPr>
          <w:rFonts w:hint="default"/>
          <w:lang w:val="en-US" w:eastAsia="zh-CN"/>
        </w:rPr>
      </w:pPr>
      <w:r>
        <w:rPr>
          <w:rFonts w:hint="eastAsia"/>
          <w:lang w:val="en-US" w:eastAsia="zh-CN"/>
        </w:rPr>
        <w:t>创建脚本存证：需对接医码链平台的药物脚本上链模块，按照用药指导工作台的接口通信模式，接收包括序号、二维码、医保药品代码、创建时间、更新时间、审核状态、机构名称等的18个数据字段的内容，并按照院方对于数据索引标准化的相关要求，形成供区块链上链的索引，并引导完成数据信息上链，登记药物视频信息脚本的生产过程。</w:t>
      </w:r>
    </w:p>
    <w:p w14:paraId="67AC2A41">
      <w:pPr>
        <w:pStyle w:val="73"/>
        <w:bidi w:val="0"/>
        <w:ind w:left="964" w:leftChars="0" w:hanging="567" w:firstLineChars="0"/>
        <w:rPr>
          <w:rFonts w:hint="default"/>
          <w:lang w:val="en-US" w:eastAsia="zh-CN"/>
        </w:rPr>
      </w:pPr>
      <w:r>
        <w:rPr>
          <w:rFonts w:hint="eastAsia"/>
          <w:lang w:val="en-US" w:eastAsia="zh-CN"/>
        </w:rPr>
        <w:t>创建分布共享存证：需对接医码链平台的视频共享模块，对于数字视频脚本的分享过程，分享人信息等内容进行分布存储校验，并在此基础上形成对等的区块链登记体系，完成基于视频共享的全流程相关信息存证上链登记。包括“药物脚本创建人——药物脚本形成登记——药物脚本多轮共享”的整套数据的可信流转管控。确保数据“可创建，不删改，可稽查”。</w:t>
      </w:r>
    </w:p>
    <w:p w14:paraId="04867B61">
      <w:pPr>
        <w:pStyle w:val="73"/>
        <w:bidi w:val="0"/>
        <w:ind w:left="964" w:leftChars="0" w:hanging="567" w:firstLineChars="0"/>
        <w:rPr>
          <w:rFonts w:hint="default"/>
          <w:lang w:val="en-US" w:eastAsia="zh-CN"/>
        </w:rPr>
      </w:pPr>
      <w:r>
        <w:rPr>
          <w:rFonts w:hint="eastAsia"/>
          <w:lang w:val="en-US" w:eastAsia="zh-CN"/>
        </w:rPr>
        <w:t>完善区块链效益分享算法：需配合院方以及医码链平台的供应商，对于药物指导视频的药物指导上架，分享，利益分配的算法进行完善。配合医码链平台的产出利益分配过程，进行分布式账本存证，指导医码链平台完成收益分配全流程。</w:t>
      </w:r>
    </w:p>
    <w:p w14:paraId="3E0B4736">
      <w:pPr>
        <w:pStyle w:val="73"/>
        <w:numPr>
          <w:ilvl w:val="2"/>
          <w:numId w:val="0"/>
        </w:numPr>
        <w:bidi w:val="0"/>
        <w:ind w:left="567" w:leftChars="0"/>
        <w:rPr>
          <w:rFonts w:hint="default"/>
          <w:lang w:val="en-US" w:eastAsia="zh-CN"/>
        </w:rPr>
      </w:pPr>
    </w:p>
    <w:p w14:paraId="63B01CF0">
      <w:pPr>
        <w:pStyle w:val="74"/>
        <w:bidi w:val="0"/>
        <w:ind w:left="0" w:leftChars="0" w:firstLine="283" w:firstLineChars="0"/>
        <w:rPr>
          <w:rFonts w:hint="default"/>
        </w:rPr>
      </w:pPr>
      <w:r>
        <w:rPr>
          <w:rFonts w:hint="eastAsia"/>
          <w:lang w:val="en-US" w:eastAsia="zh-CN"/>
        </w:rPr>
        <w:t>数据资产登记模块</w:t>
      </w:r>
    </w:p>
    <w:p w14:paraId="7EF75663">
      <w:pPr>
        <w:pStyle w:val="73"/>
        <w:numPr>
          <w:ilvl w:val="2"/>
          <w:numId w:val="0"/>
        </w:numPr>
        <w:bidi w:val="0"/>
        <w:ind w:firstLine="420" w:firstLineChars="0"/>
        <w:rPr>
          <w:rFonts w:hint="default"/>
        </w:rPr>
      </w:pPr>
      <w:r>
        <w:rPr>
          <w:rFonts w:hint="default"/>
        </w:rPr>
        <w:t>结合广东省人民医院信息化基础和医疗健康数据要素发展现状，满足医院医疗健康数据资产管理的实际需求，数据资产管理体系涉及的数据在数据要素流通全生命周期，实现对医疗健康数据的确权、溯源及全链路监管服务，确保医疗健康数据合规使用，提升医疗健康数据的安全性、隐私保护性、可追溯性和可信监管等能力。</w:t>
      </w:r>
      <w:r>
        <w:rPr>
          <w:rFonts w:hint="eastAsia"/>
          <w:lang w:eastAsia="zh-CN"/>
        </w:rPr>
        <w:t>具体</w:t>
      </w:r>
      <w:r>
        <w:rPr>
          <w:rFonts w:hint="eastAsia"/>
          <w:lang w:val="en-US" w:eastAsia="zh-CN"/>
        </w:rPr>
        <w:t>功能需求如下：</w:t>
      </w:r>
    </w:p>
    <w:p w14:paraId="3423AAF9">
      <w:pPr>
        <w:pStyle w:val="73"/>
        <w:bidi w:val="0"/>
        <w:ind w:left="964" w:leftChars="0" w:hanging="567" w:firstLineChars="0"/>
        <w:rPr>
          <w:rFonts w:hint="default"/>
        </w:rPr>
      </w:pPr>
      <w:r>
        <w:rPr>
          <w:rFonts w:hint="default"/>
        </w:rPr>
        <w:t>业务上链流程梳理</w:t>
      </w:r>
      <w:r>
        <w:rPr>
          <w:rFonts w:hint="eastAsia"/>
          <w:lang w:eastAsia="zh-CN"/>
        </w:rPr>
        <w:t>：</w:t>
      </w:r>
      <w:r>
        <w:rPr>
          <w:rFonts w:hint="eastAsia"/>
          <w:lang w:val="en-US" w:eastAsia="zh-CN"/>
        </w:rPr>
        <w:t>需</w:t>
      </w:r>
      <w:r>
        <w:rPr>
          <w:rFonts w:hint="eastAsia"/>
          <w:lang w:eastAsia="zh-CN"/>
        </w:rPr>
        <w:t>对医院内部医疗健康数据的业务现状进行梳理，医院数据要素流通发展的需求，结合各应用系统数据现状，</w:t>
      </w:r>
      <w:r>
        <w:rPr>
          <w:rFonts w:hint="eastAsia"/>
          <w:lang w:val="en-US" w:eastAsia="zh-CN"/>
        </w:rPr>
        <w:t>研发确认</w:t>
      </w:r>
      <w:r>
        <w:rPr>
          <w:rFonts w:hint="eastAsia"/>
          <w:lang w:eastAsia="zh-CN"/>
        </w:rPr>
        <w:t>上链数据类型、上链节点、步骤和上链范围。</w:t>
      </w:r>
    </w:p>
    <w:p w14:paraId="35E14AC4">
      <w:pPr>
        <w:pStyle w:val="73"/>
        <w:bidi w:val="0"/>
        <w:ind w:left="964" w:leftChars="0" w:hanging="567" w:firstLineChars="0"/>
        <w:rPr>
          <w:rFonts w:hint="eastAsia"/>
          <w:lang w:eastAsia="zh-CN"/>
        </w:rPr>
      </w:pPr>
      <w:r>
        <w:rPr>
          <w:rFonts w:hint="default"/>
        </w:rPr>
        <w:t>数据资产登记模块</w:t>
      </w:r>
      <w:r>
        <w:rPr>
          <w:rFonts w:hint="eastAsia"/>
          <w:lang w:val="en-US" w:eastAsia="zh-CN"/>
        </w:rPr>
        <w:t>流程：供应商需按照</w:t>
      </w:r>
      <w:r>
        <w:rPr>
          <w:rFonts w:hint="default"/>
        </w:rPr>
        <w:t>数据资产登记</w:t>
      </w:r>
      <w:r>
        <w:rPr>
          <w:rFonts w:hint="eastAsia"/>
          <w:lang w:val="en-US" w:eastAsia="zh-CN"/>
        </w:rPr>
        <w:t>流程，进行数据资产的存证登记管理。“粤康链”数据资产存证对应的登记流程可参考下图：</w:t>
      </w:r>
    </w:p>
    <w:p w14:paraId="595AF3E9">
      <w:pPr>
        <w:pStyle w:val="73"/>
        <w:numPr>
          <w:ilvl w:val="2"/>
          <w:numId w:val="0"/>
        </w:numPr>
        <w:bidi w:val="0"/>
        <w:jc w:val="center"/>
        <w:rPr>
          <w:rFonts w:hint="eastAsia" w:eastAsia="微软雅黑"/>
          <w:lang w:eastAsia="zh-CN"/>
        </w:rPr>
      </w:pPr>
      <w:r>
        <w:rPr>
          <w:rFonts w:hint="eastAsia" w:eastAsia="微软雅黑"/>
          <w:lang w:eastAsia="zh-CN"/>
        </w:rPr>
        <w:drawing>
          <wp:inline distT="0" distB="0" distL="114300" distR="114300">
            <wp:extent cx="4483735" cy="1658620"/>
            <wp:effectExtent l="0" t="0" r="0" b="17780"/>
            <wp:docPr id="6" name="图片 6" descr="微信图片_2024090208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902083616"/>
                    <pic:cNvPicPr>
                      <a:picLocks noChangeAspect="1"/>
                    </pic:cNvPicPr>
                  </pic:nvPicPr>
                  <pic:blipFill>
                    <a:blip r:embed="rId12"/>
                    <a:srcRect t="15578" r="-2870" b="6489"/>
                    <a:stretch>
                      <a:fillRect/>
                    </a:stretch>
                  </pic:blipFill>
                  <pic:spPr>
                    <a:xfrm>
                      <a:off x="0" y="0"/>
                      <a:ext cx="4483735" cy="1658620"/>
                    </a:xfrm>
                    <a:prstGeom prst="rect">
                      <a:avLst/>
                    </a:prstGeom>
                  </pic:spPr>
                </pic:pic>
              </a:graphicData>
            </a:graphic>
          </wp:inline>
        </w:drawing>
      </w:r>
    </w:p>
    <w:p w14:paraId="7FB9B024">
      <w:pPr>
        <w:pStyle w:val="12"/>
        <w:numPr>
          <w:ilvl w:val="0"/>
          <w:numId w:val="0"/>
        </w:numPr>
        <w:bidi w:val="0"/>
        <w:jc w:val="center"/>
        <w:rPr>
          <w:rFonts w:hint="default" w:eastAsia="微软雅黑"/>
          <w:lang w:val="en-US" w:eastAsia="zh-CN"/>
        </w:rPr>
      </w:pPr>
      <w:r>
        <w:t xml:space="preserve">图 </w:t>
      </w:r>
      <w:r>
        <w:fldChar w:fldCharType="begin"/>
      </w:r>
      <w:r>
        <w:instrText xml:space="preserve"> SEQ 图 \* ARABIC </w:instrText>
      </w:r>
      <w:r>
        <w:fldChar w:fldCharType="separate"/>
      </w:r>
      <w:r>
        <w:t>6</w:t>
      </w:r>
      <w:r>
        <w:fldChar w:fldCharType="end"/>
      </w:r>
      <w:r>
        <w:rPr>
          <w:rFonts w:hint="eastAsia"/>
          <w:lang w:eastAsia="zh-CN"/>
        </w:rPr>
        <w:t xml:space="preserve"> 数据资产登记模块流程</w:t>
      </w:r>
      <w:r>
        <w:rPr>
          <w:rFonts w:hint="eastAsia"/>
          <w:lang w:val="en-US" w:eastAsia="zh-CN"/>
        </w:rPr>
        <w:t>参考</w:t>
      </w:r>
    </w:p>
    <w:p w14:paraId="3C212F94">
      <w:pPr>
        <w:pStyle w:val="73"/>
        <w:bidi w:val="0"/>
        <w:ind w:left="964" w:leftChars="0" w:hanging="567" w:firstLineChars="0"/>
        <w:rPr>
          <w:rFonts w:hint="default"/>
        </w:rPr>
      </w:pPr>
      <w:r>
        <w:rPr>
          <w:rFonts w:hint="default"/>
        </w:rPr>
        <w:t>元数据变更溯源</w:t>
      </w:r>
      <w:r>
        <w:rPr>
          <w:rFonts w:hint="eastAsia"/>
          <w:lang w:eastAsia="zh-CN"/>
        </w:rPr>
        <w:t>：</w:t>
      </w:r>
      <w:r>
        <w:rPr>
          <w:rFonts w:hint="eastAsia"/>
          <w:lang w:val="en-US" w:eastAsia="zh-CN"/>
        </w:rPr>
        <w:t>需</w:t>
      </w:r>
      <w:r>
        <w:rPr>
          <w:rFonts w:hint="default"/>
        </w:rPr>
        <w:t>提供元数据的可信追踪能力，确保医院数据资产管理全流程的数据完整性、不可篡改性和保证数据质量。元数据可信追踪通提供元数据采集和管理过程的追踪链路，直观展示元数据采集操作人员、时间、节点等详细信息，实现可信监管的目的，同时基于元数据确权证书，提供元数据管理可靠溯源认证能力。（需提供元数据可信追踪链路及元数据确权证书截图）</w:t>
      </w:r>
    </w:p>
    <w:p w14:paraId="6370C965">
      <w:pPr>
        <w:pStyle w:val="73"/>
        <w:bidi w:val="0"/>
        <w:ind w:left="964" w:leftChars="0" w:hanging="567" w:firstLineChars="0"/>
        <w:rPr>
          <w:rFonts w:hint="default"/>
        </w:rPr>
      </w:pPr>
      <w:r>
        <w:rPr>
          <w:rFonts w:hint="default"/>
        </w:rPr>
        <w:t>数据血缘映射管理</w:t>
      </w:r>
      <w:r>
        <w:rPr>
          <w:rFonts w:hint="eastAsia"/>
          <w:lang w:eastAsia="zh-CN"/>
        </w:rPr>
        <w:t>：</w:t>
      </w:r>
      <w:r>
        <w:rPr>
          <w:rFonts w:hint="eastAsia"/>
          <w:lang w:val="en-US" w:eastAsia="zh-CN"/>
        </w:rPr>
        <w:t>需</w:t>
      </w:r>
      <w:r>
        <w:rPr>
          <w:rFonts w:hint="eastAsia"/>
          <w:lang w:eastAsia="zh-CN"/>
        </w:rPr>
        <w:t>提供数据血缘关系映射管理服务，并可查看数据血缘关系。通过跟踪和记录血缘关系，进一步辅助数据源追溯，实现数据的可追踪性、数据血缘的验真性。（需提供数据血缘映射功能截图）</w:t>
      </w:r>
    </w:p>
    <w:p w14:paraId="799551CF">
      <w:pPr>
        <w:pStyle w:val="73"/>
        <w:bidi w:val="0"/>
        <w:ind w:left="964" w:leftChars="0" w:hanging="567" w:firstLineChars="0"/>
        <w:rPr>
          <w:rFonts w:hint="default"/>
        </w:rPr>
      </w:pPr>
      <w:r>
        <w:rPr>
          <w:rFonts w:hint="eastAsia"/>
          <w:lang w:val="en-US" w:eastAsia="zh-CN"/>
        </w:rPr>
        <w:t>数据开发可信追踪管理：需</w:t>
      </w:r>
      <w:r>
        <w:rPr>
          <w:rFonts w:hint="default"/>
        </w:rPr>
        <w:t>结合医院数据资产管理流程，对数据同步过程进行可信监管。通过将数据同步的时间戳、状态、结果进行可信监管，确保数据的一致性，提高数据的透明性和数据质量。通过数据同步监管服务，提供监管链路，展示数据同步时间、操作节点、人员等相关信息，为医院数据资产管理提供可信基础能力。（需提供数据同步监管链路截图）</w:t>
      </w:r>
    </w:p>
    <w:p w14:paraId="2E6570D5">
      <w:pPr>
        <w:pStyle w:val="73"/>
        <w:bidi w:val="0"/>
        <w:ind w:left="964" w:leftChars="0" w:hanging="567" w:firstLineChars="0"/>
        <w:rPr>
          <w:rFonts w:hint="default"/>
        </w:rPr>
      </w:pPr>
      <w:r>
        <w:rPr>
          <w:rFonts w:hint="default"/>
        </w:rPr>
        <w:t>数据产品流通和交付监管</w:t>
      </w:r>
      <w:r>
        <w:rPr>
          <w:rFonts w:hint="eastAsia"/>
          <w:lang w:eastAsia="zh-CN"/>
        </w:rPr>
        <w:t>：</w:t>
      </w:r>
      <w:r>
        <w:rPr>
          <w:rFonts w:hint="eastAsia"/>
          <w:lang w:val="en-US" w:eastAsia="zh-CN"/>
        </w:rPr>
        <w:t>需</w:t>
      </w:r>
      <w:r>
        <w:rPr>
          <w:rFonts w:hint="eastAsia"/>
          <w:lang w:eastAsia="zh-CN"/>
        </w:rPr>
        <w:t>针对数据产品流通和交付环节，实现数据产品网络链接、溯源路径记录和查询清晰、可按数据的标识查询数据的使用和流转情况的可信监管，保障医院数据产品流通和交付环节，从防篡改、数据确权、安全传输、信息隐私保护等多方面实现面向数据应用需求方的安全交付。</w:t>
      </w:r>
    </w:p>
    <w:p w14:paraId="71978BF5">
      <w:pPr>
        <w:pStyle w:val="73"/>
        <w:numPr>
          <w:ilvl w:val="2"/>
          <w:numId w:val="0"/>
        </w:numPr>
        <w:bidi w:val="0"/>
        <w:ind w:left="567" w:leftChars="0"/>
        <w:rPr>
          <w:rFonts w:hint="default"/>
        </w:rPr>
      </w:pPr>
    </w:p>
    <w:p w14:paraId="039A4329">
      <w:pPr>
        <w:pStyle w:val="74"/>
        <w:bidi w:val="0"/>
        <w:ind w:left="0" w:leftChars="0" w:firstLine="283" w:firstLineChars="0"/>
        <w:rPr>
          <w:rFonts w:hint="default"/>
        </w:rPr>
      </w:pPr>
      <w:r>
        <w:rPr>
          <w:rFonts w:hint="eastAsia"/>
        </w:rPr>
        <w:t>科研痕迹稽查模块</w:t>
      </w:r>
    </w:p>
    <w:p w14:paraId="34A75218">
      <w:pPr>
        <w:pStyle w:val="73"/>
        <w:numPr>
          <w:ilvl w:val="2"/>
          <w:numId w:val="0"/>
        </w:numPr>
        <w:bidi w:val="0"/>
        <w:ind w:firstLine="420" w:firstLineChars="0"/>
        <w:rPr>
          <w:rFonts w:hint="default"/>
          <w:lang w:val="en-US" w:eastAsia="zh-CN"/>
        </w:rPr>
      </w:pPr>
      <w:r>
        <w:rPr>
          <w:rFonts w:hint="eastAsia"/>
          <w:lang w:val="en-US" w:eastAsia="zh-CN"/>
        </w:rPr>
        <w:t>结合广东省人民医院科研诚信事前监管系统，构建基于科研诚信的事前监管体系。对接“粤康链”数据服务中台与科研诚信事前监管系统，构建科研痕迹稽查模块</w:t>
      </w:r>
    </w:p>
    <w:p w14:paraId="370DF0D7">
      <w:pPr>
        <w:pStyle w:val="73"/>
        <w:bidi w:val="0"/>
        <w:ind w:left="964" w:leftChars="0" w:hanging="567" w:firstLineChars="0"/>
        <w:rPr>
          <w:rFonts w:hint="default"/>
        </w:rPr>
      </w:pPr>
      <w:r>
        <w:rPr>
          <w:rFonts w:hint="eastAsia"/>
          <w:lang w:val="en-US" w:eastAsia="zh-CN"/>
        </w:rPr>
        <w:t>科研诚信事前监管系统对接：科研诚信事前监管系统按照“粤康链”数据中台中的“数据索引”格式，形成相应接口，遵循“粤康链”数据中台的上链规则，进行流通文本的协议存储。</w:t>
      </w:r>
    </w:p>
    <w:p w14:paraId="455B95A4">
      <w:pPr>
        <w:pStyle w:val="73"/>
        <w:bidi w:val="0"/>
        <w:ind w:left="964" w:leftChars="0" w:hanging="567" w:firstLineChars="0"/>
        <w:rPr>
          <w:rFonts w:hint="default"/>
        </w:rPr>
      </w:pPr>
      <w:r>
        <w:rPr>
          <w:rFonts w:hint="eastAsia"/>
          <w:lang w:val="en-US" w:eastAsia="zh-CN"/>
        </w:rPr>
        <w:t>科研痕迹稽查模块登记路径：科研诚信系统主要实现实验数据的自动采集，提供数据管理功能。“粤康链”数据服务中台对接后，通过对数据区块链加密，保证原始数据的溯源能力，完成科研痕迹自动收集上链。数据自动采集后自动区块链加密，一旦数据在数据流转的过程中进行了篡改，区块链密钥就会发生变化，实现数据鉴真，数据自动上链、存证、鉴真、溯源，原始实验数据的不可篡改。</w:t>
      </w:r>
    </w:p>
    <w:p w14:paraId="1DCF2355">
      <w:pPr>
        <w:pStyle w:val="73"/>
        <w:numPr>
          <w:ilvl w:val="2"/>
          <w:numId w:val="0"/>
        </w:numPr>
        <w:bidi w:val="0"/>
        <w:ind w:left="567" w:leftChars="0"/>
        <w:jc w:val="center"/>
      </w:pPr>
      <w:r>
        <w:drawing>
          <wp:inline distT="0" distB="0" distL="114300" distR="114300">
            <wp:extent cx="3973830" cy="2231390"/>
            <wp:effectExtent l="0" t="0" r="7620" b="16510"/>
            <wp:docPr id="7"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图片1"/>
                    <pic:cNvPicPr>
                      <a:picLocks noChangeAspect="1"/>
                    </pic:cNvPicPr>
                  </pic:nvPicPr>
                  <pic:blipFill>
                    <a:blip r:embed="rId13"/>
                    <a:stretch>
                      <a:fillRect/>
                    </a:stretch>
                  </pic:blipFill>
                  <pic:spPr>
                    <a:xfrm>
                      <a:off x="0" y="0"/>
                      <a:ext cx="3973830" cy="2231390"/>
                    </a:xfrm>
                    <a:prstGeom prst="rect">
                      <a:avLst/>
                    </a:prstGeom>
                  </pic:spPr>
                </pic:pic>
              </a:graphicData>
            </a:graphic>
          </wp:inline>
        </w:drawing>
      </w:r>
    </w:p>
    <w:p w14:paraId="472F761F">
      <w:pPr>
        <w:pStyle w:val="12"/>
        <w:numPr>
          <w:ilvl w:val="0"/>
          <w:numId w:val="0"/>
        </w:numPr>
        <w:bidi w:val="0"/>
        <w:ind w:left="567" w:leftChars="0"/>
        <w:jc w:val="center"/>
        <w:rPr>
          <w:rFonts w:hint="default"/>
        </w:rPr>
      </w:pPr>
      <w:r>
        <w:t xml:space="preserve">图 </w:t>
      </w:r>
      <w:r>
        <w:fldChar w:fldCharType="begin"/>
      </w:r>
      <w:r>
        <w:instrText xml:space="preserve"> SEQ 图 \* ARABIC </w:instrText>
      </w:r>
      <w:r>
        <w:fldChar w:fldCharType="separate"/>
      </w:r>
      <w:r>
        <w:t>7</w:t>
      </w:r>
      <w:r>
        <w:fldChar w:fldCharType="end"/>
      </w:r>
      <w:r>
        <w:rPr>
          <w:rFonts w:hint="eastAsia"/>
          <w:lang w:eastAsia="zh-CN"/>
        </w:rPr>
        <w:t xml:space="preserve"> 科研痕迹稽查模块登记路径</w:t>
      </w:r>
    </w:p>
    <w:p w14:paraId="6CCC70F6">
      <w:pPr>
        <w:pStyle w:val="73"/>
        <w:bidi w:val="0"/>
        <w:ind w:left="964" w:leftChars="0" w:hanging="567" w:firstLineChars="0"/>
        <w:rPr>
          <w:rFonts w:hint="default"/>
        </w:rPr>
      </w:pPr>
      <w:r>
        <w:rPr>
          <w:rFonts w:hint="eastAsia"/>
          <w:lang w:val="en-US" w:eastAsia="zh-CN"/>
        </w:rPr>
        <w:t>科研诚信痕迹数据上链存证：需按照院方要求对于科研痕迹相关数据进行对接分布式存储，科研痕迹稽查模块中形成上链索引的信息参考如下：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89"/>
        <w:gridCol w:w="1840"/>
        <w:gridCol w:w="3475"/>
      </w:tblGrid>
      <w:tr w14:paraId="4AC1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bottom w:val="single" w:color="DDDDDD" w:sz="4" w:space="0"/>
              <w:right w:val="single" w:color="DDDDDD" w:sz="4" w:space="0"/>
            </w:tcBorders>
            <w:shd w:val="clear" w:color="auto" w:fill="3A3A3A"/>
          </w:tcPr>
          <w:p w14:paraId="2DD659CF">
            <w:pPr>
              <w:pStyle w:val="73"/>
              <w:numPr>
                <w:ilvl w:val="2"/>
                <w:numId w:val="0"/>
              </w:numPr>
              <w:bidi w:val="0"/>
              <w:jc w:val="center"/>
              <w:rPr>
                <w:rFonts w:hint="eastAsia"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序号</w:t>
            </w:r>
          </w:p>
        </w:tc>
        <w:tc>
          <w:tcPr>
            <w:tcW w:w="1389" w:type="dxa"/>
            <w:tcBorders>
              <w:left w:val="single" w:color="DDDDDD" w:sz="4" w:space="0"/>
              <w:bottom w:val="single" w:color="DDDDDD" w:sz="4" w:space="0"/>
              <w:right w:val="single" w:color="DDDDDD" w:sz="4" w:space="0"/>
            </w:tcBorders>
            <w:shd w:val="clear" w:color="auto" w:fill="3A3A3A"/>
          </w:tcPr>
          <w:p w14:paraId="4BD6533F">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数据属性分类</w:t>
            </w:r>
          </w:p>
        </w:tc>
        <w:tc>
          <w:tcPr>
            <w:tcW w:w="1840" w:type="dxa"/>
            <w:tcBorders>
              <w:left w:val="single" w:color="DDDDDD" w:sz="4" w:space="0"/>
              <w:bottom w:val="single" w:color="DDDDDD" w:sz="4" w:space="0"/>
              <w:right w:val="single" w:color="DDDDDD" w:sz="4" w:space="0"/>
            </w:tcBorders>
            <w:shd w:val="clear" w:color="auto" w:fill="3A3A3A"/>
          </w:tcPr>
          <w:p w14:paraId="0D399EC4">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数据采集源</w:t>
            </w:r>
          </w:p>
        </w:tc>
        <w:tc>
          <w:tcPr>
            <w:tcW w:w="3475" w:type="dxa"/>
            <w:tcBorders>
              <w:left w:val="single" w:color="DDDDDD" w:sz="4" w:space="0"/>
              <w:bottom w:val="single" w:color="DDDDDD" w:sz="4" w:space="0"/>
            </w:tcBorders>
            <w:shd w:val="clear" w:color="auto" w:fill="3A3A3A"/>
          </w:tcPr>
          <w:p w14:paraId="432D77E3">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上链数据项目</w:t>
            </w:r>
          </w:p>
        </w:tc>
      </w:tr>
      <w:tr w14:paraId="70E1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45EEA054">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1</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51F24CA7">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人员数据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010999D7">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临床科研管理系统</w:t>
            </w:r>
          </w:p>
        </w:tc>
        <w:tc>
          <w:tcPr>
            <w:tcW w:w="3475" w:type="dxa"/>
            <w:tcBorders>
              <w:top w:val="single" w:color="DDDDDD" w:sz="4" w:space="0"/>
              <w:left w:val="single" w:color="DDDDDD" w:sz="4" w:space="0"/>
              <w:bottom w:val="single" w:color="DDDDDD" w:sz="4" w:space="0"/>
            </w:tcBorders>
            <w:shd w:val="clear" w:color="auto" w:fill="FFFFFF"/>
          </w:tcPr>
          <w:p w14:paraId="7680397C">
            <w:pPr>
              <w:pStyle w:val="73"/>
              <w:numPr>
                <w:ilvl w:val="2"/>
                <w:numId w:val="0"/>
              </w:numPr>
              <w:bidi w:val="0"/>
              <w:rPr>
                <w:rFonts w:hint="default"/>
                <w:color w:val="000000"/>
                <w:vertAlign w:val="baseline"/>
              </w:rPr>
            </w:pPr>
            <w:r>
              <w:rPr>
                <w:rFonts w:hint="default"/>
                <w:color w:val="000000"/>
                <w:vertAlign w:val="baseline"/>
              </w:rPr>
              <w:t>身份信息/</w:t>
            </w:r>
            <w:r>
              <w:rPr>
                <w:rFonts w:hint="eastAsia"/>
                <w:color w:val="000000"/>
                <w:vertAlign w:val="baseline"/>
                <w:lang w:val="en-US" w:eastAsia="zh-CN"/>
              </w:rPr>
              <w:t>课题</w:t>
            </w:r>
            <w:r>
              <w:rPr>
                <w:rFonts w:hint="default"/>
                <w:color w:val="000000"/>
                <w:vertAlign w:val="baseline"/>
              </w:rPr>
              <w:t>组/项目名称</w:t>
            </w:r>
          </w:p>
        </w:tc>
      </w:tr>
      <w:tr w14:paraId="5690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194003BA">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2</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58CC9A5F">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环境数据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6D6A2ED1">
            <w:pPr>
              <w:pStyle w:val="73"/>
              <w:numPr>
                <w:ilvl w:val="2"/>
                <w:numId w:val="0"/>
              </w:numPr>
              <w:bidi w:val="0"/>
              <w:jc w:val="center"/>
              <w:rPr>
                <w:rFonts w:hint="default"/>
                <w:color w:val="000000"/>
                <w:vertAlign w:val="baseline"/>
              </w:rPr>
            </w:pPr>
            <w:r>
              <w:rPr>
                <w:rFonts w:hint="default"/>
                <w:color w:val="000000"/>
                <w:vertAlign w:val="baseline"/>
              </w:rPr>
              <w:t>环境监测系统</w:t>
            </w:r>
          </w:p>
        </w:tc>
        <w:tc>
          <w:tcPr>
            <w:tcW w:w="3475" w:type="dxa"/>
            <w:tcBorders>
              <w:top w:val="single" w:color="DDDDDD" w:sz="4" w:space="0"/>
              <w:left w:val="single" w:color="DDDDDD" w:sz="4" w:space="0"/>
              <w:bottom w:val="single" w:color="DDDDDD" w:sz="4" w:space="0"/>
            </w:tcBorders>
            <w:shd w:val="clear" w:color="auto" w:fill="FFFFFF"/>
          </w:tcPr>
          <w:p w14:paraId="0CEEF9E4">
            <w:pPr>
              <w:pStyle w:val="73"/>
              <w:numPr>
                <w:ilvl w:val="2"/>
                <w:numId w:val="0"/>
              </w:numPr>
              <w:bidi w:val="0"/>
              <w:rPr>
                <w:rFonts w:hint="default"/>
                <w:color w:val="000000"/>
                <w:vertAlign w:val="baseline"/>
              </w:rPr>
            </w:pPr>
            <w:r>
              <w:rPr>
                <w:rFonts w:hint="default"/>
                <w:color w:val="000000"/>
                <w:vertAlign w:val="baseline"/>
              </w:rPr>
              <w:t>温度/湿度/洁净度/房间信息/经纬度</w:t>
            </w:r>
          </w:p>
        </w:tc>
      </w:tr>
      <w:tr w14:paraId="42BB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77291647">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3</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608BA774">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耗材数据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53F5B044">
            <w:pPr>
              <w:pStyle w:val="73"/>
              <w:numPr>
                <w:ilvl w:val="2"/>
                <w:numId w:val="0"/>
              </w:numPr>
              <w:bidi w:val="0"/>
              <w:jc w:val="center"/>
              <w:rPr>
                <w:rFonts w:hint="default"/>
                <w:color w:val="000000"/>
                <w:vertAlign w:val="baseline"/>
              </w:rPr>
            </w:pPr>
            <w:r>
              <w:rPr>
                <w:rFonts w:hint="default"/>
                <w:color w:val="000000"/>
                <w:vertAlign w:val="baseline"/>
              </w:rPr>
              <w:t>试剂耗材系统</w:t>
            </w:r>
          </w:p>
        </w:tc>
        <w:tc>
          <w:tcPr>
            <w:tcW w:w="3475" w:type="dxa"/>
            <w:tcBorders>
              <w:top w:val="single" w:color="DDDDDD" w:sz="4" w:space="0"/>
              <w:left w:val="single" w:color="DDDDDD" w:sz="4" w:space="0"/>
              <w:bottom w:val="single" w:color="DDDDDD" w:sz="4" w:space="0"/>
            </w:tcBorders>
            <w:shd w:val="clear" w:color="auto" w:fill="FFFFFF"/>
          </w:tcPr>
          <w:p w14:paraId="62D7DD9B">
            <w:pPr>
              <w:pStyle w:val="73"/>
              <w:numPr>
                <w:ilvl w:val="2"/>
                <w:numId w:val="0"/>
              </w:numPr>
              <w:bidi w:val="0"/>
              <w:rPr>
                <w:rFonts w:hint="default"/>
                <w:color w:val="000000"/>
                <w:vertAlign w:val="baseline"/>
              </w:rPr>
            </w:pPr>
            <w:r>
              <w:rPr>
                <w:rFonts w:hint="default"/>
                <w:color w:val="000000"/>
                <w:vertAlign w:val="baseline"/>
              </w:rPr>
              <w:t>耗材品牌/规格型号/用量</w:t>
            </w:r>
          </w:p>
        </w:tc>
      </w:tr>
      <w:tr w14:paraId="2C26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2A796ADF">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4</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23E01310">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过程数据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263FCB2F">
            <w:pPr>
              <w:pStyle w:val="73"/>
              <w:numPr>
                <w:ilvl w:val="2"/>
                <w:numId w:val="0"/>
              </w:numPr>
              <w:bidi w:val="0"/>
              <w:jc w:val="center"/>
              <w:rPr>
                <w:rFonts w:hint="default"/>
                <w:color w:val="000000"/>
                <w:vertAlign w:val="baseline"/>
              </w:rPr>
            </w:pPr>
            <w:r>
              <w:rPr>
                <w:rFonts w:hint="default"/>
                <w:color w:val="000000"/>
                <w:vertAlign w:val="baseline"/>
              </w:rPr>
              <w:t>实验辅助系统</w:t>
            </w:r>
          </w:p>
        </w:tc>
        <w:tc>
          <w:tcPr>
            <w:tcW w:w="3475" w:type="dxa"/>
            <w:tcBorders>
              <w:top w:val="single" w:color="DDDDDD" w:sz="4" w:space="0"/>
              <w:left w:val="single" w:color="DDDDDD" w:sz="4" w:space="0"/>
              <w:bottom w:val="single" w:color="DDDDDD" w:sz="4" w:space="0"/>
            </w:tcBorders>
            <w:shd w:val="clear" w:color="auto" w:fill="FFFFFF"/>
          </w:tcPr>
          <w:p w14:paraId="2F77F95A">
            <w:pPr>
              <w:pStyle w:val="73"/>
              <w:numPr>
                <w:ilvl w:val="2"/>
                <w:numId w:val="0"/>
              </w:numPr>
              <w:bidi w:val="0"/>
              <w:rPr>
                <w:rFonts w:hint="default"/>
                <w:color w:val="000000"/>
                <w:vertAlign w:val="baseline"/>
              </w:rPr>
            </w:pPr>
            <w:r>
              <w:rPr>
                <w:rFonts w:hint="default"/>
                <w:color w:val="000000"/>
                <w:vertAlign w:val="baseline"/>
              </w:rPr>
              <w:t>实验方法/实验步骤</w:t>
            </w:r>
          </w:p>
        </w:tc>
      </w:tr>
      <w:tr w14:paraId="726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0CF20E01">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5</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661A8E6C">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样本数据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4838E482">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样本管理系统</w:t>
            </w:r>
          </w:p>
        </w:tc>
        <w:tc>
          <w:tcPr>
            <w:tcW w:w="3475" w:type="dxa"/>
            <w:tcBorders>
              <w:top w:val="single" w:color="DDDDDD" w:sz="4" w:space="0"/>
              <w:left w:val="single" w:color="DDDDDD" w:sz="4" w:space="0"/>
              <w:bottom w:val="single" w:color="DDDDDD" w:sz="4" w:space="0"/>
            </w:tcBorders>
            <w:shd w:val="clear" w:color="auto" w:fill="FFFFFF"/>
          </w:tcPr>
          <w:p w14:paraId="272AD4D1">
            <w:pPr>
              <w:pStyle w:val="73"/>
              <w:numPr>
                <w:ilvl w:val="2"/>
                <w:numId w:val="0"/>
              </w:numPr>
              <w:bidi w:val="0"/>
              <w:rPr>
                <w:rFonts w:hint="default"/>
                <w:color w:val="000000"/>
                <w:vertAlign w:val="baseline"/>
              </w:rPr>
            </w:pPr>
            <w:r>
              <w:rPr>
                <w:rFonts w:hint="default"/>
                <w:color w:val="000000"/>
                <w:vertAlign w:val="baseline"/>
              </w:rPr>
              <w:t>样本名称/样本编号</w:t>
            </w:r>
          </w:p>
        </w:tc>
      </w:tr>
      <w:tr w14:paraId="1ADC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4E51196E">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6</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280E67D1">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成果数据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0C085E8D">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RDD管理系统</w:t>
            </w:r>
          </w:p>
        </w:tc>
        <w:tc>
          <w:tcPr>
            <w:tcW w:w="3475" w:type="dxa"/>
            <w:tcBorders>
              <w:top w:val="single" w:color="DDDDDD" w:sz="4" w:space="0"/>
              <w:left w:val="single" w:color="DDDDDD" w:sz="4" w:space="0"/>
              <w:bottom w:val="single" w:color="DDDDDD" w:sz="4" w:space="0"/>
            </w:tcBorders>
            <w:shd w:val="clear" w:color="auto" w:fill="FFFFFF"/>
          </w:tcPr>
          <w:p w14:paraId="1914124E">
            <w:pPr>
              <w:pStyle w:val="73"/>
              <w:numPr>
                <w:ilvl w:val="2"/>
                <w:numId w:val="0"/>
              </w:numPr>
              <w:bidi w:val="0"/>
              <w:rPr>
                <w:rFonts w:hint="default" w:eastAsia="微软雅黑"/>
                <w:color w:val="000000"/>
                <w:vertAlign w:val="baseline"/>
                <w:lang w:val="en-US" w:eastAsia="zh-CN"/>
              </w:rPr>
            </w:pPr>
            <w:r>
              <w:rPr>
                <w:rFonts w:hint="default"/>
                <w:color w:val="000000"/>
                <w:vertAlign w:val="baseline"/>
              </w:rPr>
              <w:t>论文名称/发表期刊号</w:t>
            </w:r>
            <w:r>
              <w:rPr>
                <w:rFonts w:hint="eastAsia"/>
                <w:color w:val="000000"/>
                <w:vertAlign w:val="baseline"/>
                <w:lang w:val="en-US" w:eastAsia="zh-CN"/>
              </w:rPr>
              <w:t>/RDD编号</w:t>
            </w:r>
          </w:p>
        </w:tc>
      </w:tr>
      <w:tr w14:paraId="726B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bottom w:val="single" w:color="DDDDDD" w:sz="4" w:space="0"/>
              <w:right w:val="single" w:color="DDDDDD" w:sz="4" w:space="0"/>
            </w:tcBorders>
            <w:shd w:val="clear" w:color="auto" w:fill="FFFFFF"/>
          </w:tcPr>
          <w:p w14:paraId="43DF8944">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7</w:t>
            </w:r>
          </w:p>
        </w:tc>
        <w:tc>
          <w:tcPr>
            <w:tcW w:w="1389" w:type="dxa"/>
            <w:tcBorders>
              <w:top w:val="single" w:color="DDDDDD" w:sz="4" w:space="0"/>
              <w:left w:val="single" w:color="DDDDDD" w:sz="4" w:space="0"/>
              <w:bottom w:val="single" w:color="DDDDDD" w:sz="4" w:space="0"/>
              <w:right w:val="single" w:color="DDDDDD" w:sz="4" w:space="0"/>
            </w:tcBorders>
            <w:shd w:val="clear" w:color="auto" w:fill="FFFFFF"/>
          </w:tcPr>
          <w:p w14:paraId="00A41DE0">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设备数据</w:t>
            </w:r>
          </w:p>
        </w:tc>
        <w:tc>
          <w:tcPr>
            <w:tcW w:w="1840" w:type="dxa"/>
            <w:tcBorders>
              <w:top w:val="single" w:color="DDDDDD" w:sz="4" w:space="0"/>
              <w:left w:val="single" w:color="DDDDDD" w:sz="4" w:space="0"/>
              <w:bottom w:val="single" w:color="DDDDDD" w:sz="4" w:space="0"/>
              <w:right w:val="single" w:color="DDDDDD" w:sz="4" w:space="0"/>
            </w:tcBorders>
            <w:shd w:val="clear" w:color="auto" w:fill="FFFFFF"/>
          </w:tcPr>
          <w:p w14:paraId="15A901AF">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设备管理系统</w:t>
            </w:r>
          </w:p>
        </w:tc>
        <w:tc>
          <w:tcPr>
            <w:tcW w:w="3475" w:type="dxa"/>
            <w:tcBorders>
              <w:top w:val="single" w:color="DDDDDD" w:sz="4" w:space="0"/>
              <w:left w:val="single" w:color="DDDDDD" w:sz="4" w:space="0"/>
              <w:bottom w:val="single" w:color="DDDDDD" w:sz="4" w:space="0"/>
            </w:tcBorders>
            <w:shd w:val="clear" w:color="auto" w:fill="FFFFFF"/>
          </w:tcPr>
          <w:p w14:paraId="52C1AB08">
            <w:pPr>
              <w:pStyle w:val="73"/>
              <w:numPr>
                <w:ilvl w:val="2"/>
                <w:numId w:val="0"/>
              </w:numPr>
              <w:bidi w:val="0"/>
              <w:rPr>
                <w:rFonts w:hint="default"/>
                <w:color w:val="000000"/>
                <w:vertAlign w:val="baseline"/>
              </w:rPr>
            </w:pPr>
            <w:r>
              <w:rPr>
                <w:rFonts w:hint="default"/>
                <w:color w:val="000000"/>
                <w:vertAlign w:val="baseline"/>
              </w:rPr>
              <w:t>设备编号/使用身份/开始时间/结束时间</w:t>
            </w:r>
          </w:p>
        </w:tc>
      </w:tr>
      <w:tr w14:paraId="4C99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DDDDDD" w:sz="4" w:space="0"/>
              <w:right w:val="single" w:color="DDDDDD" w:sz="4" w:space="0"/>
            </w:tcBorders>
            <w:shd w:val="clear" w:color="auto" w:fill="FFFFFF"/>
          </w:tcPr>
          <w:p w14:paraId="544B0076">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8</w:t>
            </w:r>
          </w:p>
        </w:tc>
        <w:tc>
          <w:tcPr>
            <w:tcW w:w="1389" w:type="dxa"/>
            <w:tcBorders>
              <w:top w:val="single" w:color="DDDDDD" w:sz="4" w:space="0"/>
              <w:left w:val="single" w:color="DDDDDD" w:sz="4" w:space="0"/>
              <w:right w:val="single" w:color="DDDDDD" w:sz="4" w:space="0"/>
            </w:tcBorders>
            <w:shd w:val="clear" w:color="auto" w:fill="FFFFFF"/>
            <w:vAlign w:val="top"/>
          </w:tcPr>
          <w:p w14:paraId="2EB9802D">
            <w:pPr>
              <w:pStyle w:val="73"/>
              <w:numPr>
                <w:ilvl w:val="2"/>
                <w:numId w:val="0"/>
              </w:numPr>
              <w:bidi w:val="0"/>
              <w:ind w:left="0" w:leftChars="0" w:firstLine="0" w:firstLineChars="0"/>
              <w:jc w:val="center"/>
              <w:rPr>
                <w:rFonts w:hint="eastAsia"/>
                <w:color w:val="000000"/>
                <w:vertAlign w:val="baseline"/>
                <w:lang w:val="en-US" w:eastAsia="zh-CN"/>
              </w:rPr>
            </w:pPr>
            <w:r>
              <w:rPr>
                <w:rFonts w:hint="eastAsia"/>
                <w:color w:val="000000"/>
                <w:vertAlign w:val="baseline"/>
                <w:lang w:val="en-US" w:eastAsia="zh-CN"/>
              </w:rPr>
              <w:t>其它数据</w:t>
            </w:r>
          </w:p>
        </w:tc>
        <w:tc>
          <w:tcPr>
            <w:tcW w:w="1840" w:type="dxa"/>
            <w:tcBorders>
              <w:top w:val="single" w:color="DDDDDD" w:sz="4" w:space="0"/>
              <w:left w:val="single" w:color="DDDDDD" w:sz="4" w:space="0"/>
              <w:right w:val="single" w:color="DDDDDD" w:sz="4" w:space="0"/>
            </w:tcBorders>
            <w:shd w:val="clear" w:color="auto" w:fill="FFFFFF"/>
            <w:vAlign w:val="top"/>
          </w:tcPr>
          <w:p w14:paraId="54237468">
            <w:pPr>
              <w:pStyle w:val="73"/>
              <w:numPr>
                <w:ilvl w:val="2"/>
                <w:numId w:val="0"/>
              </w:numPr>
              <w:bidi w:val="0"/>
              <w:ind w:left="0" w:leftChars="0" w:firstLine="0" w:firstLineChars="0"/>
              <w:jc w:val="center"/>
              <w:rPr>
                <w:rFonts w:hint="eastAsia"/>
                <w:color w:val="000000"/>
                <w:vertAlign w:val="baseline"/>
                <w:lang w:val="en-US" w:eastAsia="zh-CN"/>
              </w:rPr>
            </w:pPr>
            <w:r>
              <w:rPr>
                <w:rFonts w:hint="eastAsia"/>
                <w:color w:val="000000"/>
                <w:vertAlign w:val="baseline"/>
                <w:lang w:val="en-US" w:eastAsia="zh-CN"/>
              </w:rPr>
              <w:t>“粤康链”数据中台</w:t>
            </w:r>
          </w:p>
        </w:tc>
        <w:tc>
          <w:tcPr>
            <w:tcW w:w="3475" w:type="dxa"/>
            <w:tcBorders>
              <w:top w:val="single" w:color="DDDDDD" w:sz="4" w:space="0"/>
              <w:left w:val="single" w:color="DDDDDD" w:sz="4" w:space="0"/>
            </w:tcBorders>
            <w:shd w:val="clear" w:color="auto" w:fill="FFFFFF"/>
            <w:vAlign w:val="top"/>
          </w:tcPr>
          <w:p w14:paraId="08454219">
            <w:pPr>
              <w:pStyle w:val="73"/>
              <w:numPr>
                <w:ilvl w:val="2"/>
                <w:numId w:val="0"/>
              </w:numPr>
              <w:bidi w:val="0"/>
              <w:ind w:left="0" w:leftChars="0" w:firstLine="0" w:firstLineChars="0"/>
              <w:jc w:val="center"/>
              <w:rPr>
                <w:rFonts w:hint="default"/>
                <w:color w:val="000000"/>
                <w:vertAlign w:val="baseline"/>
              </w:rPr>
            </w:pPr>
            <w:r>
              <w:rPr>
                <w:rFonts w:hint="default"/>
                <w:color w:val="000000"/>
                <w:vertAlign w:val="baseline"/>
              </w:rPr>
              <w:t>采集规则、采集设置、接口模式</w:t>
            </w:r>
            <w:r>
              <w:rPr>
                <w:rFonts w:hint="eastAsia"/>
                <w:color w:val="000000"/>
                <w:vertAlign w:val="baseline"/>
                <w:lang w:eastAsia="zh-CN"/>
              </w:rPr>
              <w:t>、访问账号、访问时间、访问数据情况</w:t>
            </w:r>
          </w:p>
        </w:tc>
      </w:tr>
    </w:tbl>
    <w:p w14:paraId="63DEA95D">
      <w:pPr>
        <w:pStyle w:val="73"/>
        <w:numPr>
          <w:ilvl w:val="2"/>
          <w:numId w:val="0"/>
        </w:numPr>
        <w:bidi w:val="0"/>
        <w:rPr>
          <w:rFonts w:hint="eastAsia" w:eastAsia="微软雅黑"/>
          <w:lang w:val="en-US" w:eastAsia="zh-CN"/>
        </w:rPr>
      </w:pPr>
      <w:r>
        <w:rPr>
          <w:rFonts w:hint="eastAsia"/>
          <w:lang w:val="en-US" w:eastAsia="zh-CN"/>
        </w:rPr>
        <w:t xml:space="preserve"> </w:t>
      </w:r>
    </w:p>
    <w:p w14:paraId="7E135579">
      <w:pPr>
        <w:pStyle w:val="73"/>
        <w:bidi w:val="0"/>
        <w:ind w:left="964" w:leftChars="0" w:hanging="567" w:firstLineChars="0"/>
        <w:rPr>
          <w:rFonts w:hint="default"/>
        </w:rPr>
      </w:pPr>
      <w:r>
        <w:rPr>
          <w:rFonts w:hint="eastAsia"/>
          <w:lang w:val="en-US" w:eastAsia="zh-CN"/>
        </w:rPr>
        <w:t>科研诚信痕迹数据监管：需将基于科研诚信数据的登记信息返回科研诚信管理平台，并提供相应痕迹数据变更的信息，自动检查出数据修改来源，包括医院实时系统数据、第三方系统数据及未知来源数据，对于未知来源的数据需要标明来源，标注监管审批路径。</w:t>
      </w:r>
    </w:p>
    <w:p w14:paraId="65A81701">
      <w:pPr>
        <w:pStyle w:val="73"/>
        <w:numPr>
          <w:ilvl w:val="2"/>
          <w:numId w:val="0"/>
        </w:numPr>
        <w:bidi w:val="0"/>
        <w:ind w:left="567" w:leftChars="0"/>
        <w:rPr>
          <w:rFonts w:hint="default"/>
        </w:rPr>
      </w:pPr>
    </w:p>
    <w:p w14:paraId="7426055E">
      <w:pPr>
        <w:pStyle w:val="74"/>
        <w:bidi w:val="0"/>
        <w:ind w:left="0" w:leftChars="0" w:firstLine="283" w:firstLineChars="0"/>
        <w:rPr>
          <w:rFonts w:hint="default"/>
        </w:rPr>
      </w:pPr>
      <w:r>
        <w:rPr>
          <w:rFonts w:hint="eastAsia"/>
        </w:rPr>
        <w:t>商保支付</w:t>
      </w:r>
      <w:r>
        <w:rPr>
          <w:rFonts w:hint="eastAsia"/>
          <w:lang w:val="en-US" w:eastAsia="zh-CN"/>
        </w:rPr>
        <w:t>服务</w:t>
      </w:r>
      <w:r>
        <w:rPr>
          <w:rFonts w:hint="eastAsia"/>
        </w:rPr>
        <w:t>模块</w:t>
      </w:r>
    </w:p>
    <w:p w14:paraId="37DF9CD8">
      <w:pPr>
        <w:pStyle w:val="73"/>
        <w:numPr>
          <w:ilvl w:val="2"/>
          <w:numId w:val="0"/>
        </w:numPr>
        <w:bidi w:val="0"/>
        <w:ind w:firstLine="420" w:firstLineChars="0"/>
        <w:rPr>
          <w:rFonts w:hint="eastAsia"/>
          <w:lang w:val="en-US" w:eastAsia="zh-CN"/>
        </w:rPr>
      </w:pPr>
      <w:r>
        <w:rPr>
          <w:rFonts w:hint="eastAsia"/>
          <w:lang w:val="en-US" w:eastAsia="zh-CN"/>
        </w:rPr>
        <w:t>基于广东省人民医院商保理赔服务试点项目，进行对接开发，建设商保零感支付和商保跨链评估两个生态场景，深度探索基于跨链架构和智能合约的商业医疗保险理赔评估机制。</w:t>
      </w:r>
    </w:p>
    <w:p w14:paraId="5FC30505">
      <w:pPr>
        <w:pStyle w:val="73"/>
        <w:numPr>
          <w:ilvl w:val="2"/>
          <w:numId w:val="0"/>
        </w:numPr>
        <w:bidi w:val="0"/>
        <w:ind w:firstLine="420" w:firstLineChars="0"/>
        <w:rPr>
          <w:rFonts w:hint="eastAsia"/>
          <w:lang w:val="en-US" w:eastAsia="zh-CN"/>
        </w:rPr>
      </w:pPr>
      <w:r>
        <w:rPr>
          <w:rFonts w:hint="eastAsia"/>
          <w:lang w:val="en-US" w:eastAsia="zh-CN"/>
        </w:rPr>
        <w:t>同步对接院内的商保理赔服务，构筑基于区块链技术的智慧商保医疗服务工作台。支撑商保快赔业务和商保价值评估业务，建设所有参与方共享的公民全量信息、医院就诊数据、保险服务数据的加密账本。确保患者数据加密传输，医院无需将患者明文数据共享给保险公司，数据不需要出院便能直接完成医保赔付。</w:t>
      </w:r>
    </w:p>
    <w:p w14:paraId="52424A2B">
      <w:pPr>
        <w:pStyle w:val="73"/>
        <w:bidi w:val="0"/>
        <w:ind w:left="964" w:leftChars="0" w:hanging="567" w:firstLineChars="0"/>
        <w:rPr>
          <w:rFonts w:hint="default"/>
        </w:rPr>
      </w:pPr>
      <w:r>
        <w:rPr>
          <w:rFonts w:hint="eastAsia"/>
          <w:lang w:val="en-US" w:eastAsia="zh-CN"/>
        </w:rPr>
        <w:t>商保理赔服务：对接广东省人民医院商保理赔服务试点项目，将基于商保快赔个人信息授权进行授权调阅登记，保护患者信息的域内完整。</w:t>
      </w:r>
    </w:p>
    <w:p w14:paraId="13B817F0">
      <w:pPr>
        <w:pStyle w:val="73"/>
        <w:bidi w:val="0"/>
        <w:ind w:left="964" w:leftChars="0" w:hanging="567" w:firstLineChars="0"/>
        <w:rPr>
          <w:rFonts w:hint="default"/>
        </w:rPr>
      </w:pPr>
      <w:r>
        <w:rPr>
          <w:rFonts w:hint="eastAsia"/>
          <w:lang w:val="en-US" w:eastAsia="zh-CN"/>
        </w:rPr>
        <w:t>商保理赔服务服务路径：供应商需按照院方要求的路径实施“粤康链”与商业医疗保险平台的对接的服务，对经接口获取到的双向数据进行标准化处理，确保数据的双向确权加密，确保数据的所有处理操作流程在节点链上单独完成，患者的病历信息和医保赔付处理许可仅在此单一节点形成汇聚计算。具体的流程路径可以参考下图：</w:t>
      </w:r>
    </w:p>
    <w:p w14:paraId="6D9D4019">
      <w:pPr>
        <w:pStyle w:val="73"/>
        <w:numPr>
          <w:ilvl w:val="2"/>
          <w:numId w:val="0"/>
        </w:numPr>
        <w:bidi w:val="0"/>
        <w:jc w:val="center"/>
      </w:pPr>
      <w:r>
        <w:drawing>
          <wp:inline distT="0" distB="0" distL="114300" distR="114300">
            <wp:extent cx="3931920" cy="2196465"/>
            <wp:effectExtent l="9525" t="9525" r="20955" b="228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rcRect t="1277" b="1277"/>
                    <a:stretch>
                      <a:fillRect/>
                    </a:stretch>
                  </pic:blipFill>
                  <pic:spPr>
                    <a:xfrm>
                      <a:off x="0" y="0"/>
                      <a:ext cx="3931920" cy="2196465"/>
                    </a:xfrm>
                    <a:prstGeom prst="rect">
                      <a:avLst/>
                    </a:prstGeom>
                    <a:ln w="9525" cap="flat" cmpd="sng" algn="ctr">
                      <a:solidFill>
                        <a:schemeClr val="dk1">
                          <a:lumMod val="40000"/>
                          <a:lumOff val="60000"/>
                          <a:alpha val="50000"/>
                        </a:schemeClr>
                      </a:solidFill>
                      <a:prstDash val="solid"/>
                      <a:round/>
                      <a:headEnd type="none" w="med" len="med"/>
                      <a:tailEnd type="none" w="med" len="med"/>
                    </a:ln>
                  </pic:spPr>
                </pic:pic>
              </a:graphicData>
            </a:graphic>
          </wp:inline>
        </w:drawing>
      </w:r>
    </w:p>
    <w:p w14:paraId="53735D75">
      <w:pPr>
        <w:pStyle w:val="12"/>
        <w:numPr>
          <w:ilvl w:val="0"/>
          <w:numId w:val="0"/>
        </w:numPr>
        <w:bidi w:val="0"/>
        <w:jc w:val="center"/>
        <w:rPr>
          <w:rFonts w:hint="eastAsia"/>
          <w:sz w:val="20"/>
          <w:szCs w:val="24"/>
          <w:lang w:eastAsia="zh-CN"/>
        </w:rPr>
      </w:pPr>
      <w:r>
        <w:rPr>
          <w:sz w:val="20"/>
          <w:szCs w:val="24"/>
        </w:rPr>
        <w:t xml:space="preserve">图 </w:t>
      </w:r>
      <w:r>
        <w:rPr>
          <w:sz w:val="20"/>
          <w:szCs w:val="24"/>
        </w:rPr>
        <w:fldChar w:fldCharType="begin"/>
      </w:r>
      <w:r>
        <w:rPr>
          <w:sz w:val="20"/>
          <w:szCs w:val="24"/>
        </w:rPr>
        <w:instrText xml:space="preserve"> SEQ 图 \* ARABIC </w:instrText>
      </w:r>
      <w:r>
        <w:rPr>
          <w:sz w:val="20"/>
          <w:szCs w:val="24"/>
        </w:rPr>
        <w:fldChar w:fldCharType="separate"/>
      </w:r>
      <w:r>
        <w:rPr>
          <w:sz w:val="20"/>
          <w:szCs w:val="24"/>
        </w:rPr>
        <w:t>8</w:t>
      </w:r>
      <w:r>
        <w:rPr>
          <w:sz w:val="20"/>
          <w:szCs w:val="24"/>
        </w:rPr>
        <w:fldChar w:fldCharType="end"/>
      </w:r>
      <w:r>
        <w:rPr>
          <w:rFonts w:hint="eastAsia"/>
          <w:sz w:val="20"/>
          <w:szCs w:val="24"/>
          <w:lang w:eastAsia="zh-CN"/>
        </w:rPr>
        <w:t xml:space="preserve"> 商保零感支付路径</w:t>
      </w:r>
    </w:p>
    <w:p w14:paraId="075E11C9">
      <w:pPr>
        <w:pStyle w:val="73"/>
        <w:bidi w:val="0"/>
        <w:ind w:left="964" w:leftChars="0" w:hanging="567" w:firstLineChars="0"/>
        <w:rPr>
          <w:rFonts w:hint="default"/>
        </w:rPr>
      </w:pPr>
      <w:r>
        <w:rPr>
          <w:rFonts w:hint="eastAsia"/>
          <w:lang w:val="en-US" w:eastAsia="zh-CN"/>
        </w:rPr>
        <w:t>商保支付数据上链存证：需按照院方要求对商保支付信息进行对接分布式存储，商保支付管理模块中形成上链索引的信息参考如下：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610"/>
        <w:gridCol w:w="2183"/>
        <w:gridCol w:w="3231"/>
      </w:tblGrid>
      <w:tr w14:paraId="5CB7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bottom w:val="single" w:color="DDDDDD" w:sz="4" w:space="0"/>
              <w:right w:val="single" w:color="DDDDDD" w:sz="4" w:space="0"/>
            </w:tcBorders>
            <w:shd w:val="clear" w:color="auto" w:fill="3A3A3A"/>
          </w:tcPr>
          <w:p w14:paraId="6435475A">
            <w:pPr>
              <w:pStyle w:val="73"/>
              <w:numPr>
                <w:ilvl w:val="2"/>
                <w:numId w:val="0"/>
              </w:numPr>
              <w:bidi w:val="0"/>
              <w:jc w:val="center"/>
              <w:rPr>
                <w:rFonts w:hint="eastAsia"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序号</w:t>
            </w:r>
          </w:p>
        </w:tc>
        <w:tc>
          <w:tcPr>
            <w:tcW w:w="1610" w:type="dxa"/>
            <w:tcBorders>
              <w:left w:val="single" w:color="DDDDDD" w:sz="4" w:space="0"/>
              <w:bottom w:val="single" w:color="DDDDDD" w:sz="4" w:space="0"/>
              <w:right w:val="single" w:color="DDDDDD" w:sz="4" w:space="0"/>
            </w:tcBorders>
            <w:shd w:val="clear" w:color="auto" w:fill="3A3A3A"/>
          </w:tcPr>
          <w:p w14:paraId="03037CA1">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数据属性分类</w:t>
            </w:r>
          </w:p>
        </w:tc>
        <w:tc>
          <w:tcPr>
            <w:tcW w:w="2183" w:type="dxa"/>
            <w:tcBorders>
              <w:left w:val="single" w:color="DDDDDD" w:sz="4" w:space="0"/>
              <w:bottom w:val="single" w:color="DDDDDD" w:sz="4" w:space="0"/>
              <w:right w:val="single" w:color="DDDDDD" w:sz="4" w:space="0"/>
            </w:tcBorders>
            <w:shd w:val="clear" w:color="auto" w:fill="3A3A3A"/>
          </w:tcPr>
          <w:p w14:paraId="33A8C2DC">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数据采集源</w:t>
            </w:r>
          </w:p>
        </w:tc>
        <w:tc>
          <w:tcPr>
            <w:tcW w:w="3231" w:type="dxa"/>
            <w:tcBorders>
              <w:left w:val="single" w:color="DDDDDD" w:sz="4" w:space="0"/>
              <w:bottom w:val="single" w:color="DDDDDD" w:sz="4" w:space="0"/>
            </w:tcBorders>
            <w:shd w:val="clear" w:color="auto" w:fill="3A3A3A"/>
          </w:tcPr>
          <w:p w14:paraId="49ABEE47">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上链数据项目</w:t>
            </w:r>
          </w:p>
        </w:tc>
      </w:tr>
      <w:tr w14:paraId="4FEC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DDDDDD" w:sz="4" w:space="0"/>
              <w:bottom w:val="single" w:color="DDDDDD" w:sz="4" w:space="0"/>
              <w:right w:val="single" w:color="DDDDDD" w:sz="4" w:space="0"/>
            </w:tcBorders>
            <w:shd w:val="clear" w:color="auto" w:fill="FFFFFF"/>
          </w:tcPr>
          <w:p w14:paraId="37D4DF4F">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1</w:t>
            </w:r>
          </w:p>
        </w:tc>
        <w:tc>
          <w:tcPr>
            <w:tcW w:w="1610" w:type="dxa"/>
            <w:tcBorders>
              <w:top w:val="single" w:color="DDDDDD" w:sz="4" w:space="0"/>
              <w:left w:val="single" w:color="DDDDDD" w:sz="4" w:space="0"/>
              <w:bottom w:val="single" w:color="DDDDDD" w:sz="4" w:space="0"/>
              <w:right w:val="single" w:color="DDDDDD" w:sz="4" w:space="0"/>
            </w:tcBorders>
            <w:shd w:val="clear" w:color="auto" w:fill="FFFFFF"/>
          </w:tcPr>
          <w:p w14:paraId="77F36154">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商保平台数据</w:t>
            </w:r>
          </w:p>
        </w:tc>
        <w:tc>
          <w:tcPr>
            <w:tcW w:w="2183" w:type="dxa"/>
            <w:tcBorders>
              <w:top w:val="single" w:color="DDDDDD" w:sz="4" w:space="0"/>
              <w:left w:val="single" w:color="DDDDDD" w:sz="4" w:space="0"/>
              <w:bottom w:val="single" w:color="DDDDDD" w:sz="4" w:space="0"/>
              <w:right w:val="single" w:color="DDDDDD" w:sz="4" w:space="0"/>
            </w:tcBorders>
            <w:shd w:val="clear" w:color="auto" w:fill="FFFFFF"/>
          </w:tcPr>
          <w:p w14:paraId="4B8FA229">
            <w:pPr>
              <w:pStyle w:val="73"/>
              <w:numPr>
                <w:ilvl w:val="2"/>
                <w:numId w:val="0"/>
              </w:numPr>
              <w:bidi w:val="0"/>
              <w:jc w:val="center"/>
              <w:rPr>
                <w:rFonts w:hint="default" w:eastAsia="微软雅黑"/>
                <w:color w:val="000000"/>
                <w:vertAlign w:val="baseline"/>
                <w:lang w:val="en-US" w:eastAsia="zh-CN"/>
              </w:rPr>
            </w:pPr>
            <w:r>
              <w:rPr>
                <w:rFonts w:hint="eastAsia"/>
                <w:lang w:val="en-US" w:eastAsia="zh-CN"/>
              </w:rPr>
              <w:t>商保理赔系统（第三方）</w:t>
            </w:r>
          </w:p>
        </w:tc>
        <w:tc>
          <w:tcPr>
            <w:tcW w:w="3231" w:type="dxa"/>
            <w:tcBorders>
              <w:top w:val="single" w:color="DDDDDD" w:sz="4" w:space="0"/>
              <w:left w:val="single" w:color="DDDDDD" w:sz="4" w:space="0"/>
              <w:bottom w:val="single" w:color="DDDDDD" w:sz="4" w:space="0"/>
            </w:tcBorders>
            <w:shd w:val="clear" w:color="auto" w:fill="FFFFFF"/>
          </w:tcPr>
          <w:p w14:paraId="592CBCFE">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商保交易数据，商保流程交互数据</w:t>
            </w:r>
          </w:p>
        </w:tc>
      </w:tr>
      <w:tr w14:paraId="14CB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3" w:type="dxa"/>
            <w:tcBorders>
              <w:top w:val="single" w:color="DDDDDD" w:sz="4" w:space="0"/>
              <w:bottom w:val="single" w:color="DDDDDD" w:sz="4" w:space="0"/>
              <w:right w:val="single" w:color="DDDDDD" w:sz="4" w:space="0"/>
            </w:tcBorders>
            <w:shd w:val="clear" w:color="auto" w:fill="FFFFFF"/>
          </w:tcPr>
          <w:p w14:paraId="24A98C00">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2</w:t>
            </w:r>
          </w:p>
        </w:tc>
        <w:tc>
          <w:tcPr>
            <w:tcW w:w="1610" w:type="dxa"/>
            <w:tcBorders>
              <w:top w:val="single" w:color="DDDDDD" w:sz="4" w:space="0"/>
              <w:left w:val="single" w:color="DDDDDD" w:sz="4" w:space="0"/>
              <w:bottom w:val="single" w:color="DDDDDD" w:sz="4" w:space="0"/>
              <w:right w:val="single" w:color="DDDDDD" w:sz="4" w:space="0"/>
            </w:tcBorders>
            <w:shd w:val="clear" w:color="auto" w:fill="FFFFFF"/>
          </w:tcPr>
          <w:p w14:paraId="66D39E39">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病历数据</w:t>
            </w:r>
          </w:p>
        </w:tc>
        <w:tc>
          <w:tcPr>
            <w:tcW w:w="2183" w:type="dxa"/>
            <w:tcBorders>
              <w:top w:val="single" w:color="DDDDDD" w:sz="4" w:space="0"/>
              <w:left w:val="single" w:color="DDDDDD" w:sz="4" w:space="0"/>
              <w:bottom w:val="single" w:color="DDDDDD" w:sz="4" w:space="0"/>
              <w:right w:val="single" w:color="DDDDDD" w:sz="4" w:space="0"/>
            </w:tcBorders>
            <w:shd w:val="clear" w:color="auto" w:fill="FFFFFF"/>
          </w:tcPr>
          <w:p w14:paraId="421C4B4A">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临床数据中心</w:t>
            </w:r>
          </w:p>
        </w:tc>
        <w:tc>
          <w:tcPr>
            <w:tcW w:w="3231" w:type="dxa"/>
            <w:tcBorders>
              <w:top w:val="single" w:color="DDDDDD" w:sz="4" w:space="0"/>
              <w:left w:val="single" w:color="DDDDDD" w:sz="4" w:space="0"/>
              <w:bottom w:val="single" w:color="DDDDDD" w:sz="4" w:space="0"/>
            </w:tcBorders>
            <w:shd w:val="clear" w:color="auto" w:fill="FFFFFF"/>
          </w:tcPr>
          <w:p w14:paraId="2ECFEEF2">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病历数据</w:t>
            </w:r>
          </w:p>
        </w:tc>
      </w:tr>
      <w:tr w14:paraId="4881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DDDDDD" w:sz="4" w:space="0"/>
              <w:right w:val="single" w:color="DDDDDD" w:sz="4" w:space="0"/>
            </w:tcBorders>
            <w:shd w:val="clear" w:color="auto" w:fill="FFFFFF"/>
          </w:tcPr>
          <w:p w14:paraId="53C481DC">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3</w:t>
            </w:r>
          </w:p>
        </w:tc>
        <w:tc>
          <w:tcPr>
            <w:tcW w:w="1610" w:type="dxa"/>
            <w:tcBorders>
              <w:top w:val="single" w:color="DDDDDD" w:sz="4" w:space="0"/>
              <w:left w:val="single" w:color="DDDDDD" w:sz="4" w:space="0"/>
              <w:right w:val="single" w:color="DDDDDD" w:sz="4" w:space="0"/>
            </w:tcBorders>
            <w:shd w:val="clear" w:color="auto" w:fill="FFFFFF"/>
          </w:tcPr>
          <w:p w14:paraId="1891D217">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商保评估数据</w:t>
            </w:r>
          </w:p>
        </w:tc>
        <w:tc>
          <w:tcPr>
            <w:tcW w:w="2183" w:type="dxa"/>
            <w:tcBorders>
              <w:top w:val="single" w:color="DDDDDD" w:sz="4" w:space="0"/>
              <w:left w:val="single" w:color="DDDDDD" w:sz="4" w:space="0"/>
              <w:right w:val="single" w:color="DDDDDD" w:sz="4" w:space="0"/>
            </w:tcBorders>
            <w:shd w:val="clear" w:color="auto" w:fill="FFFFFF"/>
          </w:tcPr>
          <w:p w14:paraId="654945E6">
            <w:pPr>
              <w:pStyle w:val="73"/>
              <w:numPr>
                <w:ilvl w:val="2"/>
                <w:numId w:val="0"/>
              </w:numPr>
              <w:bidi w:val="0"/>
              <w:jc w:val="center"/>
              <w:rPr>
                <w:rFonts w:hint="eastAsia" w:eastAsia="微软雅黑"/>
                <w:color w:val="000000"/>
                <w:vertAlign w:val="baseline"/>
                <w:lang w:val="en-US" w:eastAsia="zh-CN"/>
              </w:rPr>
            </w:pPr>
            <w:r>
              <w:rPr>
                <w:rFonts w:hint="eastAsia" w:eastAsia="微软雅黑"/>
                <w:color w:val="000000"/>
                <w:vertAlign w:val="baseline"/>
                <w:lang w:val="en-US" w:eastAsia="zh-CN"/>
              </w:rPr>
              <w:t>商保支付服务模块</w:t>
            </w:r>
          </w:p>
        </w:tc>
        <w:tc>
          <w:tcPr>
            <w:tcW w:w="3231" w:type="dxa"/>
            <w:tcBorders>
              <w:top w:val="single" w:color="DDDDDD" w:sz="4" w:space="0"/>
              <w:left w:val="single" w:color="DDDDDD" w:sz="4" w:space="0"/>
            </w:tcBorders>
            <w:shd w:val="clear" w:color="auto" w:fill="FFFFFF"/>
          </w:tcPr>
          <w:p w14:paraId="0452638E">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商保评估模型数据，差分隐私数据</w:t>
            </w:r>
          </w:p>
        </w:tc>
      </w:tr>
    </w:tbl>
    <w:p w14:paraId="08A5A6C9">
      <w:pPr>
        <w:pStyle w:val="73"/>
        <w:numPr>
          <w:ilvl w:val="2"/>
          <w:numId w:val="0"/>
        </w:numPr>
        <w:bidi w:val="0"/>
        <w:ind w:left="567" w:leftChars="0"/>
        <w:rPr>
          <w:rFonts w:hint="default"/>
        </w:rPr>
      </w:pPr>
    </w:p>
    <w:p w14:paraId="6B0B23B3">
      <w:pPr>
        <w:pStyle w:val="73"/>
        <w:bidi w:val="0"/>
        <w:ind w:left="964" w:leftChars="0" w:hanging="567" w:firstLineChars="0"/>
        <w:rPr>
          <w:rFonts w:hint="eastAsia"/>
          <w:lang w:eastAsia="zh-CN"/>
        </w:rPr>
      </w:pPr>
      <w:r>
        <w:rPr>
          <w:rFonts w:hint="eastAsia"/>
          <w:lang w:val="en-US" w:eastAsia="zh-CN"/>
        </w:rPr>
        <w:t>商保跨链评估（跨链隐私计算技术）：按照院方要求，基于同态加密、差分隐私技术开展基于“粤康链”与商保链的跨链隐私计算探索。实例技术不限，基于硬件云平台环境构筑MPC（Secure Multi-Party Computation）或者基于虚拟节点构筑的同态加密（HE，Homomorphic Encryption）皆可。需要支持多节点密文空间构筑，支持多参与方或多计算节点之间开展高效率的商保评估分析、建模和模型发布。商保端提供商保评估模型，院方提供病历数据，经过跨链隐私计算处理，做到仅输出商保评估评分。达到数据不动模型动、数据可用不可见的效果。</w:t>
      </w:r>
    </w:p>
    <w:p w14:paraId="757BA7D1">
      <w:pPr>
        <w:pStyle w:val="73"/>
        <w:numPr>
          <w:ilvl w:val="2"/>
          <w:numId w:val="0"/>
        </w:numPr>
        <w:bidi w:val="0"/>
        <w:rPr>
          <w:rFonts w:hint="eastAsia"/>
          <w:lang w:eastAsia="zh-CN"/>
        </w:rPr>
      </w:pPr>
    </w:p>
    <w:p w14:paraId="1C5A4D19">
      <w:pPr>
        <w:pStyle w:val="73"/>
        <w:numPr>
          <w:ilvl w:val="2"/>
          <w:numId w:val="0"/>
        </w:numPr>
        <w:bidi w:val="0"/>
        <w:ind w:left="567" w:leftChars="0"/>
        <w:rPr>
          <w:rFonts w:hint="default"/>
        </w:rPr>
      </w:pPr>
    </w:p>
    <w:p w14:paraId="2ABD2EF0">
      <w:pPr>
        <w:pStyle w:val="74"/>
        <w:bidi w:val="0"/>
        <w:ind w:left="0" w:leftChars="0" w:firstLine="283" w:firstLineChars="0"/>
        <w:rPr>
          <w:rFonts w:hint="default"/>
        </w:rPr>
      </w:pPr>
      <w:r>
        <w:rPr>
          <w:rFonts w:hint="eastAsia"/>
          <w:lang w:val="en-US" w:eastAsia="zh-CN"/>
        </w:rPr>
        <w:t>档案登记管理模块</w:t>
      </w:r>
    </w:p>
    <w:p w14:paraId="30C14DF9">
      <w:pPr>
        <w:pStyle w:val="73"/>
        <w:numPr>
          <w:ilvl w:val="2"/>
          <w:numId w:val="0"/>
        </w:numPr>
        <w:bidi w:val="0"/>
        <w:ind w:firstLine="420" w:firstLineChars="0"/>
        <w:rPr>
          <w:rFonts w:hint="default" w:eastAsia="微软雅黑"/>
          <w:lang w:val="en-US" w:eastAsia="zh-CN"/>
        </w:rPr>
      </w:pPr>
      <w:r>
        <w:rPr>
          <w:rFonts w:hint="eastAsia"/>
          <w:lang w:val="en-US" w:eastAsia="zh-CN"/>
        </w:rPr>
        <w:t>制定档案登记管理场景方案与实施计划，对接广东省人民医院数字档案管理系统，对于院内文书、合同、人事、科研、实物等档案流转进行上链信息登记管理。</w:t>
      </w:r>
    </w:p>
    <w:p w14:paraId="6AD48ED6">
      <w:pPr>
        <w:pStyle w:val="73"/>
        <w:bidi w:val="0"/>
        <w:ind w:left="964" w:leftChars="0" w:hanging="567" w:firstLineChars="0"/>
        <w:rPr>
          <w:rFonts w:hint="default"/>
        </w:rPr>
      </w:pPr>
      <w:r>
        <w:rPr>
          <w:rFonts w:hint="eastAsia"/>
          <w:lang w:val="en-US" w:eastAsia="zh-CN"/>
        </w:rPr>
        <w:t>综合档案登记管理（基本归档、借阅管理）：对接广东省人民医院数字档案管理系统，对自动流转和人工著录挂接的档案目录及电子档案文件数据在“粤康链”数据中台进行登记，通过时间戳或哈希指针对档案归档和查借阅的日期、行为、行为人信息进行追溯，校验档案原始性，支持形成出入库日志及统计月度数据，科学管理、责任到人。</w:t>
      </w:r>
    </w:p>
    <w:p w14:paraId="4C85BEBD">
      <w:pPr>
        <w:pStyle w:val="73"/>
        <w:bidi w:val="0"/>
        <w:ind w:left="964" w:leftChars="0" w:hanging="567" w:firstLineChars="0"/>
        <w:rPr>
          <w:rFonts w:hint="default"/>
        </w:rPr>
      </w:pPr>
      <w:r>
        <w:rPr>
          <w:rFonts w:hint="eastAsia"/>
          <w:lang w:val="en-US" w:eastAsia="zh-CN"/>
        </w:rPr>
        <w:t>院史馆藏品登记管理：对接院内档案管理系统，对入库陈列的院史馆藏品三维、材质、来源和去向等信息进行采集登记，在“粤康链”数据中台上登记同步，使展品馆藏更新行为和资产登记全数据流完整可控，同步完善室存实物档案数字化采集和数字化登记，追踪数字院史资源用途链，实现藏品数字化登记保护。</w:t>
      </w:r>
    </w:p>
    <w:p w14:paraId="4893A51E">
      <w:pPr>
        <w:pStyle w:val="73"/>
        <w:bidi w:val="0"/>
        <w:ind w:left="964" w:leftChars="0" w:hanging="567" w:firstLineChars="0"/>
        <w:rPr>
          <w:rFonts w:hint="default"/>
        </w:rPr>
      </w:pPr>
      <w:r>
        <w:rPr>
          <w:rFonts w:hint="eastAsia"/>
          <w:lang w:val="en-US" w:eastAsia="zh-CN"/>
        </w:rPr>
        <w:t>人事档案登记管理：对接广东省人民医院数字档案管理系统，将基于人事档案文件数据在“粤康链”数据中台进行登记，同步完成</w:t>
      </w:r>
      <w:r>
        <w:rPr>
          <w:rFonts w:hint="default"/>
        </w:rPr>
        <w:t>履历与证书验证、人事档案出入库登记。</w:t>
      </w:r>
    </w:p>
    <w:p w14:paraId="457E1B11">
      <w:pPr>
        <w:pStyle w:val="73"/>
        <w:bidi w:val="0"/>
        <w:ind w:left="964" w:leftChars="0" w:hanging="567" w:firstLineChars="0"/>
        <w:rPr>
          <w:rFonts w:hint="default"/>
        </w:rPr>
      </w:pPr>
      <w:r>
        <w:rPr>
          <w:rFonts w:hint="eastAsia"/>
          <w:lang w:val="en-US" w:eastAsia="zh-CN"/>
        </w:rPr>
        <w:t>档案管理数据上链存证：需按照院方要求对档案信息进行对接分布式存储，档案登记管理模块中形成上链索引的信息参考如下：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542"/>
        <w:gridCol w:w="1451"/>
        <w:gridCol w:w="4031"/>
      </w:tblGrid>
      <w:tr w14:paraId="3536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DDDDDD" w:sz="4" w:space="0"/>
              <w:right w:val="single" w:color="DDDDDD" w:sz="4" w:space="0"/>
            </w:tcBorders>
            <w:shd w:val="clear" w:color="auto" w:fill="3A3A3A"/>
          </w:tcPr>
          <w:p w14:paraId="27433F0C">
            <w:pPr>
              <w:pStyle w:val="73"/>
              <w:numPr>
                <w:ilvl w:val="2"/>
                <w:numId w:val="0"/>
              </w:numPr>
              <w:bidi w:val="0"/>
              <w:jc w:val="center"/>
              <w:rPr>
                <w:rFonts w:hint="eastAsia"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序号</w:t>
            </w:r>
          </w:p>
        </w:tc>
        <w:tc>
          <w:tcPr>
            <w:tcW w:w="1542" w:type="dxa"/>
            <w:tcBorders>
              <w:top w:val="single" w:color="auto" w:sz="4" w:space="0"/>
              <w:left w:val="single" w:color="DDDDDD" w:sz="4" w:space="0"/>
              <w:bottom w:val="single" w:color="DDDDDD" w:sz="4" w:space="0"/>
              <w:right w:val="single" w:color="DDDDDD" w:sz="4" w:space="0"/>
            </w:tcBorders>
            <w:shd w:val="clear" w:color="auto" w:fill="3A3A3A"/>
          </w:tcPr>
          <w:p w14:paraId="6F344BB6">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数据属性分类</w:t>
            </w:r>
          </w:p>
        </w:tc>
        <w:tc>
          <w:tcPr>
            <w:tcW w:w="1451" w:type="dxa"/>
            <w:tcBorders>
              <w:top w:val="single" w:color="auto" w:sz="4" w:space="0"/>
              <w:left w:val="single" w:color="DDDDDD" w:sz="4" w:space="0"/>
              <w:bottom w:val="single" w:color="DDDDDD" w:sz="4" w:space="0"/>
              <w:right w:val="single" w:color="DDDDDD" w:sz="4" w:space="0"/>
            </w:tcBorders>
            <w:shd w:val="clear" w:color="auto" w:fill="3A3A3A"/>
          </w:tcPr>
          <w:p w14:paraId="26377B19">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数据采集源</w:t>
            </w:r>
          </w:p>
        </w:tc>
        <w:tc>
          <w:tcPr>
            <w:tcW w:w="4031" w:type="dxa"/>
            <w:tcBorders>
              <w:top w:val="single" w:color="auto" w:sz="4" w:space="0"/>
              <w:left w:val="single" w:color="DDDDDD" w:sz="4" w:space="0"/>
              <w:bottom w:val="single" w:color="DDDDDD" w:sz="4" w:space="0"/>
              <w:right w:val="single" w:color="auto" w:sz="4" w:space="0"/>
            </w:tcBorders>
            <w:shd w:val="clear" w:color="auto" w:fill="3A3A3A"/>
          </w:tcPr>
          <w:p w14:paraId="42F01B77">
            <w:pPr>
              <w:pStyle w:val="73"/>
              <w:numPr>
                <w:ilvl w:val="2"/>
                <w:numId w:val="0"/>
              </w:numPr>
              <w:bidi w:val="0"/>
              <w:jc w:val="center"/>
              <w:rPr>
                <w:rFonts w:hint="default" w:eastAsia="微软雅黑"/>
                <w:b/>
                <w:bCs/>
                <w:color w:val="FFFFFF" w:themeColor="background1"/>
                <w:vertAlign w:val="baseline"/>
                <w:lang w:val="en-US" w:eastAsia="zh-CN"/>
                <w14:textFill>
                  <w14:solidFill>
                    <w14:schemeClr w14:val="bg1"/>
                  </w14:solidFill>
                </w14:textFill>
              </w:rPr>
            </w:pPr>
            <w:r>
              <w:rPr>
                <w:rFonts w:hint="eastAsia"/>
                <w:b/>
                <w:bCs/>
                <w:color w:val="FFFFFF" w:themeColor="background1"/>
                <w:vertAlign w:val="baseline"/>
                <w:lang w:val="en-US" w:eastAsia="zh-CN"/>
                <w14:textFill>
                  <w14:solidFill>
                    <w14:schemeClr w14:val="bg1"/>
                  </w14:solidFill>
                </w14:textFill>
              </w:rPr>
              <w:t>上链数据项目</w:t>
            </w:r>
          </w:p>
        </w:tc>
      </w:tr>
      <w:tr w14:paraId="3745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DDDDDD" w:sz="4" w:space="0"/>
              <w:left w:val="single" w:color="auto" w:sz="4" w:space="0"/>
              <w:bottom w:val="single" w:color="DDDDDD" w:sz="4" w:space="0"/>
              <w:right w:val="single" w:color="DDDDDD" w:sz="4" w:space="0"/>
            </w:tcBorders>
            <w:shd w:val="clear" w:color="auto" w:fill="FFFFFF"/>
          </w:tcPr>
          <w:p w14:paraId="773D0341">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1</w:t>
            </w:r>
          </w:p>
        </w:tc>
        <w:tc>
          <w:tcPr>
            <w:tcW w:w="1542" w:type="dxa"/>
            <w:tcBorders>
              <w:top w:val="single" w:color="DDDDDD" w:sz="4" w:space="0"/>
              <w:left w:val="single" w:color="DDDDDD" w:sz="4" w:space="0"/>
              <w:bottom w:val="single" w:color="DDDDDD" w:sz="4" w:space="0"/>
              <w:right w:val="single" w:color="DDDDDD" w:sz="4" w:space="0"/>
            </w:tcBorders>
            <w:shd w:val="clear" w:color="auto" w:fill="FFFFFF"/>
          </w:tcPr>
          <w:p w14:paraId="7F704F78">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人事档案数据</w:t>
            </w:r>
          </w:p>
        </w:tc>
        <w:tc>
          <w:tcPr>
            <w:tcW w:w="1451" w:type="dxa"/>
            <w:tcBorders>
              <w:top w:val="single" w:color="DDDDDD" w:sz="4" w:space="0"/>
              <w:left w:val="single" w:color="DDDDDD" w:sz="4" w:space="0"/>
              <w:bottom w:val="single" w:color="DDDDDD" w:sz="4" w:space="0"/>
              <w:right w:val="single" w:color="DDDDDD" w:sz="4" w:space="0"/>
            </w:tcBorders>
            <w:shd w:val="clear" w:color="auto" w:fill="FFFFFF"/>
          </w:tcPr>
          <w:p w14:paraId="17EC6F7D">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档案管理系统、库房环控系统。</w:t>
            </w:r>
          </w:p>
        </w:tc>
        <w:tc>
          <w:tcPr>
            <w:tcW w:w="4031" w:type="dxa"/>
            <w:tcBorders>
              <w:top w:val="single" w:color="DDDDDD" w:sz="4" w:space="0"/>
              <w:left w:val="single" w:color="DDDDDD" w:sz="4" w:space="0"/>
              <w:bottom w:val="single" w:color="DDDDDD" w:sz="4" w:space="0"/>
              <w:right w:val="single" w:color="auto" w:sz="4" w:space="0"/>
            </w:tcBorders>
            <w:shd w:val="clear" w:color="auto" w:fill="FFFFFF"/>
          </w:tcPr>
          <w:p w14:paraId="77C9F0DD">
            <w:pPr>
              <w:pStyle w:val="73"/>
              <w:numPr>
                <w:ilvl w:val="2"/>
                <w:numId w:val="0"/>
              </w:numPr>
              <w:bidi w:val="0"/>
              <w:jc w:val="center"/>
              <w:rPr>
                <w:rFonts w:hint="default" w:eastAsia="微软雅黑"/>
                <w:color w:val="000000"/>
                <w:vertAlign w:val="baseline"/>
                <w:lang w:val="en-US" w:eastAsia="zh-CN"/>
              </w:rPr>
            </w:pPr>
            <w:r>
              <w:rPr>
                <w:rFonts w:hint="default" w:eastAsia="微软雅黑"/>
                <w:color w:val="000000"/>
                <w:vertAlign w:val="baseline"/>
                <w:lang w:val="en-US" w:eastAsia="zh-CN"/>
              </w:rPr>
              <w:t>归档信息、出入库信息、查借阅信息、“十防”管理信息、数据盘点日志</w:t>
            </w:r>
          </w:p>
        </w:tc>
      </w:tr>
      <w:tr w14:paraId="2DDA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DDDDDD" w:sz="4" w:space="0"/>
              <w:left w:val="single" w:color="auto" w:sz="4" w:space="0"/>
              <w:bottom w:val="single" w:color="DDDDDD" w:sz="4" w:space="0"/>
              <w:right w:val="single" w:color="DDDDDD" w:sz="4" w:space="0"/>
            </w:tcBorders>
            <w:shd w:val="clear" w:color="auto" w:fill="FFFFFF"/>
          </w:tcPr>
          <w:p w14:paraId="53549EFE">
            <w:pPr>
              <w:pStyle w:val="73"/>
              <w:numPr>
                <w:ilvl w:val="2"/>
                <w:numId w:val="0"/>
              </w:numPr>
              <w:bidi w:val="0"/>
              <w:jc w:val="center"/>
              <w:rPr>
                <w:rFonts w:hint="eastAsia" w:eastAsia="微软雅黑"/>
                <w:color w:val="000000"/>
                <w:vertAlign w:val="baseline"/>
                <w:lang w:val="en-US" w:eastAsia="zh-CN"/>
              </w:rPr>
            </w:pPr>
            <w:r>
              <w:rPr>
                <w:rFonts w:hint="eastAsia"/>
                <w:color w:val="000000"/>
                <w:vertAlign w:val="baseline"/>
                <w:lang w:val="en-US" w:eastAsia="zh-CN"/>
              </w:rPr>
              <w:t>2</w:t>
            </w:r>
          </w:p>
        </w:tc>
        <w:tc>
          <w:tcPr>
            <w:tcW w:w="1542" w:type="dxa"/>
            <w:tcBorders>
              <w:top w:val="single" w:color="DDDDDD" w:sz="4" w:space="0"/>
              <w:left w:val="single" w:color="DDDDDD" w:sz="4" w:space="0"/>
              <w:bottom w:val="single" w:color="DDDDDD" w:sz="4" w:space="0"/>
              <w:right w:val="single" w:color="DDDDDD" w:sz="4" w:space="0"/>
            </w:tcBorders>
            <w:shd w:val="clear" w:color="auto" w:fill="FFFFFF"/>
          </w:tcPr>
          <w:p w14:paraId="2B570DB0">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档案科档案数据</w:t>
            </w:r>
          </w:p>
        </w:tc>
        <w:tc>
          <w:tcPr>
            <w:tcW w:w="1451" w:type="dxa"/>
            <w:tcBorders>
              <w:top w:val="single" w:color="DDDDDD" w:sz="4" w:space="0"/>
              <w:left w:val="single" w:color="DDDDDD" w:sz="4" w:space="0"/>
              <w:bottom w:val="single" w:color="DDDDDD" w:sz="4" w:space="0"/>
              <w:right w:val="single" w:color="DDDDDD" w:sz="4" w:space="0"/>
            </w:tcBorders>
            <w:shd w:val="clear" w:color="auto" w:fill="FFFFFF"/>
          </w:tcPr>
          <w:p w14:paraId="6FEB1773">
            <w:pPr>
              <w:pStyle w:val="73"/>
              <w:numPr>
                <w:ilvl w:val="2"/>
                <w:numId w:val="0"/>
              </w:numPr>
              <w:bidi w:val="0"/>
              <w:jc w:val="center"/>
              <w:rPr>
                <w:rFonts w:hint="default"/>
                <w:color w:val="000000"/>
                <w:vertAlign w:val="baseline"/>
              </w:rPr>
            </w:pPr>
            <w:r>
              <w:rPr>
                <w:rFonts w:hint="eastAsia"/>
                <w:color w:val="000000"/>
                <w:vertAlign w:val="baseline"/>
                <w:lang w:val="en-US" w:eastAsia="zh-CN"/>
              </w:rPr>
              <w:t>档案管理系统、库房环控系统。</w:t>
            </w:r>
          </w:p>
        </w:tc>
        <w:tc>
          <w:tcPr>
            <w:tcW w:w="4031" w:type="dxa"/>
            <w:tcBorders>
              <w:top w:val="single" w:color="DDDDDD" w:sz="4" w:space="0"/>
              <w:left w:val="single" w:color="DDDDDD" w:sz="4" w:space="0"/>
              <w:bottom w:val="single" w:color="DDDDDD" w:sz="4" w:space="0"/>
              <w:right w:val="single" w:color="auto" w:sz="4" w:space="0"/>
            </w:tcBorders>
            <w:shd w:val="clear" w:color="auto" w:fill="FFFFFF"/>
          </w:tcPr>
          <w:p w14:paraId="33373AD3">
            <w:pPr>
              <w:pStyle w:val="73"/>
              <w:numPr>
                <w:ilvl w:val="2"/>
                <w:numId w:val="0"/>
              </w:numPr>
              <w:bidi w:val="0"/>
              <w:jc w:val="center"/>
              <w:rPr>
                <w:rFonts w:hint="default"/>
                <w:color w:val="000000"/>
                <w:vertAlign w:val="baseline"/>
              </w:rPr>
            </w:pPr>
            <w:r>
              <w:rPr>
                <w:rFonts w:hint="default"/>
                <w:color w:val="000000"/>
                <w:vertAlign w:val="baseline"/>
              </w:rPr>
              <w:t>归档信息、出入库信息、查借阅信息、“十防”管理信息、数据盘点日志</w:t>
            </w:r>
          </w:p>
        </w:tc>
      </w:tr>
      <w:tr w14:paraId="1E00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DDDDDD" w:sz="4" w:space="0"/>
              <w:left w:val="single" w:color="auto" w:sz="4" w:space="0"/>
              <w:bottom w:val="single" w:color="DDDDDD" w:sz="4" w:space="0"/>
              <w:right w:val="single" w:color="DDDDDD" w:sz="4" w:space="0"/>
            </w:tcBorders>
            <w:shd w:val="clear" w:color="auto" w:fill="FFFFFF"/>
          </w:tcPr>
          <w:p w14:paraId="4B8B8DBE">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3</w:t>
            </w:r>
          </w:p>
        </w:tc>
        <w:tc>
          <w:tcPr>
            <w:tcW w:w="1542" w:type="dxa"/>
            <w:tcBorders>
              <w:top w:val="single" w:color="DDDDDD" w:sz="4" w:space="0"/>
              <w:left w:val="single" w:color="DDDDDD" w:sz="4" w:space="0"/>
              <w:bottom w:val="single" w:color="DDDDDD" w:sz="4" w:space="0"/>
              <w:right w:val="single" w:color="DDDDDD" w:sz="4" w:space="0"/>
            </w:tcBorders>
            <w:shd w:val="clear" w:color="auto" w:fill="FFFFFF"/>
          </w:tcPr>
          <w:p w14:paraId="73ED5F40">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院史馆展品数据</w:t>
            </w:r>
          </w:p>
        </w:tc>
        <w:tc>
          <w:tcPr>
            <w:tcW w:w="1451" w:type="dxa"/>
            <w:tcBorders>
              <w:top w:val="single" w:color="DDDDDD" w:sz="4" w:space="0"/>
              <w:left w:val="single" w:color="DDDDDD" w:sz="4" w:space="0"/>
              <w:bottom w:val="single" w:color="DDDDDD" w:sz="4" w:space="0"/>
              <w:right w:val="single" w:color="DDDDDD" w:sz="4" w:space="0"/>
            </w:tcBorders>
            <w:shd w:val="clear" w:color="auto" w:fill="FFFFFF"/>
          </w:tcPr>
          <w:p w14:paraId="42DCE3A2">
            <w:pPr>
              <w:pStyle w:val="73"/>
              <w:numPr>
                <w:ilvl w:val="2"/>
                <w:numId w:val="0"/>
              </w:numPr>
              <w:bidi w:val="0"/>
              <w:jc w:val="center"/>
              <w:rPr>
                <w:rFonts w:hint="default"/>
                <w:color w:val="000000"/>
                <w:vertAlign w:val="baseline"/>
              </w:rPr>
            </w:pPr>
            <w:r>
              <w:rPr>
                <w:rFonts w:hint="eastAsia"/>
                <w:color w:val="000000"/>
                <w:vertAlign w:val="baseline"/>
                <w:lang w:val="en-US" w:eastAsia="zh-CN"/>
              </w:rPr>
              <w:t>档案管理系统</w:t>
            </w:r>
          </w:p>
        </w:tc>
        <w:tc>
          <w:tcPr>
            <w:tcW w:w="4031" w:type="dxa"/>
            <w:tcBorders>
              <w:top w:val="single" w:color="DDDDDD" w:sz="4" w:space="0"/>
              <w:left w:val="single" w:color="DDDDDD" w:sz="4" w:space="0"/>
              <w:bottom w:val="single" w:color="DDDDDD" w:sz="4" w:space="0"/>
              <w:right w:val="single" w:color="auto" w:sz="4" w:space="0"/>
            </w:tcBorders>
            <w:shd w:val="clear" w:color="auto" w:fill="FFFFFF"/>
          </w:tcPr>
          <w:p w14:paraId="38B1F9FE">
            <w:pPr>
              <w:pStyle w:val="73"/>
              <w:numPr>
                <w:ilvl w:val="2"/>
                <w:numId w:val="0"/>
              </w:numPr>
              <w:bidi w:val="0"/>
              <w:jc w:val="center"/>
              <w:rPr>
                <w:rFonts w:hint="default"/>
                <w:color w:val="000000"/>
                <w:vertAlign w:val="baseline"/>
                <w:lang w:val="en-US"/>
              </w:rPr>
            </w:pPr>
            <w:r>
              <w:rPr>
                <w:rFonts w:hint="default"/>
                <w:color w:val="000000"/>
                <w:vertAlign w:val="baseline"/>
                <w:lang w:val="en-US"/>
              </w:rPr>
              <w:t>展品尺寸形状等三维信息、展品材质数据、展品出入库信息、展陈与撤展行为信息、用途链信息</w:t>
            </w:r>
          </w:p>
        </w:tc>
      </w:tr>
      <w:tr w14:paraId="2A3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3" w:type="dxa"/>
            <w:tcBorders>
              <w:top w:val="single" w:color="DDDDDD" w:sz="4" w:space="0"/>
              <w:left w:val="single" w:color="auto" w:sz="4" w:space="0"/>
              <w:bottom w:val="single" w:color="DDDDDD" w:sz="4" w:space="0"/>
              <w:right w:val="single" w:color="DDDDDD" w:sz="4" w:space="0"/>
            </w:tcBorders>
            <w:shd w:val="clear" w:color="auto" w:fill="FFFFFF"/>
          </w:tcPr>
          <w:p w14:paraId="5EE87770">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4</w:t>
            </w:r>
          </w:p>
        </w:tc>
        <w:tc>
          <w:tcPr>
            <w:tcW w:w="1542" w:type="dxa"/>
            <w:tcBorders>
              <w:top w:val="single" w:color="DDDDDD" w:sz="4" w:space="0"/>
              <w:left w:val="single" w:color="DDDDDD" w:sz="4" w:space="0"/>
              <w:bottom w:val="single" w:color="DDDDDD" w:sz="4" w:space="0"/>
              <w:right w:val="single" w:color="DDDDDD" w:sz="4" w:space="0"/>
            </w:tcBorders>
            <w:shd w:val="clear" w:color="auto" w:fill="FFFFFF"/>
          </w:tcPr>
          <w:p w14:paraId="11A7DB39">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病例档案数据</w:t>
            </w:r>
          </w:p>
        </w:tc>
        <w:tc>
          <w:tcPr>
            <w:tcW w:w="1451" w:type="dxa"/>
            <w:tcBorders>
              <w:top w:val="single" w:color="DDDDDD" w:sz="4" w:space="0"/>
              <w:left w:val="single" w:color="DDDDDD" w:sz="4" w:space="0"/>
              <w:bottom w:val="single" w:color="DDDDDD" w:sz="4" w:space="0"/>
              <w:right w:val="single" w:color="DDDDDD" w:sz="4" w:space="0"/>
            </w:tcBorders>
            <w:shd w:val="clear" w:color="auto" w:fill="FFFFFF"/>
          </w:tcPr>
          <w:p w14:paraId="46198F82">
            <w:pPr>
              <w:pStyle w:val="73"/>
              <w:numPr>
                <w:ilvl w:val="2"/>
                <w:numId w:val="0"/>
              </w:numPr>
              <w:bidi w:val="0"/>
              <w:jc w:val="center"/>
              <w:rPr>
                <w:rFonts w:hint="default" w:eastAsia="微软雅黑"/>
                <w:color w:val="000000"/>
                <w:vertAlign w:val="baseline"/>
                <w:lang w:val="en-US" w:eastAsia="zh-CN"/>
              </w:rPr>
            </w:pPr>
            <w:r>
              <w:rPr>
                <w:rFonts w:hint="eastAsia"/>
                <w:color w:val="000000"/>
                <w:vertAlign w:val="baseline"/>
                <w:lang w:val="en-US" w:eastAsia="zh-CN"/>
              </w:rPr>
              <w:t>病案管理系统</w:t>
            </w:r>
          </w:p>
        </w:tc>
        <w:tc>
          <w:tcPr>
            <w:tcW w:w="4031" w:type="dxa"/>
            <w:tcBorders>
              <w:top w:val="single" w:color="DDDDDD" w:sz="4" w:space="0"/>
              <w:left w:val="single" w:color="DDDDDD" w:sz="4" w:space="0"/>
              <w:bottom w:val="single" w:color="DDDDDD" w:sz="4" w:space="0"/>
              <w:right w:val="single" w:color="auto" w:sz="4" w:space="0"/>
            </w:tcBorders>
            <w:shd w:val="clear" w:color="auto" w:fill="FFFFFF"/>
          </w:tcPr>
          <w:p w14:paraId="153C47D5">
            <w:pPr>
              <w:pStyle w:val="73"/>
              <w:numPr>
                <w:ilvl w:val="2"/>
                <w:numId w:val="0"/>
              </w:numPr>
              <w:bidi w:val="0"/>
              <w:jc w:val="center"/>
              <w:rPr>
                <w:rFonts w:hint="default"/>
                <w:color w:val="000000"/>
                <w:vertAlign w:val="baseline"/>
                <w:lang w:val="en-US"/>
              </w:rPr>
            </w:pPr>
            <w:r>
              <w:rPr>
                <w:rFonts w:hint="default"/>
                <w:color w:val="000000"/>
                <w:vertAlign w:val="baseline"/>
                <w:lang w:val="en-US"/>
              </w:rPr>
              <w:t>申请信息、出入库信息、查阅信息、用途归档信息、试验项目信息</w:t>
            </w:r>
          </w:p>
        </w:tc>
      </w:tr>
      <w:tr w14:paraId="5BE6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33" w:type="dxa"/>
            <w:tcBorders>
              <w:top w:val="single" w:color="DDDDDD" w:sz="4" w:space="0"/>
              <w:left w:val="single" w:color="auto" w:sz="4" w:space="0"/>
              <w:bottom w:val="single" w:color="auto" w:sz="4" w:space="0"/>
              <w:right w:val="single" w:color="DDDDDD" w:sz="4" w:space="0"/>
            </w:tcBorders>
            <w:shd w:val="clear" w:color="auto" w:fill="FFFFFF"/>
          </w:tcPr>
          <w:p w14:paraId="290AE7BB">
            <w:pPr>
              <w:pStyle w:val="73"/>
              <w:numPr>
                <w:ilvl w:val="2"/>
                <w:numId w:val="0"/>
              </w:numPr>
              <w:bidi w:val="0"/>
              <w:jc w:val="center"/>
              <w:rPr>
                <w:rFonts w:hint="default"/>
                <w:color w:val="000000"/>
                <w:vertAlign w:val="baseline"/>
                <w:lang w:val="en-US" w:eastAsia="zh-CN"/>
              </w:rPr>
            </w:pPr>
            <w:r>
              <w:rPr>
                <w:rFonts w:hint="eastAsia"/>
                <w:color w:val="000000"/>
                <w:vertAlign w:val="baseline"/>
                <w:lang w:val="en-US" w:eastAsia="zh-CN"/>
              </w:rPr>
              <w:t>5</w:t>
            </w:r>
          </w:p>
        </w:tc>
        <w:tc>
          <w:tcPr>
            <w:tcW w:w="1542" w:type="dxa"/>
            <w:tcBorders>
              <w:top w:val="single" w:color="DDDDDD" w:sz="4" w:space="0"/>
              <w:left w:val="single" w:color="DDDDDD" w:sz="4" w:space="0"/>
              <w:bottom w:val="single" w:color="auto" w:sz="4" w:space="0"/>
              <w:right w:val="single" w:color="DDDDDD" w:sz="4" w:space="0"/>
            </w:tcBorders>
            <w:shd w:val="clear" w:color="auto" w:fill="FFFFFF"/>
            <w:vAlign w:val="top"/>
          </w:tcPr>
          <w:p w14:paraId="29D7B6FF">
            <w:pPr>
              <w:pStyle w:val="73"/>
              <w:numPr>
                <w:ilvl w:val="2"/>
                <w:numId w:val="0"/>
              </w:numPr>
              <w:bidi w:val="0"/>
              <w:ind w:left="0" w:leftChars="0" w:firstLine="0" w:firstLineChars="0"/>
              <w:jc w:val="center"/>
              <w:rPr>
                <w:rFonts w:hint="eastAsia"/>
                <w:color w:val="000000"/>
                <w:vertAlign w:val="baseline"/>
                <w:lang w:val="en-US" w:eastAsia="zh-CN"/>
              </w:rPr>
            </w:pPr>
            <w:r>
              <w:rPr>
                <w:rFonts w:hint="eastAsia"/>
                <w:color w:val="000000"/>
                <w:vertAlign w:val="baseline"/>
                <w:lang w:val="en-US" w:eastAsia="zh-CN"/>
              </w:rPr>
              <w:t>其它数据</w:t>
            </w:r>
          </w:p>
        </w:tc>
        <w:tc>
          <w:tcPr>
            <w:tcW w:w="1451" w:type="dxa"/>
            <w:tcBorders>
              <w:top w:val="single" w:color="DDDDDD" w:sz="4" w:space="0"/>
              <w:left w:val="single" w:color="DDDDDD" w:sz="4" w:space="0"/>
              <w:bottom w:val="single" w:color="auto" w:sz="4" w:space="0"/>
              <w:right w:val="single" w:color="DDDDDD" w:sz="4" w:space="0"/>
            </w:tcBorders>
            <w:shd w:val="clear" w:color="auto" w:fill="FFFFFF"/>
            <w:vAlign w:val="top"/>
          </w:tcPr>
          <w:p w14:paraId="0E5C4FF6">
            <w:pPr>
              <w:pStyle w:val="73"/>
              <w:numPr>
                <w:ilvl w:val="2"/>
                <w:numId w:val="0"/>
              </w:numPr>
              <w:bidi w:val="0"/>
              <w:ind w:left="0" w:leftChars="0" w:firstLine="0" w:firstLineChars="0"/>
              <w:jc w:val="center"/>
              <w:rPr>
                <w:rFonts w:hint="eastAsia"/>
                <w:color w:val="000000"/>
                <w:vertAlign w:val="baseline"/>
                <w:lang w:val="en-US" w:eastAsia="zh-CN"/>
              </w:rPr>
            </w:pPr>
            <w:r>
              <w:rPr>
                <w:rFonts w:hint="eastAsia"/>
                <w:color w:val="000000"/>
                <w:vertAlign w:val="baseline"/>
                <w:lang w:val="en-US" w:eastAsia="zh-CN"/>
              </w:rPr>
              <w:t>“粤康链”数据中台</w:t>
            </w:r>
          </w:p>
        </w:tc>
        <w:tc>
          <w:tcPr>
            <w:tcW w:w="4031" w:type="dxa"/>
            <w:tcBorders>
              <w:top w:val="single" w:color="DDDDDD" w:sz="4" w:space="0"/>
              <w:left w:val="single" w:color="DDDDDD" w:sz="4" w:space="0"/>
              <w:bottom w:val="single" w:color="auto" w:sz="4" w:space="0"/>
              <w:right w:val="single" w:color="auto" w:sz="4" w:space="0"/>
            </w:tcBorders>
            <w:shd w:val="clear" w:color="auto" w:fill="FFFFFF"/>
            <w:vAlign w:val="top"/>
          </w:tcPr>
          <w:p w14:paraId="318F3F1A">
            <w:pPr>
              <w:pStyle w:val="73"/>
              <w:numPr>
                <w:ilvl w:val="2"/>
                <w:numId w:val="0"/>
              </w:numPr>
              <w:bidi w:val="0"/>
              <w:ind w:left="0" w:leftChars="0" w:firstLine="0" w:firstLineChars="0"/>
              <w:jc w:val="center"/>
              <w:rPr>
                <w:rFonts w:hint="default"/>
                <w:color w:val="000000"/>
                <w:vertAlign w:val="baseline"/>
                <w:lang w:val="en-US"/>
              </w:rPr>
            </w:pPr>
            <w:r>
              <w:rPr>
                <w:rFonts w:hint="default"/>
                <w:color w:val="000000"/>
                <w:vertAlign w:val="baseline"/>
              </w:rPr>
              <w:t>采集规则、采集设置、接口模式</w:t>
            </w:r>
            <w:r>
              <w:rPr>
                <w:rFonts w:hint="eastAsia"/>
                <w:color w:val="000000"/>
                <w:vertAlign w:val="baseline"/>
                <w:lang w:eastAsia="zh-CN"/>
              </w:rPr>
              <w:t>、访问账号、访问时间、访问数据情况</w:t>
            </w:r>
          </w:p>
        </w:tc>
      </w:tr>
    </w:tbl>
    <w:p w14:paraId="2BE0A9AF">
      <w:pPr>
        <w:pStyle w:val="73"/>
        <w:numPr>
          <w:ilvl w:val="2"/>
          <w:numId w:val="0"/>
        </w:numPr>
        <w:bidi w:val="0"/>
        <w:ind w:left="567" w:leftChars="0"/>
        <w:rPr>
          <w:rFonts w:hint="default"/>
        </w:rPr>
      </w:pPr>
      <w:r>
        <w:rPr>
          <w:rFonts w:hint="default"/>
        </w:rPr>
        <w:t>注：</w:t>
      </w:r>
      <w:r>
        <w:rPr>
          <w:rFonts w:hint="default"/>
          <w:color w:val="000000"/>
          <w:vertAlign w:val="baseline"/>
        </w:rPr>
        <w:t>“十防”</w:t>
      </w:r>
      <w:r>
        <w:rPr>
          <w:rFonts w:hint="eastAsia"/>
          <w:color w:val="000000"/>
          <w:vertAlign w:val="baseline"/>
          <w:lang w:val="en-US" w:eastAsia="zh-CN"/>
        </w:rPr>
        <w:t>即</w:t>
      </w:r>
      <w:r>
        <w:rPr>
          <w:rFonts w:hint="default"/>
        </w:rPr>
        <w:t>防高低温、防盗、防火、防水、防虫、防鼠、防尘、防光、防霉、防污染</w:t>
      </w:r>
      <w:r>
        <w:rPr>
          <w:rFonts w:hint="eastAsia"/>
          <w:lang w:eastAsia="zh-CN"/>
        </w:rPr>
        <w:t>，</w:t>
      </w:r>
      <w:r>
        <w:rPr>
          <w:rFonts w:hint="eastAsia"/>
          <w:lang w:val="en-US" w:eastAsia="zh-CN"/>
        </w:rPr>
        <w:t>共计十项</w:t>
      </w:r>
      <w:r>
        <w:rPr>
          <w:rFonts w:hint="default"/>
        </w:rPr>
        <w:t>库房环境管理</w:t>
      </w:r>
      <w:r>
        <w:rPr>
          <w:rFonts w:hint="eastAsia"/>
          <w:lang w:val="en-US" w:eastAsia="zh-CN"/>
        </w:rPr>
        <w:t>信息。</w:t>
      </w:r>
    </w:p>
    <w:p w14:paraId="41616362">
      <w:pPr>
        <w:pStyle w:val="73"/>
        <w:bidi w:val="0"/>
        <w:ind w:left="964" w:leftChars="0" w:hanging="567" w:firstLineChars="0"/>
        <w:rPr>
          <w:rFonts w:hint="default"/>
        </w:rPr>
      </w:pPr>
      <w:r>
        <w:rPr>
          <w:rFonts w:hint="eastAsia"/>
          <w:lang w:val="en-US" w:eastAsia="zh-CN"/>
        </w:rPr>
        <w:t>档案信息跨域检索：提供电子档案的跨域传阅功能，建设档案虚拟化标识体系，允许对非涉密公开档案跨域的目录、内容预览，同时允许档案管理门户跨域下载全库档案并监视约束其查阅、预览、下载行为，达成数据使用效率最大化，形成信息化档案寻址目录建设。</w:t>
      </w:r>
    </w:p>
    <w:p w14:paraId="18CF78CB">
      <w:pPr>
        <w:pStyle w:val="74"/>
        <w:numPr>
          <w:ilvl w:val="1"/>
          <w:numId w:val="0"/>
        </w:numPr>
        <w:bidi w:val="0"/>
        <w:rPr>
          <w:rFonts w:hint="default"/>
        </w:rPr>
      </w:pPr>
    </w:p>
    <w:p w14:paraId="29070837">
      <w:pPr>
        <w:pStyle w:val="75"/>
        <w:numPr>
          <w:ilvl w:val="0"/>
          <w:numId w:val="8"/>
        </w:numPr>
        <w:rPr>
          <w:rFonts w:hint="default"/>
        </w:rPr>
      </w:pPr>
      <w:r>
        <w:rPr>
          <w:rFonts w:hint="eastAsia"/>
          <w:lang w:val="en-US" w:eastAsia="zh-CN"/>
        </w:rPr>
        <w:t>项目其他需求</w:t>
      </w:r>
    </w:p>
    <w:p w14:paraId="1864309E">
      <w:pPr>
        <w:pStyle w:val="74"/>
        <w:numPr>
          <w:ilvl w:val="1"/>
          <w:numId w:val="9"/>
        </w:numPr>
        <w:bidi w:val="0"/>
        <w:ind w:left="1250" w:leftChars="0" w:hanging="967" w:firstLineChars="0"/>
        <w:rPr>
          <w:rFonts w:hint="default"/>
        </w:rPr>
      </w:pPr>
      <w:r>
        <w:rPr>
          <w:rFonts w:hint="eastAsia"/>
          <w:lang w:val="en-US" w:eastAsia="zh-CN"/>
        </w:rPr>
        <w:t>解决方案形式不限，但至少应包含符合所有技术需求的实体编译软件或者在线平台至少一项，移动端软件至少一项，服务端后台至少一项。</w:t>
      </w:r>
    </w:p>
    <w:p w14:paraId="7B34F0CC">
      <w:pPr>
        <w:pStyle w:val="74"/>
        <w:numPr>
          <w:ilvl w:val="1"/>
          <w:numId w:val="9"/>
        </w:numPr>
        <w:bidi w:val="0"/>
        <w:ind w:left="1250" w:leftChars="0" w:hanging="967" w:firstLineChars="0"/>
        <w:rPr>
          <w:rFonts w:hint="default"/>
        </w:rPr>
      </w:pPr>
      <w:r>
        <w:rPr>
          <w:rFonts w:hint="eastAsia"/>
          <w:lang w:val="en-US" w:eastAsia="zh-CN"/>
        </w:rPr>
        <w:t>项目承建商</w:t>
      </w:r>
      <w:r>
        <w:t>须</w:t>
      </w:r>
      <w:r>
        <w:rPr>
          <w:rFonts w:hint="eastAsia"/>
          <w:lang w:val="en-US" w:eastAsia="zh-CN"/>
        </w:rPr>
        <w:t>配合院方开展对于信息产出的知识产权保护工作，包括但不仅限于通过软件著作权，国家发明专利，数字专利等形式来进行知识产权保护。</w:t>
      </w:r>
    </w:p>
    <w:p w14:paraId="536525CB">
      <w:pPr>
        <w:pStyle w:val="74"/>
        <w:numPr>
          <w:ilvl w:val="1"/>
          <w:numId w:val="9"/>
        </w:numPr>
        <w:bidi w:val="0"/>
        <w:ind w:left="1250" w:leftChars="0" w:hanging="967" w:firstLineChars="0"/>
        <w:rPr>
          <w:rFonts w:hint="default"/>
        </w:rPr>
      </w:pPr>
      <w:r>
        <w:rPr>
          <w:rFonts w:hint="eastAsia"/>
          <w:lang w:val="en-US" w:eastAsia="zh-CN"/>
        </w:rPr>
        <w:t>项目承建商</w:t>
      </w:r>
      <w:r>
        <w:t>须</w:t>
      </w:r>
      <w:r>
        <w:rPr>
          <w:rFonts w:hint="eastAsia"/>
          <w:lang w:val="en-US" w:eastAsia="zh-CN"/>
        </w:rPr>
        <w:t>配合院方完成基于本项目的科研成果产出，完成基于本项目的数据标准化工作（相应的成果列表会在合同签订后进行合作规划拟定）。如有必要，项目承建商也需配合院方完成基于项目的相关课题申报和实施。</w:t>
      </w:r>
    </w:p>
    <w:p w14:paraId="6932471A">
      <w:pPr>
        <w:pStyle w:val="75"/>
        <w:numPr>
          <w:ilvl w:val="0"/>
          <w:numId w:val="8"/>
        </w:numPr>
        <w:rPr>
          <w:rFonts w:hint="default"/>
        </w:rPr>
      </w:pPr>
      <w:r>
        <w:t>项目工期</w:t>
      </w:r>
    </w:p>
    <w:p w14:paraId="3D8C7737">
      <w:pPr>
        <w:pStyle w:val="74"/>
        <w:numPr>
          <w:ilvl w:val="1"/>
          <w:numId w:val="8"/>
        </w:numPr>
        <w:rPr>
          <w:rFonts w:hint="default"/>
        </w:rPr>
      </w:pPr>
      <w:r>
        <w:t>自合同签订日起，须在30个工作日内对《用户需求说明书》进行补充、确认或提出意见。</w:t>
      </w:r>
    </w:p>
    <w:p w14:paraId="139CA62B">
      <w:pPr>
        <w:pStyle w:val="74"/>
        <w:numPr>
          <w:ilvl w:val="1"/>
          <w:numId w:val="8"/>
        </w:numPr>
        <w:rPr>
          <w:rFonts w:hint="default"/>
        </w:rPr>
      </w:pPr>
      <w:r>
        <w:t>对《用户需求说明书》提出意见后，院方组织进行用户需求调研，根据调研情况提供业务调研记录、现况分析、功能设计及说明，双方共同整理并在30个工作日内确认《需求规格说明书》。</w:t>
      </w:r>
    </w:p>
    <w:p w14:paraId="76F3806A">
      <w:pPr>
        <w:pStyle w:val="74"/>
        <w:numPr>
          <w:ilvl w:val="1"/>
          <w:numId w:val="8"/>
        </w:numPr>
        <w:rPr>
          <w:rFonts w:hint="default"/>
        </w:rPr>
      </w:pPr>
      <w:r>
        <w:t>须在《需求规格说明书》确认后的</w:t>
      </w:r>
      <w:r>
        <w:rPr>
          <w:rFonts w:hint="eastAsia"/>
          <w:lang w:val="en-US" w:eastAsia="zh-CN"/>
        </w:rPr>
        <w:t>24</w:t>
      </w:r>
      <w:r>
        <w:t>个月内完成实施和保证系统正常工作。</w:t>
      </w:r>
    </w:p>
    <w:p w14:paraId="25BF52C1">
      <w:pPr>
        <w:pStyle w:val="74"/>
        <w:numPr>
          <w:ilvl w:val="1"/>
          <w:numId w:val="8"/>
        </w:numPr>
        <w:rPr>
          <w:rFonts w:hint="default"/>
        </w:rPr>
      </w:pPr>
      <w:r>
        <w:t>完成软件实施，并根据院方提出的新需求完成修改后，系统运行6个月以上无软件故障出现，则向院方申请验收。</w:t>
      </w:r>
    </w:p>
    <w:p w14:paraId="37CD7D1D">
      <w:pPr>
        <w:pStyle w:val="74"/>
        <w:numPr>
          <w:ilvl w:val="1"/>
          <w:numId w:val="8"/>
        </w:numPr>
        <w:rPr>
          <w:rFonts w:hint="default"/>
        </w:rPr>
      </w:pPr>
      <w:r>
        <w:t>软件验收完成后，供应商应提供24个月软件维护服务，维护服务的内容应包括但不仅限于软件的常规更新维护，按照模板帮助新增系统流程，进行软件的外观调整等。</w:t>
      </w:r>
    </w:p>
    <w:p w14:paraId="2DB59FBF">
      <w:pPr>
        <w:rPr>
          <w:rFonts w:ascii="微软雅黑" w:hAnsi="微软雅黑" w:eastAsia="微软雅黑" w:cs="微软雅黑"/>
          <w:lang w:val="zh-CN"/>
        </w:rPr>
      </w:pPr>
    </w:p>
    <w:p w14:paraId="09554B94">
      <w:pPr>
        <w:pStyle w:val="75"/>
        <w:numPr>
          <w:ilvl w:val="0"/>
          <w:numId w:val="8"/>
        </w:numPr>
        <w:rPr>
          <w:rFonts w:hint="default"/>
        </w:rPr>
      </w:pPr>
      <w:r>
        <w:t>集成技术及实施服务要求</w:t>
      </w:r>
    </w:p>
    <w:p w14:paraId="549B0BBF">
      <w:pPr>
        <w:pStyle w:val="74"/>
        <w:numPr>
          <w:ilvl w:val="1"/>
          <w:numId w:val="9"/>
        </w:numPr>
        <w:rPr>
          <w:rFonts w:hint="default"/>
        </w:rPr>
      </w:pPr>
      <w:r>
        <w:t>项目实施期内承建商提供专职工程师</w:t>
      </w:r>
      <w:r>
        <w:rPr>
          <w:rFonts w:hint="eastAsia"/>
          <w:lang w:val="en-US" w:eastAsia="zh-CN"/>
        </w:rPr>
        <w:t>2</w:t>
      </w:r>
      <w:r>
        <w:t>名驻扎本院，工作时间与院方工作时间一致，并且提供7*24小时响应服务。</w:t>
      </w:r>
    </w:p>
    <w:p w14:paraId="549D6C79">
      <w:pPr>
        <w:pStyle w:val="74"/>
        <w:numPr>
          <w:ilvl w:val="1"/>
          <w:numId w:val="9"/>
        </w:numPr>
        <w:rPr>
          <w:rFonts w:hint="default"/>
        </w:rPr>
      </w:pPr>
      <w:r>
        <w:t>在项目实施前，结合院方项目需求，根据《网络安全等级保护制度》自评等保级别。需向医院提交设计方案进行安全评审，保证安全技术措施同步规划，系统建设根据信息系统安全等级保护要求进行建设。</w:t>
      </w:r>
    </w:p>
    <w:p w14:paraId="6879A5E2">
      <w:pPr>
        <w:pStyle w:val="74"/>
        <w:numPr>
          <w:ilvl w:val="1"/>
          <w:numId w:val="9"/>
        </w:numPr>
        <w:rPr>
          <w:rFonts w:hint="default"/>
        </w:rPr>
      </w:pPr>
      <w: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2E876685">
      <w:pPr>
        <w:pStyle w:val="74"/>
        <w:numPr>
          <w:ilvl w:val="1"/>
          <w:numId w:val="9"/>
        </w:numPr>
        <w:rPr>
          <w:rFonts w:hint="default"/>
        </w:rPr>
      </w:pPr>
      <w:r>
        <w:t>项目承建商需根据院方的详细需求，提交项目系统的安装、调试及培训实施方案，方案得到院方确认后实施，保证系统按时、正常地投入运行。</w:t>
      </w:r>
    </w:p>
    <w:p w14:paraId="7363669F">
      <w:pPr>
        <w:pStyle w:val="74"/>
        <w:bidi w:val="0"/>
        <w:ind w:left="0" w:leftChars="0" w:firstLine="283" w:firstLineChars="0"/>
        <w:rPr>
          <w:rFonts w:hint="default"/>
        </w:rPr>
      </w:pPr>
      <w:r>
        <w:t>项目承建商应为院方进行培训，包括使用培训和维护培训。承建商应提出详细的培训计划，提供培训教材。技术培训的内容必须覆盖产品的安装、日常操作和管理维护，以及基本的故障诊断与</w:t>
      </w:r>
      <w:r>
        <w:rPr>
          <w:rFonts w:hint="eastAsia"/>
          <w:lang w:eastAsia="zh-CN"/>
        </w:rPr>
        <w:t>排查</w:t>
      </w:r>
      <w:r>
        <w:t>。包括数据库与开发技术培训、系统维护培训、高级用户培训、用户培训，并保证培训效果。</w:t>
      </w:r>
    </w:p>
    <w:p w14:paraId="2FACFD2A">
      <w:pPr>
        <w:pStyle w:val="74"/>
        <w:numPr>
          <w:ilvl w:val="1"/>
          <w:numId w:val="9"/>
        </w:numPr>
        <w:rPr>
          <w:rFonts w:hint="default"/>
        </w:rPr>
      </w:pPr>
      <w:r>
        <w:t>验收由承建商给出具体的验收计划、测试的内容和方法，经院方审核通过后，方可进行验收测试。</w:t>
      </w:r>
    </w:p>
    <w:p w14:paraId="1F34701A">
      <w:pPr>
        <w:snapToGrid w:val="0"/>
        <w:spacing w:line="360" w:lineRule="auto"/>
        <w:rPr>
          <w:rFonts w:ascii="微软雅黑" w:hAnsi="微软雅黑" w:eastAsia="微软雅黑" w:cs="微软雅黑"/>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3671">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351E4ED2">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EBF0"/>
    <w:multiLevelType w:val="multilevel"/>
    <w:tmpl w:val="05EBEBF0"/>
    <w:lvl w:ilvl="0" w:tentative="0">
      <w:start w:val="1"/>
      <w:numFmt w:val="decimal"/>
      <w:lvlText w:val="%1."/>
      <w:lvlJc w:val="left"/>
      <w:pPr>
        <w:ind w:left="425" w:hanging="425"/>
      </w:pPr>
      <w:rPr>
        <w:rFonts w:hint="default"/>
      </w:rPr>
    </w:lvl>
    <w:lvl w:ilvl="1" w:tentative="0">
      <w:start w:val="1"/>
      <w:numFmt w:val="decimal"/>
      <w:suff w:val="space"/>
      <w:lvlText w:val="3.%2."/>
      <w:lvlJc w:val="left"/>
      <w:pPr>
        <w:tabs>
          <w:tab w:val="left" w:pos="0"/>
        </w:tabs>
        <w:ind w:left="0" w:leftChars="0" w:firstLine="283" w:firstLineChars="0"/>
      </w:pPr>
      <w:rPr>
        <w:rFonts w:hint="default"/>
      </w:rPr>
    </w:lvl>
    <w:lvl w:ilvl="2" w:tentative="0">
      <w:start w:val="1"/>
      <w:numFmt w:val="decimal"/>
      <w:suff w:val="space"/>
      <w:lvlText w:val="3.%2.%3."/>
      <w:lvlJc w:val="left"/>
      <w:pPr>
        <w:tabs>
          <w:tab w:val="left" w:pos="0"/>
        </w:tabs>
        <w:ind w:left="964" w:leftChars="0" w:hanging="567"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11E47DAD"/>
    <w:multiLevelType w:val="multilevel"/>
    <w:tmpl w:val="11E47DAD"/>
    <w:lvl w:ilvl="0" w:tentative="0">
      <w:start w:val="1"/>
      <w:numFmt w:val="decimal"/>
      <w:lvlText w:val="%1."/>
      <w:lvlJc w:val="left"/>
      <w:pPr>
        <w:ind w:left="425" w:hanging="425"/>
      </w:pPr>
      <w:rPr>
        <w:rFonts w:hint="default"/>
      </w:rPr>
    </w:lvl>
    <w:lvl w:ilvl="1" w:tentative="0">
      <w:start w:val="1"/>
      <w:numFmt w:val="decimal"/>
      <w:suff w:val="space"/>
      <w:lvlText w:val="2.%2."/>
      <w:lvlJc w:val="left"/>
      <w:pPr>
        <w:tabs>
          <w:tab w:val="left" w:pos="0"/>
        </w:tabs>
        <w:ind w:left="0" w:leftChars="0" w:firstLine="283" w:firstLineChars="0"/>
      </w:pPr>
      <w:rPr>
        <w:rFonts w:hint="default"/>
      </w:rPr>
    </w:lvl>
    <w:lvl w:ilvl="2" w:tentative="0">
      <w:start w:val="1"/>
      <w:numFmt w:val="decimal"/>
      <w:suff w:val="space"/>
      <w:lvlText w:val="2.%2.%3."/>
      <w:lvlJc w:val="left"/>
      <w:pPr>
        <w:tabs>
          <w:tab w:val="left" w:pos="0"/>
        </w:tabs>
        <w:ind w:left="964" w:leftChars="0" w:hanging="567"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66"/>
      <w:lvlText w:val="%1. "/>
      <w:lvlJc w:val="left"/>
      <w:pPr>
        <w:ind w:left="420" w:hanging="420"/>
      </w:pPr>
      <w:rPr>
        <w:rFonts w:hint="default" w:ascii="Times New Roman" w:hAnsi="Times New Roman" w:eastAsia="宋体"/>
        <w:b/>
        <w:i w:val="0"/>
      </w:rPr>
    </w:lvl>
    <w:lvl w:ilvl="1" w:tentative="0">
      <w:start w:val="1"/>
      <w:numFmt w:val="decimal"/>
      <w:pStyle w:val="59"/>
      <w:isLgl/>
      <w:suff w:val="space"/>
      <w:lvlText w:val="%1.%2 "/>
      <w:lvlJc w:val="left"/>
      <w:pPr>
        <w:ind w:left="3913" w:hanging="794"/>
      </w:pPr>
      <w:rPr>
        <w:rFonts w:hint="eastAsia"/>
      </w:rPr>
    </w:lvl>
    <w:lvl w:ilvl="2" w:tentative="0">
      <w:start w:val="1"/>
      <w:numFmt w:val="decimal"/>
      <w:pStyle w:val="65"/>
      <w:isLgl/>
      <w:suff w:val="space"/>
      <w:lvlText w:val="%1.%2.%3 "/>
      <w:lvlJc w:val="left"/>
      <w:pPr>
        <w:ind w:left="907" w:hanging="907"/>
      </w:pPr>
      <w:rPr>
        <w:rFonts w:hint="eastAsia"/>
      </w:rPr>
    </w:lvl>
    <w:lvl w:ilvl="3" w:tentative="0">
      <w:start w:val="1"/>
      <w:numFmt w:val="decimal"/>
      <w:pStyle w:val="64"/>
      <w:isLgl/>
      <w:suff w:val="space"/>
      <w:lvlText w:val="%1.%2.%3.%4 "/>
      <w:lvlJc w:val="left"/>
      <w:pPr>
        <w:ind w:left="1021" w:hanging="1021"/>
      </w:pPr>
      <w:rPr>
        <w:rFonts w:hint="eastAsia"/>
      </w:rPr>
    </w:lvl>
    <w:lvl w:ilvl="4" w:tentative="0">
      <w:start w:val="1"/>
      <w:numFmt w:val="decimal"/>
      <w:pStyle w:val="69"/>
      <w:isLgl/>
      <w:suff w:val="space"/>
      <w:lvlText w:val="%1.%2.%3.%4.%5 "/>
      <w:lvlJc w:val="left"/>
      <w:pPr>
        <w:ind w:left="1134" w:hanging="1134"/>
      </w:pPr>
      <w:rPr>
        <w:rFonts w:hint="eastAsia"/>
      </w:rPr>
    </w:lvl>
    <w:lvl w:ilvl="5" w:tentative="0">
      <w:start w:val="1"/>
      <w:numFmt w:val="decimal"/>
      <w:pStyle w:val="63"/>
      <w:isLgl/>
      <w:suff w:val="space"/>
      <w:lvlText w:val="%1.%2.%3.%4.%5.%6 "/>
      <w:lvlJc w:val="left"/>
      <w:pPr>
        <w:ind w:left="1247" w:hanging="1247"/>
      </w:pPr>
      <w:rPr>
        <w:rFonts w:hint="eastAsia"/>
      </w:rPr>
    </w:lvl>
    <w:lvl w:ilvl="6" w:tentative="0">
      <w:start w:val="1"/>
      <w:numFmt w:val="decimal"/>
      <w:lvlRestart w:val="1"/>
      <w:pStyle w:val="58"/>
      <w:isLgl/>
      <w:suff w:val="space"/>
      <w:lvlText w:val="图 %1.%7 "/>
      <w:lvlJc w:val="left"/>
      <w:pPr>
        <w:ind w:left="0" w:firstLine="0"/>
      </w:pPr>
      <w:rPr>
        <w:rFonts w:hint="eastAsia"/>
      </w:rPr>
    </w:lvl>
    <w:lvl w:ilvl="7" w:tentative="0">
      <w:start w:val="1"/>
      <w:numFmt w:val="decimal"/>
      <w:lvlRestart w:val="1"/>
      <w:pStyle w:val="6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12C8561"/>
    <w:multiLevelType w:val="multilevel"/>
    <w:tmpl w:val="412C8561"/>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283" w:firstLineChars="0"/>
      </w:pPr>
      <w:rPr>
        <w:rFonts w:hint="default"/>
      </w:rPr>
    </w:lvl>
    <w:lvl w:ilvl="2" w:tentative="0">
      <w:start w:val="1"/>
      <w:numFmt w:val="decimal"/>
      <w:suff w:val="space"/>
      <w:lvlText w:val="%1.%2.%3."/>
      <w:lvlJc w:val="left"/>
      <w:pPr>
        <w:ind w:left="964" w:leftChars="0" w:hanging="567"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51D31379"/>
    <w:multiLevelType w:val="multilevel"/>
    <w:tmpl w:val="51D31379"/>
    <w:lvl w:ilvl="0" w:tentative="0">
      <w:start w:val="1"/>
      <w:numFmt w:val="decimal"/>
      <w:lvlText w:val="%1."/>
      <w:lvlJc w:val="left"/>
      <w:pPr>
        <w:ind w:left="425" w:hanging="425"/>
      </w:pPr>
      <w:rPr>
        <w:rFonts w:hint="default"/>
      </w:rPr>
    </w:lvl>
    <w:lvl w:ilvl="1" w:tentative="0">
      <w:start w:val="1"/>
      <w:numFmt w:val="decimal"/>
      <w:pStyle w:val="74"/>
      <w:suff w:val="space"/>
      <w:lvlText w:val="4.%2."/>
      <w:lvlJc w:val="left"/>
      <w:pPr>
        <w:tabs>
          <w:tab w:val="left" w:pos="0"/>
        </w:tabs>
        <w:ind w:left="0" w:leftChars="0" w:firstLine="283" w:firstLineChars="0"/>
      </w:pPr>
      <w:rPr>
        <w:rFonts w:hint="default"/>
      </w:rPr>
    </w:lvl>
    <w:lvl w:ilvl="2" w:tentative="0">
      <w:start w:val="1"/>
      <w:numFmt w:val="decimal"/>
      <w:pStyle w:val="73"/>
      <w:suff w:val="space"/>
      <w:lvlText w:val="4.%2.%3."/>
      <w:lvlJc w:val="left"/>
      <w:pPr>
        <w:tabs>
          <w:tab w:val="left" w:pos="0"/>
        </w:tabs>
        <w:ind w:left="964" w:leftChars="0" w:hanging="567"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520BB29D"/>
    <w:multiLevelType w:val="multilevel"/>
    <w:tmpl w:val="520BB29D"/>
    <w:lvl w:ilvl="0" w:tentative="0">
      <w:start w:val="1"/>
      <w:numFmt w:val="chineseCounting"/>
      <w:pStyle w:val="75"/>
      <w:lvlText w:val="%1、"/>
      <w:lvlJc w:val="left"/>
      <w:pPr>
        <w:ind w:left="1130" w:hanging="1130"/>
      </w:pPr>
      <w:rPr>
        <w:rFonts w:hint="eastAsia"/>
      </w:rPr>
    </w:lvl>
    <w:lvl w:ilvl="1" w:tentative="0">
      <w:start w:val="1"/>
      <w:numFmt w:val="decimalFullWidth"/>
      <w:lvlText w:val="%2)"/>
      <w:lvlJc w:val="left"/>
      <w:pPr>
        <w:ind w:left="1250" w:hanging="967"/>
      </w:pPr>
      <w:rPr>
        <w:rFonts w:hint="eastAsia" w:ascii="微软雅黑" w:hAnsi="微软雅黑" w:eastAsia="微软雅黑" w:cs="微软雅黑"/>
      </w:rPr>
    </w:lvl>
    <w:lvl w:ilvl="2" w:tentative="0">
      <w:start w:val="1"/>
      <w:numFmt w:val="lowerRoman"/>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kyMGI1MjJlZTVjNjk3YjY2Y2JiMjgwZTI2Nj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77858"/>
    <w:rsid w:val="006861F5"/>
    <w:rsid w:val="00697FBB"/>
    <w:rsid w:val="006B2085"/>
    <w:rsid w:val="006B21B8"/>
    <w:rsid w:val="006B7B58"/>
    <w:rsid w:val="006C36EB"/>
    <w:rsid w:val="006D4B15"/>
    <w:rsid w:val="006D59F7"/>
    <w:rsid w:val="006E5E07"/>
    <w:rsid w:val="006F0434"/>
    <w:rsid w:val="00701D12"/>
    <w:rsid w:val="0070239F"/>
    <w:rsid w:val="007061AC"/>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CCE"/>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579A"/>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10FB"/>
    <w:rsid w:val="00C71B43"/>
    <w:rsid w:val="00C74D8F"/>
    <w:rsid w:val="00C751A9"/>
    <w:rsid w:val="00C766DD"/>
    <w:rsid w:val="00C76BDF"/>
    <w:rsid w:val="00C775CE"/>
    <w:rsid w:val="00C8030E"/>
    <w:rsid w:val="00C91697"/>
    <w:rsid w:val="00C92EAA"/>
    <w:rsid w:val="00CA148F"/>
    <w:rsid w:val="00CA29F9"/>
    <w:rsid w:val="00CB6B73"/>
    <w:rsid w:val="00CC218D"/>
    <w:rsid w:val="00CC23D3"/>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1214"/>
    <w:rsid w:val="00E255D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8D3451"/>
    <w:rsid w:val="03EC461B"/>
    <w:rsid w:val="06C7367B"/>
    <w:rsid w:val="07B0452B"/>
    <w:rsid w:val="0A4664AE"/>
    <w:rsid w:val="0DFA7935"/>
    <w:rsid w:val="1A1678A4"/>
    <w:rsid w:val="21CF43D4"/>
    <w:rsid w:val="23E96D0C"/>
    <w:rsid w:val="318D2E01"/>
    <w:rsid w:val="324B4DD1"/>
    <w:rsid w:val="34A9294E"/>
    <w:rsid w:val="391367F9"/>
    <w:rsid w:val="42200080"/>
    <w:rsid w:val="44661A09"/>
    <w:rsid w:val="488C513A"/>
    <w:rsid w:val="48CA33FC"/>
    <w:rsid w:val="50226E86"/>
    <w:rsid w:val="50570021"/>
    <w:rsid w:val="51026F09"/>
    <w:rsid w:val="55A77192"/>
    <w:rsid w:val="574014E1"/>
    <w:rsid w:val="5A030BD1"/>
    <w:rsid w:val="5A10717D"/>
    <w:rsid w:val="5B410F66"/>
    <w:rsid w:val="5E276C23"/>
    <w:rsid w:val="5EBC76FA"/>
    <w:rsid w:val="5F500DBC"/>
    <w:rsid w:val="60E61CB3"/>
    <w:rsid w:val="624C7F79"/>
    <w:rsid w:val="639962F3"/>
    <w:rsid w:val="642936E5"/>
    <w:rsid w:val="66EB56FE"/>
    <w:rsid w:val="6921611D"/>
    <w:rsid w:val="799E7093"/>
    <w:rsid w:val="79B92341"/>
    <w:rsid w:val="7DE1316F"/>
    <w:rsid w:val="7EA01C51"/>
    <w:rsid w:val="7EE06CB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34"/>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5"/>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6"/>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37"/>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8"/>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9"/>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40"/>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41"/>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42"/>
    <w:autoRedefine/>
    <w:qFormat/>
    <w:uiPriority w:val="99"/>
    <w:pPr>
      <w:spacing w:before="120" w:beforeLines="50" w:line="360" w:lineRule="auto"/>
      <w:ind w:firstLine="512" w:firstLineChars="200"/>
    </w:pPr>
    <w:rPr>
      <w:spacing w:val="8"/>
      <w:sz w:val="24"/>
      <w:szCs w:val="20"/>
    </w:rPr>
  </w:style>
  <w:style w:type="paragraph" w:styleId="12">
    <w:name w:val="caption"/>
    <w:basedOn w:val="1"/>
    <w:next w:val="1"/>
    <w:semiHidden/>
    <w:unhideWhenUsed/>
    <w:qFormat/>
    <w:uiPriority w:val="0"/>
    <w:rPr>
      <w:rFonts w:ascii="Arial" w:hAnsi="Arial" w:eastAsia="黑体"/>
      <w:sz w:val="20"/>
    </w:rPr>
  </w:style>
  <w:style w:type="paragraph" w:styleId="13">
    <w:name w:val="annotation text"/>
    <w:basedOn w:val="1"/>
    <w:link w:val="43"/>
    <w:autoRedefine/>
    <w:unhideWhenUsed/>
    <w:qFormat/>
    <w:uiPriority w:val="0"/>
    <w:pPr>
      <w:jc w:val="left"/>
    </w:pPr>
    <w:rPr>
      <w:kern w:val="0"/>
      <w:sz w:val="20"/>
      <w:lang w:val="zh-CN"/>
    </w:rPr>
  </w:style>
  <w:style w:type="paragraph" w:styleId="14">
    <w:name w:val="Body Text"/>
    <w:basedOn w:val="1"/>
    <w:next w:val="1"/>
    <w:autoRedefine/>
    <w:unhideWhenUsed/>
    <w:qFormat/>
    <w:uiPriority w:val="99"/>
    <w:pPr>
      <w:spacing w:after="120"/>
    </w:pPr>
  </w:style>
  <w:style w:type="paragraph" w:styleId="15">
    <w:name w:val="Body Text Indent"/>
    <w:basedOn w:val="1"/>
    <w:autoRedefine/>
    <w:qFormat/>
    <w:uiPriority w:val="0"/>
    <w:pPr>
      <w:spacing w:after="120"/>
      <w:ind w:left="420" w:leftChars="200"/>
    </w:pPr>
    <w:rPr>
      <w:rFonts w:ascii="Times New Roman" w:hAnsi="Times New Roman" w:cs="Times New Roman"/>
      <w:szCs w:val="24"/>
    </w:rPr>
  </w:style>
  <w:style w:type="paragraph" w:styleId="16">
    <w:name w:val="Plain Text"/>
    <w:basedOn w:val="1"/>
    <w:link w:val="44"/>
    <w:autoRedefine/>
    <w:qFormat/>
    <w:uiPriority w:val="0"/>
    <w:rPr>
      <w:rFonts w:ascii="Calibri" w:hAnsi="Courier New"/>
      <w:szCs w:val="20"/>
      <w:lang w:val="zh-CN"/>
    </w:rPr>
  </w:style>
  <w:style w:type="paragraph" w:styleId="17">
    <w:name w:val="Balloon Text"/>
    <w:basedOn w:val="1"/>
    <w:link w:val="45"/>
    <w:autoRedefine/>
    <w:qFormat/>
    <w:uiPriority w:val="0"/>
    <w:rPr>
      <w:sz w:val="18"/>
      <w:szCs w:val="18"/>
      <w:lang w:val="zh-CN"/>
    </w:rPr>
  </w:style>
  <w:style w:type="paragraph" w:styleId="18">
    <w:name w:val="footer"/>
    <w:basedOn w:val="1"/>
    <w:link w:val="46"/>
    <w:autoRedefine/>
    <w:qFormat/>
    <w:uiPriority w:val="0"/>
    <w:pPr>
      <w:tabs>
        <w:tab w:val="center" w:pos="4153"/>
        <w:tab w:val="right" w:pos="8306"/>
      </w:tabs>
      <w:snapToGrid w:val="0"/>
      <w:jc w:val="left"/>
    </w:pPr>
    <w:rPr>
      <w:sz w:val="18"/>
      <w:szCs w:val="18"/>
      <w:lang w:val="zh-CN"/>
    </w:rPr>
  </w:style>
  <w:style w:type="paragraph" w:styleId="19">
    <w:name w:val="header"/>
    <w:basedOn w:val="1"/>
    <w:link w:val="47"/>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Subtitle"/>
    <w:basedOn w:val="1"/>
    <w:next w:val="1"/>
    <w:link w:val="72"/>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toc 2"/>
    <w:basedOn w:val="1"/>
    <w:next w:val="1"/>
    <w:qFormat/>
    <w:uiPriority w:val="0"/>
    <w:pPr>
      <w:ind w:left="420" w:leftChars="200"/>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76"/>
    <w:autoRedefine/>
    <w:qFormat/>
    <w:uiPriority w:val="0"/>
    <w:rPr>
      <w:b/>
      <w:bCs/>
      <w:kern w:val="2"/>
      <w:sz w:val="21"/>
      <w:lang w:val="en-US"/>
    </w:rPr>
  </w:style>
  <w:style w:type="paragraph" w:styleId="25">
    <w:name w:val="Body Text First Indent 2"/>
    <w:basedOn w:val="15"/>
    <w:autoRedefine/>
    <w:unhideWhenUsed/>
    <w:qFormat/>
    <w:uiPriority w:val="0"/>
    <w:pPr>
      <w:spacing w:after="0"/>
      <w:ind w:firstLine="200" w:firstLineChars="200"/>
    </w:pPr>
  </w:style>
  <w:style w:type="table" w:styleId="27">
    <w:name w:val="Table Grid"/>
    <w:basedOn w:val="2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autoRedefine/>
    <w:qFormat/>
    <w:uiPriority w:val="0"/>
    <w:rPr>
      <w:color w:val="0563C1"/>
      <w:u w:val="single"/>
    </w:rPr>
  </w:style>
  <w:style w:type="character" w:styleId="31">
    <w:name w:val="HTML Code"/>
    <w:basedOn w:val="28"/>
    <w:qFormat/>
    <w:uiPriority w:val="0"/>
    <w:rPr>
      <w:rFonts w:ascii="Courier New" w:hAnsi="Courier New"/>
      <w:sz w:val="20"/>
    </w:rPr>
  </w:style>
  <w:style w:type="character" w:styleId="32">
    <w:name w:val="annotation reference"/>
    <w:autoRedefine/>
    <w:unhideWhenUsed/>
    <w:qFormat/>
    <w:uiPriority w:val="99"/>
    <w:rPr>
      <w:sz w:val="21"/>
      <w:szCs w:val="21"/>
    </w:rPr>
  </w:style>
  <w:style w:type="character" w:customStyle="1" w:styleId="33">
    <w:name w:val="标题 1 Char"/>
    <w:link w:val="2"/>
    <w:autoRedefine/>
    <w:qFormat/>
    <w:uiPriority w:val="0"/>
    <w:rPr>
      <w:b/>
      <w:bCs/>
      <w:kern w:val="44"/>
      <w:sz w:val="44"/>
      <w:szCs w:val="44"/>
      <w:lang w:val="zh-CN" w:eastAsia="zh-CN"/>
    </w:rPr>
  </w:style>
  <w:style w:type="character" w:customStyle="1" w:styleId="34">
    <w:name w:val="标题 2 Char"/>
    <w:link w:val="3"/>
    <w:autoRedefine/>
    <w:qFormat/>
    <w:uiPriority w:val="0"/>
    <w:rPr>
      <w:rFonts w:ascii="等线 Light" w:hAnsi="等线 Light" w:eastAsia="等线 Light" w:cs="Times New Roman"/>
      <w:b/>
      <w:bCs/>
      <w:kern w:val="2"/>
      <w:sz w:val="32"/>
      <w:szCs w:val="32"/>
    </w:rPr>
  </w:style>
  <w:style w:type="character" w:customStyle="1" w:styleId="35">
    <w:name w:val="标题 3 Char"/>
    <w:link w:val="4"/>
    <w:autoRedefine/>
    <w:qFormat/>
    <w:uiPriority w:val="0"/>
    <w:rPr>
      <w:b/>
      <w:bCs/>
      <w:kern w:val="2"/>
      <w:sz w:val="30"/>
      <w:szCs w:val="30"/>
    </w:rPr>
  </w:style>
  <w:style w:type="character" w:customStyle="1" w:styleId="36">
    <w:name w:val="标题 4 Char"/>
    <w:link w:val="5"/>
    <w:autoRedefine/>
    <w:qFormat/>
    <w:uiPriority w:val="0"/>
    <w:rPr>
      <w:rFonts w:ascii="宋体" w:hAnsi="宋体"/>
      <w:b/>
      <w:bCs/>
      <w:kern w:val="2"/>
      <w:sz w:val="28"/>
      <w:szCs w:val="28"/>
    </w:rPr>
  </w:style>
  <w:style w:type="character" w:customStyle="1" w:styleId="37">
    <w:name w:val="标题 5 Char"/>
    <w:link w:val="6"/>
    <w:autoRedefine/>
    <w:qFormat/>
    <w:uiPriority w:val="0"/>
    <w:rPr>
      <w:b/>
      <w:bCs/>
      <w:kern w:val="2"/>
      <w:sz w:val="28"/>
      <w:szCs w:val="28"/>
    </w:rPr>
  </w:style>
  <w:style w:type="character" w:customStyle="1" w:styleId="38">
    <w:name w:val="标题 6 Char"/>
    <w:link w:val="7"/>
    <w:autoRedefine/>
    <w:semiHidden/>
    <w:qFormat/>
    <w:uiPriority w:val="0"/>
    <w:rPr>
      <w:rFonts w:ascii="等线 Light" w:hAnsi="等线 Light" w:eastAsia="等线 Light"/>
      <w:b/>
      <w:bCs/>
      <w:kern w:val="2"/>
      <w:sz w:val="24"/>
      <w:szCs w:val="24"/>
    </w:rPr>
  </w:style>
  <w:style w:type="character" w:customStyle="1" w:styleId="39">
    <w:name w:val="标题 7 Char"/>
    <w:link w:val="8"/>
    <w:autoRedefine/>
    <w:semiHidden/>
    <w:qFormat/>
    <w:uiPriority w:val="0"/>
    <w:rPr>
      <w:b/>
      <w:bCs/>
      <w:kern w:val="2"/>
      <w:sz w:val="24"/>
      <w:szCs w:val="24"/>
    </w:rPr>
  </w:style>
  <w:style w:type="character" w:customStyle="1" w:styleId="40">
    <w:name w:val="标题 8 Char"/>
    <w:link w:val="9"/>
    <w:autoRedefine/>
    <w:semiHidden/>
    <w:qFormat/>
    <w:uiPriority w:val="0"/>
    <w:rPr>
      <w:rFonts w:ascii="等线 Light" w:hAnsi="等线 Light" w:eastAsia="等线 Light"/>
      <w:kern w:val="2"/>
      <w:sz w:val="24"/>
      <w:szCs w:val="24"/>
    </w:rPr>
  </w:style>
  <w:style w:type="character" w:customStyle="1" w:styleId="41">
    <w:name w:val="标题 9 Char"/>
    <w:link w:val="10"/>
    <w:autoRedefine/>
    <w:semiHidden/>
    <w:qFormat/>
    <w:uiPriority w:val="0"/>
    <w:rPr>
      <w:rFonts w:ascii="等线 Light" w:hAnsi="等线 Light" w:eastAsia="等线 Light"/>
      <w:kern w:val="2"/>
      <w:sz w:val="21"/>
      <w:szCs w:val="21"/>
    </w:rPr>
  </w:style>
  <w:style w:type="character" w:customStyle="1" w:styleId="42">
    <w:name w:val="正文缩进 Char"/>
    <w:link w:val="11"/>
    <w:autoRedefine/>
    <w:qFormat/>
    <w:uiPriority w:val="99"/>
    <w:rPr>
      <w:spacing w:val="8"/>
      <w:kern w:val="2"/>
      <w:sz w:val="24"/>
      <w:lang w:val="en-US" w:eastAsia="zh-CN"/>
    </w:rPr>
  </w:style>
  <w:style w:type="character" w:customStyle="1" w:styleId="43">
    <w:name w:val="批注文字 Char"/>
    <w:link w:val="13"/>
    <w:autoRedefine/>
    <w:qFormat/>
    <w:uiPriority w:val="0"/>
    <w:rPr>
      <w:szCs w:val="24"/>
    </w:rPr>
  </w:style>
  <w:style w:type="character" w:customStyle="1" w:styleId="44">
    <w:name w:val="纯文本 Char"/>
    <w:link w:val="16"/>
    <w:autoRedefine/>
    <w:qFormat/>
    <w:uiPriority w:val="0"/>
    <w:rPr>
      <w:rFonts w:ascii="Calibri" w:hAnsi="Courier New"/>
      <w:kern w:val="2"/>
      <w:sz w:val="21"/>
    </w:rPr>
  </w:style>
  <w:style w:type="character" w:customStyle="1" w:styleId="45">
    <w:name w:val="批注框文本 Char"/>
    <w:link w:val="17"/>
    <w:autoRedefine/>
    <w:qFormat/>
    <w:uiPriority w:val="0"/>
    <w:rPr>
      <w:kern w:val="2"/>
      <w:sz w:val="18"/>
      <w:szCs w:val="18"/>
    </w:rPr>
  </w:style>
  <w:style w:type="character" w:customStyle="1" w:styleId="46">
    <w:name w:val="页脚 Char"/>
    <w:link w:val="18"/>
    <w:autoRedefine/>
    <w:qFormat/>
    <w:uiPriority w:val="0"/>
    <w:rPr>
      <w:kern w:val="2"/>
      <w:sz w:val="18"/>
      <w:szCs w:val="18"/>
    </w:rPr>
  </w:style>
  <w:style w:type="character" w:customStyle="1" w:styleId="47">
    <w:name w:val="页眉 Char"/>
    <w:link w:val="19"/>
    <w:autoRedefine/>
    <w:qFormat/>
    <w:uiPriority w:val="0"/>
    <w:rPr>
      <w:kern w:val="2"/>
      <w:sz w:val="18"/>
      <w:szCs w:val="18"/>
    </w:rPr>
  </w:style>
  <w:style w:type="character" w:customStyle="1" w:styleId="48">
    <w:name w:val="已访问的超链接1"/>
    <w:autoRedefine/>
    <w:qFormat/>
    <w:uiPriority w:val="0"/>
    <w:rPr>
      <w:color w:val="800080"/>
      <w:u w:val="single"/>
    </w:rPr>
  </w:style>
  <w:style w:type="character" w:customStyle="1" w:styleId="49">
    <w:name w:val="正文（首行缩进2字符） Char"/>
    <w:link w:val="50"/>
    <w:autoRedefine/>
    <w:qFormat/>
    <w:uiPriority w:val="0"/>
    <w:rPr>
      <w:kern w:val="2"/>
      <w:sz w:val="24"/>
      <w:szCs w:val="24"/>
    </w:rPr>
  </w:style>
  <w:style w:type="paragraph" w:customStyle="1" w:styleId="50">
    <w:name w:val="正文（首行缩进2字符）"/>
    <w:basedOn w:val="1"/>
    <w:link w:val="49"/>
    <w:autoRedefine/>
    <w:qFormat/>
    <w:uiPriority w:val="0"/>
    <w:pPr>
      <w:spacing w:line="360" w:lineRule="auto"/>
      <w:ind w:firstLine="480" w:firstLineChars="200"/>
    </w:pPr>
    <w:rPr>
      <w:sz w:val="24"/>
      <w:lang w:val="zh-CN"/>
    </w:rPr>
  </w:style>
  <w:style w:type="character" w:customStyle="1" w:styleId="51">
    <w:name w:val="段落 Char1"/>
    <w:link w:val="52"/>
    <w:autoRedefine/>
    <w:qFormat/>
    <w:uiPriority w:val="0"/>
    <w:rPr>
      <w:rFonts w:eastAsia="仿宋_GB2312"/>
      <w:sz w:val="24"/>
      <w:szCs w:val="24"/>
      <w:lang w:val="en-US" w:eastAsia="zh-CN" w:bidi="ar-SA"/>
    </w:rPr>
  </w:style>
  <w:style w:type="paragraph" w:customStyle="1" w:styleId="52">
    <w:name w:val="段落"/>
    <w:link w:val="51"/>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3">
    <w:name w:val="正文（安华金和） Char"/>
    <w:link w:val="54"/>
    <w:autoRedefine/>
    <w:qFormat/>
    <w:uiPriority w:val="0"/>
    <w:rPr>
      <w:rFonts w:ascii="Arial" w:hAnsi="Arial"/>
      <w:sz w:val="21"/>
      <w:szCs w:val="21"/>
      <w:lang w:val="en-US" w:eastAsia="zh-CN" w:bidi="ar-SA"/>
    </w:rPr>
  </w:style>
  <w:style w:type="paragraph" w:customStyle="1" w:styleId="54">
    <w:name w:val="正文（安华金和）"/>
    <w:link w:val="53"/>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5">
    <w:name w:val="页脚 字符"/>
    <w:autoRedefine/>
    <w:qFormat/>
    <w:uiPriority w:val="99"/>
  </w:style>
  <w:style w:type="character" w:customStyle="1" w:styleId="56">
    <w:name w:val="列出段落 Char"/>
    <w:link w:val="57"/>
    <w:autoRedefine/>
    <w:qFormat/>
    <w:uiPriority w:val="34"/>
    <w:rPr>
      <w:rFonts w:ascii="等线" w:hAnsi="等线" w:eastAsia="等线"/>
      <w:kern w:val="2"/>
      <w:sz w:val="21"/>
      <w:szCs w:val="22"/>
    </w:rPr>
  </w:style>
  <w:style w:type="paragraph" w:styleId="57">
    <w:name w:val="List Paragraph"/>
    <w:basedOn w:val="1"/>
    <w:link w:val="56"/>
    <w:autoRedefine/>
    <w:qFormat/>
    <w:uiPriority w:val="34"/>
    <w:pPr>
      <w:ind w:firstLine="420" w:firstLineChars="200"/>
    </w:pPr>
    <w:rPr>
      <w:rFonts w:ascii="等线" w:hAnsi="等线" w:eastAsia="等线"/>
      <w:szCs w:val="22"/>
      <w:lang w:val="zh-CN"/>
    </w:rPr>
  </w:style>
  <w:style w:type="paragraph" w:customStyle="1" w:styleId="58">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9">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60">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1">
    <w:name w:val="_Style 27"/>
    <w:basedOn w:val="1"/>
    <w:next w:val="57"/>
    <w:autoRedefine/>
    <w:qFormat/>
    <w:uiPriority w:val="34"/>
    <w:pPr>
      <w:widowControl/>
      <w:spacing w:line="240" w:lineRule="atLeast"/>
      <w:ind w:firstLine="420" w:firstLineChars="200"/>
    </w:pPr>
    <w:rPr>
      <w:rFonts w:ascii="Arial" w:hAnsi="Arial"/>
      <w:kern w:val="0"/>
      <w:szCs w:val="21"/>
    </w:rPr>
  </w:style>
  <w:style w:type="paragraph" w:customStyle="1" w:styleId="62">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3">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4">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5">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6">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7">
    <w:name w:val="彩色列表 - 着色 11"/>
    <w:basedOn w:val="1"/>
    <w:autoRedefine/>
    <w:qFormat/>
    <w:uiPriority w:val="34"/>
    <w:pPr>
      <w:spacing w:line="360" w:lineRule="auto"/>
      <w:ind w:firstLine="420" w:firstLineChars="200"/>
    </w:pPr>
    <w:rPr>
      <w:rFonts w:ascii="Arial" w:hAnsi="Arial"/>
      <w:szCs w:val="21"/>
    </w:rPr>
  </w:style>
  <w:style w:type="paragraph" w:customStyle="1" w:styleId="68">
    <w:name w:val="表格标注（安华金和）"/>
    <w:basedOn w:val="58"/>
    <w:next w:val="1"/>
    <w:autoRedefine/>
    <w:qFormat/>
    <w:uiPriority w:val="0"/>
    <w:pPr>
      <w:numPr>
        <w:ilvl w:val="7"/>
      </w:numPr>
    </w:pPr>
  </w:style>
  <w:style w:type="paragraph" w:customStyle="1" w:styleId="69">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70">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71">
    <w:name w:val="批注文字 字符"/>
    <w:autoRedefine/>
    <w:qFormat/>
    <w:uiPriority w:val="99"/>
    <w:rPr>
      <w:kern w:val="2"/>
      <w:sz w:val="21"/>
      <w:szCs w:val="24"/>
    </w:rPr>
  </w:style>
  <w:style w:type="character" w:customStyle="1" w:styleId="72">
    <w:name w:val="副标题 Char"/>
    <w:link w:val="20"/>
    <w:autoRedefine/>
    <w:qFormat/>
    <w:uiPriority w:val="0"/>
    <w:rPr>
      <w:rFonts w:ascii="Cambria" w:hAnsi="Cambria"/>
      <w:b/>
      <w:bCs/>
      <w:kern w:val="28"/>
      <w:sz w:val="32"/>
      <w:szCs w:val="32"/>
      <w:lang w:eastAsia="en-US"/>
    </w:rPr>
  </w:style>
  <w:style w:type="paragraph" w:customStyle="1" w:styleId="73">
    <w:name w:val="条目3"/>
    <w:basedOn w:val="1"/>
    <w:link w:val="77"/>
    <w:autoRedefine/>
    <w:qFormat/>
    <w:uiPriority w:val="0"/>
    <w:pPr>
      <w:numPr>
        <w:ilvl w:val="2"/>
        <w:numId w:val="3"/>
      </w:numPr>
      <w:ind w:left="964" w:hanging="567"/>
    </w:pPr>
    <w:rPr>
      <w:rFonts w:hint="eastAsia" w:ascii="微软雅黑" w:hAnsi="微软雅黑" w:eastAsia="微软雅黑" w:cs="微软雅黑"/>
      <w:sz w:val="18"/>
      <w:szCs w:val="18"/>
    </w:rPr>
  </w:style>
  <w:style w:type="paragraph" w:customStyle="1" w:styleId="74">
    <w:name w:val="条目2"/>
    <w:basedOn w:val="1"/>
    <w:link w:val="78"/>
    <w:autoRedefine/>
    <w:qFormat/>
    <w:uiPriority w:val="0"/>
    <w:pPr>
      <w:numPr>
        <w:ilvl w:val="1"/>
        <w:numId w:val="3"/>
      </w:numPr>
      <w:ind w:firstLine="283"/>
    </w:pPr>
    <w:rPr>
      <w:rFonts w:hint="eastAsia" w:ascii="微软雅黑" w:hAnsi="微软雅黑" w:eastAsia="微软雅黑" w:cs="微软雅黑"/>
    </w:rPr>
  </w:style>
  <w:style w:type="paragraph" w:customStyle="1" w:styleId="75">
    <w:name w:val="条目1"/>
    <w:basedOn w:val="1"/>
    <w:next w:val="1"/>
    <w:autoRedefine/>
    <w:qFormat/>
    <w:uiPriority w:val="0"/>
    <w:pPr>
      <w:keepNext/>
      <w:keepLines/>
      <w:numPr>
        <w:ilvl w:val="0"/>
        <w:numId w:val="4"/>
      </w:numPr>
      <w:spacing w:line="578" w:lineRule="auto"/>
      <w:outlineLvl w:val="0"/>
    </w:pPr>
    <w:rPr>
      <w:rFonts w:hint="eastAsia" w:ascii="微软雅黑" w:hAnsi="微软雅黑" w:eastAsia="微软雅黑" w:cs="微软雅黑"/>
      <w:b/>
      <w:bCs/>
      <w:kern w:val="44"/>
      <w:sz w:val="32"/>
      <w:szCs w:val="32"/>
      <w:lang w:val="zh-CN"/>
    </w:rPr>
  </w:style>
  <w:style w:type="character" w:customStyle="1" w:styleId="76">
    <w:name w:val="批注主题 Char"/>
    <w:basedOn w:val="43"/>
    <w:link w:val="24"/>
    <w:autoRedefine/>
    <w:qFormat/>
    <w:uiPriority w:val="0"/>
    <w:rPr>
      <w:b/>
      <w:bCs/>
      <w:kern w:val="2"/>
      <w:sz w:val="21"/>
      <w:szCs w:val="24"/>
    </w:rPr>
  </w:style>
  <w:style w:type="character" w:customStyle="1" w:styleId="77">
    <w:name w:val="条目3 Char"/>
    <w:link w:val="73"/>
    <w:qFormat/>
    <w:uiPriority w:val="0"/>
    <w:rPr>
      <w:rFonts w:hint="eastAsia" w:ascii="微软雅黑" w:hAnsi="微软雅黑" w:eastAsia="微软雅黑" w:cs="微软雅黑"/>
      <w:sz w:val="18"/>
      <w:szCs w:val="18"/>
    </w:rPr>
  </w:style>
  <w:style w:type="character" w:customStyle="1" w:styleId="78">
    <w:name w:val="条目2 Char"/>
    <w:link w:val="74"/>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12962</Words>
  <Characters>13811</Characters>
  <Lines>30</Lines>
  <Paragraphs>8</Paragraphs>
  <TotalTime>0</TotalTime>
  <ScaleCrop>false</ScaleCrop>
  <LinksUpToDate>false</LinksUpToDate>
  <CharactersWithSpaces>13891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微信用户</cp:lastModifiedBy>
  <cp:lastPrinted>2024-02-28T07:39:00Z</cp:lastPrinted>
  <dcterms:modified xsi:type="dcterms:W3CDTF">2024-09-13T09:35:15Z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CE3EF5A0D9924FD39D6D0D7BB8848D17_13</vt:lpwstr>
  </property>
</Properties>
</file>