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880C3">
      <w:pPr>
        <w:pStyle w:val="9"/>
        <w:widowControl/>
        <w:spacing w:before="0" w:beforeAutospacing="0" w:after="0" w:afterAutospacing="0" w:line="460" w:lineRule="exact"/>
        <w:ind w:firstLine="400"/>
        <w:rPr>
          <w:rStyle w:val="13"/>
          <w:rFonts w:ascii="宋体" w:hAnsi="宋体" w:cs="宋体"/>
          <w:bCs/>
          <w:color w:val="FF0000"/>
          <w:sz w:val="36"/>
          <w:szCs w:val="36"/>
          <w:shd w:val="clear" w:color="auto" w:fill="FFFFFF"/>
        </w:rPr>
      </w:pPr>
      <w:r>
        <w:rPr>
          <w:rFonts w:hint="eastAsia" w:ascii="宋体" w:hAnsi="宋体" w:cs="宋体"/>
          <w:b/>
          <w:color w:val="FF0000"/>
          <w:kern w:val="2"/>
          <w:sz w:val="32"/>
          <w:szCs w:val="32"/>
        </w:rPr>
        <w:t>广东省人民医院装修工程定点议价采购合同补充协议</w:t>
      </w:r>
    </w:p>
    <w:p w14:paraId="2FC1D660">
      <w:pPr>
        <w:pStyle w:val="9"/>
        <w:widowControl/>
        <w:spacing w:before="0" w:beforeAutospacing="0" w:after="0" w:afterAutospacing="0" w:line="460" w:lineRule="exact"/>
        <w:rPr>
          <w:rStyle w:val="13"/>
          <w:rFonts w:ascii="宋体" w:hAnsi="宋体" w:cs="宋体"/>
          <w:bCs/>
          <w:color w:val="666666"/>
          <w:sz w:val="36"/>
          <w:szCs w:val="36"/>
          <w:shd w:val="clear" w:color="auto" w:fill="FFFFFF"/>
        </w:rPr>
      </w:pPr>
    </w:p>
    <w:p w14:paraId="27CDCCE7">
      <w:pPr>
        <w:spacing w:line="360" w:lineRule="auto"/>
        <w:jc w:val="left"/>
        <w:rPr>
          <w:rFonts w:ascii="宋体" w:hAnsi="宋体"/>
          <w:sz w:val="24"/>
          <w:szCs w:val="24"/>
        </w:rPr>
      </w:pPr>
      <w:r>
        <w:rPr>
          <w:rFonts w:hint="eastAsia" w:ascii="宋体" w:hAnsi="宋体" w:cs="宋体"/>
          <w:bCs/>
          <w:sz w:val="24"/>
          <w:szCs w:val="24"/>
        </w:rPr>
        <w:t>合同名称：广东省人民医院装修工程定点服务定点议价采购合同</w:t>
      </w:r>
    </w:p>
    <w:p w14:paraId="2F58AAC3">
      <w:pPr>
        <w:spacing w:line="360" w:lineRule="auto"/>
        <w:jc w:val="left"/>
        <w:rPr>
          <w:rFonts w:hint="default" w:ascii="宋体" w:hAnsi="宋体" w:eastAsia="宋体"/>
          <w:sz w:val="24"/>
          <w:szCs w:val="24"/>
          <w:u w:val="single"/>
          <w:lang w:val="en-US" w:eastAsia="zh-CN"/>
        </w:rPr>
      </w:pPr>
      <w:r>
        <w:rPr>
          <w:rFonts w:hint="eastAsia" w:ascii="宋体" w:hAnsi="宋体"/>
          <w:sz w:val="24"/>
          <w:szCs w:val="24"/>
        </w:rPr>
        <w:t>合同编号：</w:t>
      </w:r>
      <w:r>
        <w:rPr>
          <w:rFonts w:hint="eastAsia" w:ascii="宋体" w:hAnsi="宋体"/>
          <w:sz w:val="24"/>
          <w:szCs w:val="24"/>
          <w:lang w:val="en-US" w:eastAsia="zh-CN"/>
        </w:rPr>
        <w:t>*****</w:t>
      </w:r>
    </w:p>
    <w:p w14:paraId="18BF8F6D">
      <w:pPr>
        <w:spacing w:line="360" w:lineRule="auto"/>
        <w:jc w:val="left"/>
        <w:rPr>
          <w:rFonts w:ascii="宋体" w:hAnsi="宋体"/>
          <w:sz w:val="24"/>
          <w:szCs w:val="24"/>
          <w:u w:val="single"/>
        </w:rPr>
      </w:pPr>
      <w:r>
        <w:rPr>
          <w:rFonts w:hint="eastAsia" w:ascii="宋体" w:hAnsi="宋体"/>
          <w:sz w:val="24"/>
          <w:szCs w:val="24"/>
        </w:rPr>
        <w:t>工程名称：</w:t>
      </w:r>
      <w:r>
        <w:rPr>
          <w:rFonts w:hint="eastAsia" w:ascii="宋体" w:hAnsi="宋体" w:cs="宋体"/>
          <w:bCs/>
          <w:sz w:val="24"/>
          <w:szCs w:val="24"/>
        </w:rPr>
        <w:t>广东省人民医院伟伦楼整体改造工程保运营措施项目</w:t>
      </w:r>
    </w:p>
    <w:p w14:paraId="4A85A811">
      <w:pPr>
        <w:spacing w:line="360" w:lineRule="auto"/>
        <w:jc w:val="left"/>
        <w:rPr>
          <w:rFonts w:ascii="宋体" w:hAnsi="宋体" w:cs="宋体"/>
          <w:bCs/>
          <w:sz w:val="24"/>
          <w:szCs w:val="24"/>
        </w:rPr>
      </w:pPr>
      <w:r>
        <w:rPr>
          <w:rFonts w:hint="eastAsia" w:ascii="宋体" w:hAnsi="宋体" w:cs="宋体"/>
          <w:bCs/>
          <w:sz w:val="24"/>
          <w:szCs w:val="24"/>
        </w:rPr>
        <w:t>甲方：广东省人民医院</w:t>
      </w:r>
    </w:p>
    <w:p w14:paraId="2470F811">
      <w:pPr>
        <w:spacing w:line="360" w:lineRule="auto"/>
        <w:jc w:val="left"/>
        <w:rPr>
          <w:rFonts w:hint="default" w:ascii="宋体" w:hAnsi="宋体" w:eastAsia="宋体" w:cs="宋体"/>
          <w:bCs/>
          <w:sz w:val="24"/>
          <w:szCs w:val="24"/>
          <w:u w:val="single"/>
          <w:lang w:val="en-US" w:eastAsia="zh-CN"/>
        </w:rPr>
      </w:pPr>
      <w:r>
        <w:rPr>
          <w:rFonts w:hint="eastAsia" w:ascii="宋体" w:hAnsi="宋体" w:cs="宋体"/>
          <w:bCs/>
          <w:sz w:val="24"/>
          <w:szCs w:val="24"/>
        </w:rPr>
        <w:t>乙方：</w:t>
      </w:r>
      <w:r>
        <w:rPr>
          <w:rFonts w:hint="eastAsia" w:ascii="宋体" w:hAnsi="宋体" w:cs="宋体"/>
          <w:bCs/>
          <w:sz w:val="24"/>
          <w:szCs w:val="24"/>
          <w:lang w:val="en-US" w:eastAsia="zh-CN"/>
        </w:rPr>
        <w:t>******</w:t>
      </w:r>
    </w:p>
    <w:p w14:paraId="00B21D9C">
      <w:pPr>
        <w:pStyle w:val="9"/>
        <w:widowControl/>
        <w:spacing w:before="0" w:beforeAutospacing="0" w:after="0" w:afterAutospacing="0" w:line="460" w:lineRule="exact"/>
        <w:rPr>
          <w:rStyle w:val="13"/>
          <w:rFonts w:ascii="宋体" w:hAnsi="宋体" w:cs="宋体"/>
          <w:bCs/>
          <w:color w:val="666666"/>
          <w:szCs w:val="24"/>
          <w:shd w:val="clear" w:color="auto" w:fill="FFFFFF"/>
        </w:rPr>
      </w:pPr>
    </w:p>
    <w:p w14:paraId="51D16F77">
      <w:pPr>
        <w:spacing w:line="460" w:lineRule="exact"/>
        <w:ind w:firstLine="420"/>
        <w:jc w:val="left"/>
        <w:rPr>
          <w:rFonts w:ascii="宋体" w:hAnsi="宋体"/>
          <w:sz w:val="24"/>
          <w:szCs w:val="24"/>
        </w:rPr>
      </w:pPr>
      <w:r>
        <w:rPr>
          <w:rFonts w:hint="eastAsia" w:ascii="宋体" w:hAnsi="宋体"/>
          <w:sz w:val="24"/>
          <w:szCs w:val="24"/>
        </w:rPr>
        <w:t>根据项目实际情况，经甲乙双方友好协商，订立本补充协议，就</w:t>
      </w:r>
      <w:r>
        <w:rPr>
          <w:rFonts w:hint="eastAsia" w:ascii="宋体" w:hAnsi="宋体" w:cs="宋体"/>
          <w:sz w:val="24"/>
          <w:szCs w:val="24"/>
        </w:rPr>
        <w:t>《</w:t>
      </w:r>
      <w:r>
        <w:rPr>
          <w:rFonts w:hint="eastAsia" w:ascii="宋体" w:hAnsi="宋体"/>
          <w:sz w:val="24"/>
          <w:szCs w:val="24"/>
        </w:rPr>
        <w:t>广东省人民医院</w:t>
      </w:r>
      <w:r>
        <w:rPr>
          <w:rFonts w:hint="eastAsia" w:ascii="宋体" w:hAnsi="宋体"/>
          <w:color w:val="FF0000"/>
          <w:sz w:val="24"/>
          <w:szCs w:val="24"/>
        </w:rPr>
        <w:t>工程</w:t>
      </w:r>
      <w:r>
        <w:rPr>
          <w:rFonts w:hint="eastAsia" w:ascii="宋体" w:hAnsi="宋体"/>
          <w:sz w:val="24"/>
          <w:szCs w:val="24"/>
        </w:rPr>
        <w:t>定点采购合同</w:t>
      </w:r>
      <w:r>
        <w:rPr>
          <w:rFonts w:hint="eastAsia" w:ascii="宋体" w:hAnsi="宋体" w:cs="宋体"/>
          <w:sz w:val="24"/>
          <w:szCs w:val="24"/>
        </w:rPr>
        <w:t>》</w:t>
      </w:r>
      <w:r>
        <w:rPr>
          <w:rFonts w:hint="eastAsia" w:ascii="宋体" w:hAnsi="宋体"/>
          <w:sz w:val="24"/>
          <w:szCs w:val="24"/>
        </w:rPr>
        <w:t>（合同编号：合同金额（人民币）</w:t>
      </w:r>
      <w:r>
        <w:rPr>
          <w:rFonts w:hint="eastAsia" w:ascii="宋体" w:hAnsi="宋体"/>
          <w:color w:val="FF0000"/>
          <w:sz w:val="24"/>
          <w:szCs w:val="24"/>
        </w:rPr>
        <w:t>：</w:t>
      </w:r>
      <w:r>
        <w:rPr>
          <w:rFonts w:hint="eastAsia" w:ascii="宋体" w:hAnsi="宋体"/>
          <w:color w:val="FF0000"/>
          <w:sz w:val="24"/>
          <w:szCs w:val="24"/>
          <w:lang w:val="en-US" w:eastAsia="zh-CN"/>
        </w:rPr>
        <w:t>******</w:t>
      </w:r>
      <w:r>
        <w:rPr>
          <w:rFonts w:hint="eastAsia" w:ascii="宋体" w:hAnsi="宋体"/>
          <w:color w:val="FF0000"/>
          <w:sz w:val="24"/>
          <w:szCs w:val="24"/>
        </w:rPr>
        <w:t>元</w:t>
      </w:r>
      <w:r>
        <w:rPr>
          <w:rFonts w:hint="eastAsia" w:ascii="宋体" w:hAnsi="宋体"/>
          <w:sz w:val="24"/>
          <w:szCs w:val="24"/>
        </w:rPr>
        <w:t>，以下简称“原合同”）补充变更以下原则条款，双方共同遵守执行。</w:t>
      </w:r>
    </w:p>
    <w:p w14:paraId="4264FA65">
      <w:pPr>
        <w:pStyle w:val="9"/>
        <w:widowControl/>
        <w:numPr>
          <w:ilvl w:val="0"/>
          <w:numId w:val="1"/>
        </w:numPr>
        <w:spacing w:before="0" w:beforeAutospacing="0" w:after="0" w:afterAutospacing="0" w:line="460" w:lineRule="exact"/>
        <w:ind w:firstLine="400"/>
        <w:rPr>
          <w:rFonts w:ascii="宋体" w:hAnsi="宋体"/>
          <w:b/>
          <w:bCs/>
          <w:kern w:val="2"/>
          <w:szCs w:val="24"/>
        </w:rPr>
      </w:pPr>
      <w:r>
        <w:rPr>
          <w:rFonts w:hint="eastAsia" w:ascii="宋体" w:hAnsi="宋体"/>
          <w:b/>
          <w:bCs/>
          <w:kern w:val="2"/>
          <w:szCs w:val="24"/>
        </w:rPr>
        <w:t>删除条款</w:t>
      </w:r>
    </w:p>
    <w:p w14:paraId="4B84CBDD">
      <w:pPr>
        <w:pStyle w:val="9"/>
        <w:widowControl/>
        <w:numPr>
          <w:ilvl w:val="0"/>
          <w:numId w:val="2"/>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删除合同5.5条款中的“自工程移交甲方管理日起计算，修缮工程保修期为2年，在保修期内因施工造成的工程质量问题,甲方应书面通知乙方并约定时间进行修理。”</w:t>
      </w:r>
    </w:p>
    <w:p w14:paraId="1DCEB1A3">
      <w:pPr>
        <w:pStyle w:val="9"/>
        <w:widowControl/>
        <w:numPr>
          <w:ilvl w:val="0"/>
          <w:numId w:val="2"/>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删除合同7.2条。</w:t>
      </w:r>
    </w:p>
    <w:p w14:paraId="237DA010">
      <w:pPr>
        <w:pStyle w:val="9"/>
        <w:widowControl/>
        <w:numPr>
          <w:ilvl w:val="0"/>
          <w:numId w:val="2"/>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删除合同7.4.3条款中的“Ⅱ、按施工当期项目所在地工程造价信息相关文件对应品牌材料设备的厂商信息价格下浮10%结算；”。</w:t>
      </w:r>
    </w:p>
    <w:p w14:paraId="70076B59">
      <w:pPr>
        <w:pStyle w:val="9"/>
        <w:widowControl/>
        <w:numPr>
          <w:ilvl w:val="0"/>
          <w:numId w:val="2"/>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删除合同7.4.5-（2）～（3）。</w:t>
      </w:r>
    </w:p>
    <w:p w14:paraId="377555BE">
      <w:pPr>
        <w:pStyle w:val="9"/>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变更条款</w:t>
      </w:r>
    </w:p>
    <w:p w14:paraId="6CE60DD1">
      <w:pPr>
        <w:pStyle w:val="9"/>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合同2.1条款中的“乙方的设计施工图纸”，修改为“设计施工图纸”。</w:t>
      </w:r>
    </w:p>
    <w:p w14:paraId="2ADC1A74">
      <w:pPr>
        <w:pStyle w:val="9"/>
        <w:widowControl/>
        <w:numPr>
          <w:ilvl w:val="0"/>
          <w:numId w:val="3"/>
        </w:numPr>
        <w:spacing w:before="0" w:beforeAutospacing="0" w:after="0" w:afterAutospacing="0" w:line="460" w:lineRule="exact"/>
        <w:ind w:firstLine="480" w:firstLineChars="200"/>
        <w:rPr>
          <w:rFonts w:ascii="仿宋" w:hAnsi="仿宋" w:eastAsia="仿宋" w:cs="宋体"/>
          <w:sz w:val="28"/>
          <w:szCs w:val="28"/>
        </w:rPr>
      </w:pPr>
      <w:r>
        <w:rPr>
          <w:rFonts w:hint="eastAsia" w:ascii="宋体" w:hAnsi="宋体"/>
          <w:kern w:val="2"/>
          <w:szCs w:val="24"/>
        </w:rPr>
        <w:t>合同4.4条款中的“经甲方现场代表签证后”，修改为“经甲方现场代表书面确认后（该事项需按甲方院内流程审批通过）”。</w:t>
      </w:r>
    </w:p>
    <w:p w14:paraId="2E8E7883">
      <w:pPr>
        <w:pStyle w:val="9"/>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5.2条款中的“乙方应于验收前24小时通知甲方，甲方代表接到通知后24小时内应到现场检验”，修改为“乙方应于隐蔽或中间验收前48小时向监理工程师或甲方代表提出验收申请，通知设计方、监理方及甲方相关人员验收。通知的内容包括工程隐蔽或中间验收的内容、时间、地点，以及自检记录和必要的验收资料。乙方应准备验收记录，并提供必要的资料和协助”。</w:t>
      </w:r>
    </w:p>
    <w:p w14:paraId="437F0CC8">
      <w:pPr>
        <w:pStyle w:val="9"/>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合同5.4条款中的“但甲方应承认竣工日期，并承担乙方的看管费用和相关费用”，修改为“若验收合格，甲方应承认双方确定的竣工日期”。</w:t>
      </w:r>
    </w:p>
    <w:p w14:paraId="3783A24B">
      <w:pPr>
        <w:pStyle w:val="9"/>
        <w:widowControl/>
        <w:numPr>
          <w:ilvl w:val="0"/>
          <w:numId w:val="2"/>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7.1条款中的“当市场价格波动超过甲乙双方约定的范围，……但调整的金额不得超过原合同采购金额的百分之十”，修改为“乙方所编写的综合单价在合同期内，不因由于燃料、电费、运输费、货币汇率升降、工资、材料差价等任何情况引致的价格波动而调整”。</w:t>
      </w:r>
    </w:p>
    <w:p w14:paraId="048395FE">
      <w:pPr>
        <w:pStyle w:val="9"/>
        <w:widowControl/>
        <w:numPr>
          <w:ilvl w:val="0"/>
          <w:numId w:val="1"/>
        </w:numPr>
        <w:spacing w:before="0" w:beforeAutospacing="0" w:after="0" w:afterAutospacing="0" w:line="460" w:lineRule="exact"/>
        <w:ind w:firstLine="400"/>
        <w:rPr>
          <w:rFonts w:ascii="宋体" w:hAnsi="宋体"/>
          <w:b/>
          <w:bCs/>
          <w:kern w:val="2"/>
          <w:szCs w:val="24"/>
        </w:rPr>
      </w:pPr>
      <w:r>
        <w:rPr>
          <w:rFonts w:hint="eastAsia" w:ascii="宋体" w:hAnsi="宋体"/>
          <w:b/>
          <w:bCs/>
          <w:kern w:val="2"/>
          <w:szCs w:val="24"/>
        </w:rPr>
        <w:t>增加条款</w:t>
      </w:r>
    </w:p>
    <w:p w14:paraId="3C5F33A6">
      <w:pPr>
        <w:numPr>
          <w:ilvl w:val="0"/>
          <w:numId w:val="4"/>
        </w:numPr>
        <w:spacing w:line="360" w:lineRule="auto"/>
        <w:ind w:firstLine="480" w:firstLineChars="200"/>
        <w:rPr>
          <w:rFonts w:ascii="宋体" w:hAnsi="宋体"/>
          <w:sz w:val="24"/>
          <w:szCs w:val="24"/>
        </w:rPr>
      </w:pPr>
      <w:r>
        <w:rPr>
          <w:rFonts w:hint="eastAsia" w:ascii="宋体" w:hAnsi="宋体"/>
          <w:sz w:val="24"/>
          <w:szCs w:val="24"/>
        </w:rPr>
        <w:t>合同7.1条款增加“结算工程量以甲方和监理单位确认的现场签证和竣工图纸工程量为依据。措施项目费总价包干，结算时不因本工程实际工程量的增减、工程变更、施工组织设计的修改及其它因素而调整。</w:t>
      </w:r>
      <w:r>
        <w:rPr>
          <w:rFonts w:hint="eastAsia" w:ascii="宋体" w:hAnsi="宋体"/>
          <w:sz w:val="24"/>
          <w:szCs w:val="24"/>
          <w:lang w:val="hr-HR"/>
        </w:rPr>
        <w:t>本项目合同结算价不得超合同价款的10%。</w:t>
      </w:r>
      <w:r>
        <w:rPr>
          <w:rFonts w:hint="eastAsia" w:ascii="宋体" w:hAnsi="宋体"/>
          <w:sz w:val="24"/>
          <w:szCs w:val="24"/>
        </w:rPr>
        <w:t>”</w:t>
      </w:r>
    </w:p>
    <w:p w14:paraId="7F9662A4">
      <w:pPr>
        <w:numPr>
          <w:ilvl w:val="0"/>
          <w:numId w:val="4"/>
        </w:numPr>
        <w:spacing w:line="360" w:lineRule="auto"/>
        <w:ind w:firstLine="480" w:firstLineChars="200"/>
        <w:rPr>
          <w:rFonts w:ascii="宋体" w:hAnsi="宋体"/>
          <w:sz w:val="24"/>
          <w:szCs w:val="24"/>
        </w:rPr>
      </w:pPr>
      <w:r>
        <w:rPr>
          <w:rFonts w:hint="eastAsia" w:ascii="宋体" w:hAnsi="宋体"/>
          <w:sz w:val="24"/>
          <w:szCs w:val="24"/>
        </w:rPr>
        <w:t>合同7.4.2条款增加“如类似项目的综合单价有两个以上，则按消耗量最少、管理费和利润取费最低的优先顺序选择类似项目综合单价进行换算；合同中的项目与清单漏项的项目、设计变更的项目，两者只存在项目中材料费最高的材料的材质、型号、规格不同时，则新的综合单价只换算原清单项目综合单价中材料费最高的材料单价，其它不变。”</w:t>
      </w:r>
    </w:p>
    <w:p w14:paraId="04B551AD">
      <w:pPr>
        <w:numPr>
          <w:ilvl w:val="0"/>
          <w:numId w:val="4"/>
        </w:numPr>
        <w:spacing w:line="360" w:lineRule="auto"/>
        <w:ind w:firstLine="480" w:firstLineChars="200"/>
        <w:rPr>
          <w:rFonts w:ascii="宋体" w:hAnsi="宋体"/>
          <w:sz w:val="24"/>
          <w:szCs w:val="24"/>
        </w:rPr>
      </w:pPr>
      <w:r>
        <w:rPr>
          <w:rFonts w:hint="eastAsia" w:ascii="宋体" w:hAnsi="宋体"/>
          <w:sz w:val="24"/>
          <w:szCs w:val="24"/>
        </w:rPr>
        <w:t>暂列金额</w:t>
      </w:r>
    </w:p>
    <w:p w14:paraId="2C8CE18B">
      <w:pPr>
        <w:spacing w:line="360" w:lineRule="auto"/>
        <w:ind w:firstLine="480" w:firstLineChars="200"/>
        <w:rPr>
          <w:rFonts w:ascii="宋体" w:hAnsi="宋体"/>
          <w:sz w:val="24"/>
          <w:szCs w:val="24"/>
        </w:rPr>
      </w:pPr>
      <w:r>
        <w:rPr>
          <w:rFonts w:hint="eastAsia" w:ascii="宋体" w:hAnsi="宋体"/>
          <w:sz w:val="24"/>
          <w:szCs w:val="24"/>
        </w:rPr>
        <w:t>本项目的暂列金额为：元，主要用于合同签订时尚未确定或者不可预见的所需材料、设备、服务的采购，如工程变更、现场签证、索赔等费用。暂列金额由甲方审核使用，虽然列入合同价款，但并不属于乙方所有，也不必然发生。只有按照合同约定实际发生后，并且具有经甲方确认的变更，签证的书面材料，才能成为乙方的应得金额，纳入工程合同结算价款中。扣除甲方按合同约定所作的支付后，暂列金额余额仍归甲方所有。</w:t>
      </w:r>
    </w:p>
    <w:p w14:paraId="07C01DBF">
      <w:pPr>
        <w:numPr>
          <w:ilvl w:val="0"/>
          <w:numId w:val="4"/>
        </w:numPr>
        <w:spacing w:line="360" w:lineRule="auto"/>
        <w:ind w:firstLine="480" w:firstLineChars="200"/>
        <w:rPr>
          <w:rFonts w:ascii="宋体" w:hAnsi="宋体"/>
          <w:sz w:val="24"/>
          <w:szCs w:val="24"/>
        </w:rPr>
      </w:pPr>
      <w:r>
        <w:rPr>
          <w:rFonts w:hint="eastAsia" w:ascii="宋体" w:hAnsi="宋体"/>
          <w:sz w:val="24"/>
          <w:szCs w:val="24"/>
        </w:rPr>
        <w:t>专业工程暂估价</w:t>
      </w:r>
    </w:p>
    <w:p w14:paraId="5F92194C">
      <w:pPr>
        <w:numPr>
          <w:ilvl w:val="255"/>
          <w:numId w:val="0"/>
        </w:numPr>
        <w:spacing w:line="360" w:lineRule="auto"/>
        <w:ind w:firstLine="480" w:firstLineChars="200"/>
        <w:rPr>
          <w:rFonts w:ascii="宋体" w:hAnsi="宋体"/>
          <w:sz w:val="24"/>
          <w:szCs w:val="24"/>
        </w:rPr>
      </w:pPr>
      <w:r>
        <w:rPr>
          <w:rFonts w:hint="eastAsia" w:ascii="宋体" w:hAnsi="宋体"/>
          <w:sz w:val="24"/>
          <w:szCs w:val="24"/>
        </w:rPr>
        <w:t>本合同专业工程暂估价金额为：元，主要包括。暂估价项目由乙方按照合同约定采购，经甲方确认单价后取代专业工程暂估价，调整合同价款。暂估价项目工程价款的确定按照合同第7.4条约定执行。</w:t>
      </w:r>
    </w:p>
    <w:p w14:paraId="66FAC024">
      <w:pPr>
        <w:numPr>
          <w:ilvl w:val="0"/>
          <w:numId w:val="4"/>
        </w:numPr>
        <w:spacing w:line="360" w:lineRule="auto"/>
        <w:ind w:firstLine="480" w:firstLineChars="200"/>
        <w:rPr>
          <w:rFonts w:ascii="宋体" w:hAnsi="宋体"/>
          <w:sz w:val="24"/>
          <w:szCs w:val="24"/>
        </w:rPr>
      </w:pPr>
      <w:r>
        <w:rPr>
          <w:rFonts w:hint="eastAsia" w:ascii="宋体" w:hAnsi="宋体"/>
          <w:sz w:val="24"/>
          <w:szCs w:val="24"/>
        </w:rPr>
        <w:t>主要材料、设备品牌参考表（详见附件2）</w:t>
      </w:r>
    </w:p>
    <w:p w14:paraId="13118C45">
      <w:pPr>
        <w:spacing w:line="360" w:lineRule="auto"/>
        <w:ind w:firstLine="480" w:firstLineChars="200"/>
        <w:rPr>
          <w:rFonts w:ascii="宋体" w:hAnsi="宋体"/>
          <w:sz w:val="24"/>
          <w:szCs w:val="24"/>
        </w:rPr>
      </w:pPr>
      <w:r>
        <w:rPr>
          <w:rFonts w:hint="eastAsia" w:ascii="宋体" w:hAnsi="宋体"/>
          <w:sz w:val="24"/>
          <w:szCs w:val="24"/>
        </w:rPr>
        <w:t>乙方必须参照主要材料设备品牌参考表中所列的品牌提供材料设备，如需变更品牌，须提供充分理由依据并征得甲方同意方可予以变更。乙方负责采购的主要材料、主要设备，进场前须办理材料进场报验手续，由甲方确认后才可投入使用。</w:t>
      </w:r>
    </w:p>
    <w:p w14:paraId="78E72D3D">
      <w:pPr>
        <w:numPr>
          <w:ilvl w:val="0"/>
          <w:numId w:val="4"/>
        </w:numPr>
        <w:spacing w:line="360" w:lineRule="auto"/>
        <w:ind w:firstLine="480" w:firstLineChars="200"/>
        <w:rPr>
          <w:rFonts w:ascii="宋体" w:hAnsi="宋体"/>
          <w:sz w:val="24"/>
          <w:szCs w:val="24"/>
        </w:rPr>
      </w:pPr>
      <w:r>
        <w:rPr>
          <w:rFonts w:hint="eastAsia" w:ascii="宋体" w:hAnsi="宋体"/>
          <w:sz w:val="24"/>
          <w:szCs w:val="24"/>
        </w:rPr>
        <w:t>工程质量保修</w:t>
      </w:r>
    </w:p>
    <w:p w14:paraId="59DAC5FE">
      <w:pPr>
        <w:spacing w:line="360" w:lineRule="auto"/>
        <w:ind w:firstLine="480" w:firstLineChars="200"/>
        <w:rPr>
          <w:rFonts w:ascii="宋体" w:hAnsi="宋体"/>
          <w:sz w:val="24"/>
          <w:szCs w:val="24"/>
        </w:rPr>
      </w:pPr>
      <w:r>
        <w:rPr>
          <w:rFonts w:hint="eastAsia" w:ascii="宋体" w:hAnsi="宋体"/>
          <w:sz w:val="24"/>
          <w:szCs w:val="24"/>
        </w:rPr>
        <w:t>质量保修期从合同工程实际竣工之日算起至通过质保期验收之日（甲方参加验收人员在质保期验收报告签名确认）截止，质保期满而乙方未申请办理和通过质保期验收的工程，则视作质保期范围内。单项竣工验收的工程，按单项工程分别计算质量保修期。</w:t>
      </w:r>
    </w:p>
    <w:p w14:paraId="213B1E77">
      <w:pPr>
        <w:spacing w:line="360" w:lineRule="auto"/>
        <w:ind w:firstLine="480" w:firstLineChars="200"/>
        <w:rPr>
          <w:rFonts w:ascii="宋体" w:hAnsi="宋体"/>
          <w:sz w:val="24"/>
          <w:szCs w:val="24"/>
        </w:rPr>
      </w:pPr>
      <w:r>
        <w:rPr>
          <w:rFonts w:hint="eastAsia" w:ascii="宋体" w:hAnsi="宋体"/>
          <w:sz w:val="24"/>
          <w:szCs w:val="24"/>
        </w:rPr>
        <w:t>合同工程质量保修期，要求如下：</w:t>
      </w:r>
    </w:p>
    <w:p w14:paraId="3C731DE6">
      <w:pPr>
        <w:numPr>
          <w:ilvl w:val="0"/>
          <w:numId w:val="5"/>
        </w:numPr>
        <w:spacing w:line="360" w:lineRule="auto"/>
        <w:ind w:firstLine="480" w:firstLineChars="200"/>
        <w:rPr>
          <w:rFonts w:ascii="宋体" w:hAnsi="宋体"/>
          <w:sz w:val="24"/>
          <w:szCs w:val="24"/>
        </w:rPr>
      </w:pPr>
      <w:r>
        <w:rPr>
          <w:rFonts w:hint="eastAsia" w:ascii="宋体" w:hAnsi="宋体"/>
          <w:sz w:val="24"/>
          <w:szCs w:val="24"/>
        </w:rPr>
        <w:t>地基基础工程、主体结构工程为设计文件规定的合理使用年限；</w:t>
      </w:r>
    </w:p>
    <w:p w14:paraId="53290791">
      <w:pPr>
        <w:numPr>
          <w:ilvl w:val="0"/>
          <w:numId w:val="5"/>
        </w:numPr>
        <w:spacing w:line="360" w:lineRule="auto"/>
        <w:ind w:firstLine="480" w:firstLineChars="200"/>
        <w:rPr>
          <w:rFonts w:ascii="宋体" w:hAnsi="宋体"/>
          <w:sz w:val="24"/>
          <w:szCs w:val="24"/>
        </w:rPr>
      </w:pPr>
      <w:r>
        <w:rPr>
          <w:rFonts w:hint="eastAsia" w:ascii="宋体" w:hAnsi="宋体"/>
          <w:sz w:val="24"/>
          <w:szCs w:val="24"/>
        </w:rPr>
        <w:t>屋面防水工程、有防水要求的卫生间、房间和外墙面的防渗漏工程为五年；</w:t>
      </w:r>
    </w:p>
    <w:p w14:paraId="597CCF98">
      <w:pPr>
        <w:numPr>
          <w:ilvl w:val="0"/>
          <w:numId w:val="5"/>
        </w:numPr>
        <w:spacing w:line="360" w:lineRule="auto"/>
        <w:ind w:firstLine="480" w:firstLineChars="200"/>
        <w:rPr>
          <w:rFonts w:ascii="宋体" w:hAnsi="宋体"/>
          <w:sz w:val="24"/>
          <w:szCs w:val="24"/>
        </w:rPr>
      </w:pPr>
      <w:r>
        <w:rPr>
          <w:rFonts w:hint="eastAsia" w:ascii="宋体" w:hAnsi="宋体"/>
          <w:sz w:val="24"/>
          <w:szCs w:val="24"/>
        </w:rPr>
        <w:t>电气管线工程、给排水管道工程、设备安装工程为</w:t>
      </w:r>
      <w:r>
        <w:rPr>
          <w:rFonts w:hint="eastAsia" w:ascii="宋体" w:hAnsi="宋体"/>
          <w:color w:val="FF0000"/>
          <w:sz w:val="24"/>
          <w:szCs w:val="24"/>
        </w:rPr>
        <w:t>三年</w:t>
      </w:r>
      <w:r>
        <w:rPr>
          <w:rFonts w:hint="eastAsia" w:ascii="宋体" w:hAnsi="宋体"/>
          <w:sz w:val="24"/>
          <w:szCs w:val="24"/>
        </w:rPr>
        <w:t>；</w:t>
      </w:r>
    </w:p>
    <w:p w14:paraId="3B3E6871">
      <w:pPr>
        <w:numPr>
          <w:ilvl w:val="0"/>
          <w:numId w:val="5"/>
        </w:numPr>
        <w:spacing w:line="360" w:lineRule="auto"/>
        <w:ind w:firstLine="480" w:firstLineChars="200"/>
        <w:rPr>
          <w:rFonts w:ascii="宋体" w:hAnsi="宋体"/>
          <w:sz w:val="24"/>
          <w:szCs w:val="24"/>
        </w:rPr>
      </w:pPr>
      <w:r>
        <w:rPr>
          <w:rFonts w:hint="eastAsia" w:ascii="宋体" w:hAnsi="宋体"/>
          <w:sz w:val="24"/>
          <w:szCs w:val="24"/>
        </w:rPr>
        <w:t>供热、供冷系统工程为</w:t>
      </w:r>
      <w:r>
        <w:rPr>
          <w:rFonts w:hint="eastAsia" w:ascii="宋体" w:hAnsi="宋体"/>
          <w:color w:val="FF0000"/>
          <w:sz w:val="24"/>
          <w:szCs w:val="24"/>
        </w:rPr>
        <w:t>三个</w:t>
      </w:r>
      <w:r>
        <w:rPr>
          <w:rFonts w:hint="eastAsia" w:ascii="宋体" w:hAnsi="宋体"/>
          <w:sz w:val="24"/>
          <w:szCs w:val="24"/>
        </w:rPr>
        <w:t>采暖期、供冷期；</w:t>
      </w:r>
    </w:p>
    <w:p w14:paraId="16919AD4">
      <w:pPr>
        <w:numPr>
          <w:ilvl w:val="0"/>
          <w:numId w:val="5"/>
        </w:numPr>
        <w:spacing w:line="360" w:lineRule="auto"/>
        <w:ind w:firstLine="480" w:firstLineChars="200"/>
        <w:rPr>
          <w:rFonts w:ascii="宋体" w:hAnsi="宋体"/>
          <w:sz w:val="24"/>
          <w:szCs w:val="24"/>
        </w:rPr>
      </w:pPr>
      <w:r>
        <w:rPr>
          <w:rFonts w:hint="eastAsia" w:ascii="宋体" w:hAnsi="宋体"/>
          <w:sz w:val="24"/>
          <w:szCs w:val="24"/>
        </w:rPr>
        <w:t>装饰装修工程为</w:t>
      </w:r>
      <w:r>
        <w:rPr>
          <w:rFonts w:hint="eastAsia" w:ascii="宋体" w:hAnsi="宋体"/>
          <w:color w:val="FF0000"/>
          <w:sz w:val="24"/>
          <w:szCs w:val="24"/>
        </w:rPr>
        <w:t>三年</w:t>
      </w:r>
      <w:r>
        <w:rPr>
          <w:rFonts w:hint="eastAsia" w:ascii="宋体" w:hAnsi="宋体"/>
          <w:sz w:val="24"/>
          <w:szCs w:val="24"/>
        </w:rPr>
        <w:t>。</w:t>
      </w:r>
    </w:p>
    <w:p w14:paraId="0C551CB5">
      <w:pPr>
        <w:spacing w:line="360" w:lineRule="auto"/>
        <w:ind w:firstLine="480" w:firstLineChars="200"/>
        <w:rPr>
          <w:rFonts w:ascii="宋体" w:hAnsi="宋体"/>
          <w:sz w:val="24"/>
          <w:szCs w:val="24"/>
        </w:rPr>
      </w:pPr>
      <w:r>
        <w:rPr>
          <w:rFonts w:hint="eastAsia" w:ascii="宋体" w:hAnsi="宋体"/>
          <w:sz w:val="24"/>
          <w:szCs w:val="24"/>
        </w:rPr>
        <w:t>属于保修范围的项目，乙方应在接到甲方通知后的3天内派人保修。乙方未能在规定时间内派人保修的，甲方可自行或委托第三方保修。发生紧急抢修事故的，乙方在接到通知后，应立即到达事故现场抢修。在国家规定的合理使用期限内，乙方应确保地基基础工程和主体结构的质量和安全。凡出现质量问题，应立即报告当地建设行政主管部门，经设计人提出保修方案后，乙方应立即实施保修。质量保修完成后，由甲方组织验收。质量保修等费用，由责任方承担。质保金按结算审核价的3%。乙方未按照法律有关规定和合同约定履行质量保修义务的，甲方有权从质量保证金中扣留用于质量保修的各项支出，不足部分由乙方负责。</w:t>
      </w:r>
    </w:p>
    <w:p w14:paraId="2B20D6FF">
      <w:pPr>
        <w:numPr>
          <w:ilvl w:val="0"/>
          <w:numId w:val="4"/>
        </w:numPr>
        <w:spacing w:line="360" w:lineRule="auto"/>
        <w:ind w:firstLine="480" w:firstLineChars="200"/>
        <w:rPr>
          <w:rFonts w:ascii="宋体" w:hAnsi="宋体"/>
          <w:sz w:val="24"/>
          <w:szCs w:val="24"/>
        </w:rPr>
      </w:pPr>
      <w:r>
        <w:rPr>
          <w:rFonts w:hint="eastAsia" w:ascii="宋体" w:hAnsi="宋体"/>
          <w:sz w:val="24"/>
          <w:szCs w:val="24"/>
        </w:rPr>
        <w:t>工期延误方面的违约责任</w:t>
      </w:r>
    </w:p>
    <w:p w14:paraId="0763CCA9">
      <w:pPr>
        <w:spacing w:line="360" w:lineRule="auto"/>
        <w:ind w:firstLine="480" w:firstLineChars="200"/>
        <w:rPr>
          <w:rFonts w:ascii="宋体" w:hAnsi="宋体"/>
          <w:sz w:val="24"/>
          <w:szCs w:val="24"/>
        </w:rPr>
      </w:pPr>
      <w:r>
        <w:rPr>
          <w:rFonts w:hint="eastAsia" w:ascii="宋体" w:hAnsi="宋体"/>
          <w:sz w:val="24"/>
          <w:szCs w:val="24"/>
        </w:rPr>
        <w:t>乙方未经监理工程师及甲方同意延期开工的，每迟延开工1天，应向甲方支付本工程合同价款的 1 ‰的违约金；迟延开工超过10天的，甲方有权部分解除合同或解除合同。</w:t>
      </w:r>
    </w:p>
    <w:p w14:paraId="5A22156A">
      <w:pPr>
        <w:spacing w:line="360" w:lineRule="auto"/>
        <w:ind w:firstLine="480" w:firstLineChars="200"/>
        <w:rPr>
          <w:rFonts w:ascii="宋体" w:hAnsi="宋体"/>
          <w:strike/>
          <w:color w:val="FF0000"/>
          <w:sz w:val="24"/>
          <w:szCs w:val="24"/>
        </w:rPr>
      </w:pPr>
      <w:r>
        <w:rPr>
          <w:rFonts w:hint="eastAsia" w:ascii="宋体" w:hAnsi="宋体"/>
          <w:sz w:val="24"/>
          <w:szCs w:val="24"/>
        </w:rPr>
        <w:t>乙方违反合同条款约定造成本工程不能按照约定的竣工日期竣工的（非乙方原因造成工期延误的除外），每逾期1天，乙方必须</w:t>
      </w:r>
      <w:r>
        <w:rPr>
          <w:rFonts w:hint="eastAsia" w:ascii="宋体" w:hAnsi="宋体"/>
          <w:color w:val="FF0000"/>
          <w:sz w:val="24"/>
          <w:szCs w:val="24"/>
          <w:u w:val="single"/>
        </w:rPr>
        <w:t>向甲方支付违约金50000元，</w:t>
      </w:r>
      <w:r>
        <w:rPr>
          <w:rFonts w:hint="eastAsia" w:ascii="宋体" w:hAnsi="宋体"/>
          <w:color w:val="FF0000"/>
          <w:sz w:val="24"/>
          <w:szCs w:val="24"/>
        </w:rPr>
        <w:t>不设最高上限。</w:t>
      </w:r>
    </w:p>
    <w:p w14:paraId="11E120B6">
      <w:pPr>
        <w:numPr>
          <w:ilvl w:val="0"/>
          <w:numId w:val="4"/>
        </w:numPr>
        <w:spacing w:line="360" w:lineRule="auto"/>
        <w:ind w:firstLine="480" w:firstLineChars="200"/>
        <w:rPr>
          <w:rFonts w:ascii="宋体" w:hAnsi="宋体"/>
          <w:sz w:val="24"/>
          <w:szCs w:val="24"/>
        </w:rPr>
      </w:pPr>
      <w:r>
        <w:rPr>
          <w:rFonts w:hint="eastAsia" w:ascii="宋体" w:hAnsi="宋体"/>
          <w:sz w:val="24"/>
          <w:szCs w:val="24"/>
          <w:lang w:val="hr-HR"/>
        </w:rPr>
        <w:t>项目消防验收，乙方应提供消防验收所需的全部资料，配合甲方完成消防验收工作。</w:t>
      </w:r>
    </w:p>
    <w:p w14:paraId="76D6975E">
      <w:pPr>
        <w:pStyle w:val="9"/>
        <w:widowControl/>
        <w:numPr>
          <w:ilvl w:val="0"/>
          <w:numId w:val="4"/>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未经甲方或监理发开工令原则上不允许提前开工，可以提前进场做开工前的准备工作，但不予补偿。</w:t>
      </w:r>
    </w:p>
    <w:p w14:paraId="04A5C8E0">
      <w:pPr>
        <w:pStyle w:val="9"/>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本补充协议生效后，即成为原合同的组成部分，与原合同具有同等法律效力。原合同与本补充协议不一致的，则以本补充协议条款规定为准；本补充协议条款没有约定，则按照原合同约定执行。</w:t>
      </w:r>
    </w:p>
    <w:p w14:paraId="33BC70DD">
      <w:pPr>
        <w:pStyle w:val="9"/>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本补充协议一式四份，双方各执二份，双方当事人约定本协议自双方签字、盖章后生效。</w:t>
      </w:r>
    </w:p>
    <w:p w14:paraId="5AAD9FD5">
      <w:pPr>
        <w:pStyle w:val="9"/>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附件</w:t>
      </w:r>
    </w:p>
    <w:p w14:paraId="38C1FB52">
      <w:pPr>
        <w:pStyle w:val="9"/>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报价明细</w:t>
      </w:r>
    </w:p>
    <w:p w14:paraId="16E45D24">
      <w:pPr>
        <w:pStyle w:val="9"/>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主要材料、设备品牌参考表</w:t>
      </w:r>
    </w:p>
    <w:p w14:paraId="5CC0F341">
      <w:pPr>
        <w:pStyle w:val="9"/>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廉洁诚信合同</w:t>
      </w:r>
    </w:p>
    <w:p w14:paraId="52C03F47">
      <w:pPr>
        <w:rPr>
          <w:rFonts w:ascii="宋体" w:hAnsi="宋体"/>
          <w:sz w:val="24"/>
          <w:szCs w:val="24"/>
        </w:rPr>
      </w:pPr>
    </w:p>
    <w:p w14:paraId="537C5107">
      <w:pPr>
        <w:rPr>
          <w:rFonts w:ascii="宋体" w:hAnsi="宋体"/>
          <w:sz w:val="24"/>
          <w:szCs w:val="24"/>
        </w:rPr>
      </w:pPr>
    </w:p>
    <w:p w14:paraId="77761994">
      <w:pPr>
        <w:spacing w:line="360" w:lineRule="auto"/>
        <w:ind w:left="5040" w:hanging="5040" w:hangingChars="2100"/>
        <w:rPr>
          <w:rFonts w:ascii="宋体" w:hAnsi="宋体" w:cs="宋体"/>
          <w:kern w:val="0"/>
          <w:sz w:val="24"/>
          <w:szCs w:val="24"/>
        </w:rPr>
      </w:pPr>
      <w:r>
        <w:rPr>
          <w:rFonts w:hint="eastAsia" w:ascii="宋体" w:hAnsi="宋体" w:cs="宋体"/>
          <w:kern w:val="0"/>
          <w:sz w:val="24"/>
          <w:szCs w:val="24"/>
        </w:rPr>
        <w:t>甲方：（盖章）                     乙方：</w:t>
      </w:r>
      <w:r>
        <w:rPr>
          <w:rFonts w:hint="eastAsia" w:ascii="宋体" w:hAnsi="宋体" w:cs="宋体"/>
          <w:kern w:val="0"/>
          <w:sz w:val="24"/>
          <w:szCs w:val="24"/>
          <w:lang w:val="en-US" w:eastAsia="zh-CN"/>
        </w:rPr>
        <w:t>***</w:t>
      </w:r>
      <w:r>
        <w:rPr>
          <w:rFonts w:hint="eastAsia" w:ascii="宋体" w:hAnsi="宋体" w:cs="宋体"/>
          <w:kern w:val="0"/>
          <w:sz w:val="24"/>
          <w:szCs w:val="24"/>
        </w:rPr>
        <w:t>（盖章）</w:t>
      </w:r>
    </w:p>
    <w:p w14:paraId="6AE09321">
      <w:pPr>
        <w:spacing w:line="360" w:lineRule="auto"/>
        <w:ind w:left="4961" w:hanging="4960" w:hangingChars="2067"/>
        <w:rPr>
          <w:rFonts w:hint="default" w:ascii="宋体" w:hAnsi="宋体" w:eastAsia="宋体" w:cs="宋体"/>
          <w:kern w:val="0"/>
          <w:sz w:val="24"/>
          <w:szCs w:val="24"/>
          <w:lang w:val="en-US" w:eastAsia="zh-CN"/>
        </w:rPr>
      </w:pPr>
      <w:r>
        <w:rPr>
          <w:rFonts w:hint="eastAsia" w:ascii="宋体" w:hAnsi="宋体" w:cs="宋体"/>
          <w:kern w:val="0"/>
          <w:sz w:val="24"/>
          <w:szCs w:val="24"/>
        </w:rPr>
        <w:t>地址：广州市中山二路106号         地址：</w:t>
      </w:r>
      <w:r>
        <w:rPr>
          <w:rFonts w:hint="eastAsia" w:ascii="宋体" w:hAnsi="宋体" w:cs="宋体"/>
          <w:kern w:val="0"/>
          <w:sz w:val="24"/>
          <w:szCs w:val="24"/>
          <w:lang w:val="en-US" w:eastAsia="zh-CN"/>
        </w:rPr>
        <w:t>***</w:t>
      </w:r>
    </w:p>
    <w:p w14:paraId="2F33331E">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法定代表人：                       法定代表人：</w:t>
      </w:r>
      <w:r>
        <w:rPr>
          <w:rFonts w:hint="eastAsia" w:ascii="宋体" w:hAnsi="宋体" w:cs="宋体"/>
          <w:kern w:val="0"/>
          <w:sz w:val="24"/>
          <w:szCs w:val="24"/>
          <w:lang w:val="en-US" w:eastAsia="zh-CN"/>
        </w:rPr>
        <w:t>***</w:t>
      </w:r>
    </w:p>
    <w:p w14:paraId="386E0923">
      <w:pPr>
        <w:spacing w:line="360" w:lineRule="auto"/>
        <w:rPr>
          <w:rFonts w:ascii="宋体" w:hAnsi="宋体" w:cs="宋体"/>
          <w:kern w:val="0"/>
          <w:sz w:val="24"/>
          <w:szCs w:val="24"/>
        </w:rPr>
      </w:pPr>
      <w:r>
        <w:rPr>
          <w:rFonts w:hint="eastAsia" w:ascii="宋体" w:hAnsi="宋体" w:cs="宋体"/>
          <w:kern w:val="0"/>
          <w:sz w:val="24"/>
          <w:szCs w:val="24"/>
        </w:rPr>
        <w:t>或委托代理人：                     或委托代理人：</w:t>
      </w:r>
    </w:p>
    <w:p w14:paraId="6781AE03">
      <w:pPr>
        <w:spacing w:line="360" w:lineRule="auto"/>
        <w:rPr>
          <w:rFonts w:ascii="宋体" w:hAnsi="宋体" w:cs="宋体"/>
          <w:kern w:val="0"/>
          <w:sz w:val="24"/>
          <w:szCs w:val="24"/>
        </w:rPr>
      </w:pPr>
      <w:r>
        <w:rPr>
          <w:rFonts w:hint="eastAsia" w:ascii="宋体" w:hAnsi="宋体" w:cs="宋体"/>
          <w:kern w:val="0"/>
          <w:sz w:val="24"/>
          <w:szCs w:val="24"/>
        </w:rPr>
        <w:t xml:space="preserve">电    话：020－83827812            电    话： </w:t>
      </w:r>
      <w:r>
        <w:rPr>
          <w:rFonts w:hint="eastAsia" w:ascii="宋体" w:hAnsi="宋体" w:cs="宋体"/>
          <w:kern w:val="0"/>
          <w:sz w:val="24"/>
          <w:szCs w:val="24"/>
          <w:lang w:val="en-US" w:eastAsia="zh-CN"/>
        </w:rPr>
        <w:t>***</w:t>
      </w:r>
    </w:p>
    <w:p w14:paraId="519450E2">
      <w:pPr>
        <w:spacing w:line="360" w:lineRule="auto"/>
        <w:ind w:left="5280" w:hanging="5280" w:hangingChars="2200"/>
        <w:rPr>
          <w:rFonts w:hint="default" w:ascii="宋体" w:hAnsi="宋体" w:eastAsia="宋体" w:cs="宋体"/>
          <w:color w:val="FF0000"/>
          <w:kern w:val="0"/>
          <w:sz w:val="24"/>
          <w:szCs w:val="24"/>
          <w:lang w:val="en-US" w:eastAsia="zh-CN"/>
        </w:rPr>
      </w:pPr>
      <w:r>
        <w:rPr>
          <w:rFonts w:hint="eastAsia" w:ascii="宋体" w:hAnsi="宋体" w:cs="宋体"/>
          <w:kern w:val="0"/>
          <w:sz w:val="24"/>
          <w:szCs w:val="24"/>
        </w:rPr>
        <w:t>开户银行：</w:t>
      </w:r>
      <w:r>
        <w:rPr>
          <w:rFonts w:hint="eastAsia" w:ascii="宋体" w:hAnsi="宋体" w:cs="Arial"/>
          <w:bCs/>
          <w:szCs w:val="21"/>
        </w:rPr>
        <w:t xml:space="preserve">中国工商银行广州白云路支行  </w:t>
      </w:r>
      <w:r>
        <w:rPr>
          <w:rFonts w:hint="eastAsia" w:ascii="宋体" w:hAnsi="宋体" w:cs="宋体"/>
          <w:kern w:val="0"/>
          <w:sz w:val="24"/>
          <w:szCs w:val="24"/>
        </w:rPr>
        <w:t>开户银行：</w:t>
      </w:r>
      <w:r>
        <w:rPr>
          <w:rFonts w:hint="eastAsia" w:ascii="宋体" w:hAnsi="宋体" w:cs="宋体"/>
          <w:kern w:val="0"/>
          <w:sz w:val="24"/>
          <w:szCs w:val="24"/>
          <w:lang w:val="en-US" w:eastAsia="zh-CN"/>
        </w:rPr>
        <w:t>***</w:t>
      </w:r>
    </w:p>
    <w:p w14:paraId="37EF8FDE">
      <w:pPr>
        <w:spacing w:line="360" w:lineRule="auto"/>
        <w:rPr>
          <w:rFonts w:hint="eastAsia" w:ascii="宋体" w:hAnsi="宋体" w:cs="宋体"/>
          <w:kern w:val="0"/>
          <w:sz w:val="24"/>
          <w:szCs w:val="24"/>
          <w:lang w:val="en-US" w:eastAsia="zh-CN"/>
        </w:rPr>
      </w:pPr>
      <w:r>
        <w:rPr>
          <w:rFonts w:hint="eastAsia" w:ascii="宋体" w:hAnsi="宋体" w:cs="宋体"/>
          <w:kern w:val="0"/>
          <w:sz w:val="24"/>
          <w:szCs w:val="24"/>
        </w:rPr>
        <w:t>帐    号：</w:t>
      </w:r>
      <w:r>
        <w:rPr>
          <w:rFonts w:hint="eastAsia" w:ascii="宋体" w:hAnsi="宋体" w:cs="Arial"/>
          <w:bCs/>
          <w:sz w:val="24"/>
          <w:szCs w:val="24"/>
        </w:rPr>
        <w:t xml:space="preserve">3602004409001385770 </w:t>
      </w:r>
      <w:r>
        <w:rPr>
          <w:rFonts w:hint="eastAsia" w:ascii="宋体" w:hAnsi="宋体" w:cs="宋体"/>
          <w:kern w:val="0"/>
          <w:sz w:val="24"/>
          <w:szCs w:val="24"/>
        </w:rPr>
        <w:t xml:space="preserve">     帐    号：</w:t>
      </w:r>
      <w:r>
        <w:rPr>
          <w:rFonts w:hint="eastAsia" w:ascii="宋体" w:hAnsi="宋体" w:cs="宋体"/>
          <w:kern w:val="0"/>
          <w:sz w:val="24"/>
          <w:szCs w:val="24"/>
          <w:lang w:val="en-US" w:eastAsia="zh-CN"/>
        </w:rPr>
        <w:t>***</w:t>
      </w:r>
    </w:p>
    <w:p w14:paraId="45833744">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邮政编码：510080                   邮政编码：</w:t>
      </w:r>
      <w:r>
        <w:rPr>
          <w:rFonts w:hint="eastAsia" w:ascii="宋体" w:hAnsi="宋体" w:cs="宋体"/>
          <w:kern w:val="0"/>
          <w:sz w:val="24"/>
          <w:szCs w:val="24"/>
          <w:lang w:val="en-US" w:eastAsia="zh-CN"/>
        </w:rPr>
        <w:t>***</w:t>
      </w:r>
    </w:p>
    <w:p w14:paraId="1E666156">
      <w:pPr>
        <w:spacing w:line="360" w:lineRule="auto"/>
        <w:rPr>
          <w:rFonts w:hint="default" w:ascii="宋体" w:hAnsi="宋体" w:eastAsia="宋体" w:cs="宋体"/>
          <w:color w:val="FF0000"/>
          <w:kern w:val="0"/>
          <w:sz w:val="24"/>
          <w:szCs w:val="24"/>
          <w:lang w:val="en-US" w:eastAsia="zh-CN"/>
        </w:rPr>
      </w:pPr>
      <w:r>
        <w:rPr>
          <w:rFonts w:hint="eastAsia" w:ascii="宋体" w:hAnsi="宋体" w:cs="宋体"/>
          <w:kern w:val="0"/>
          <w:sz w:val="24"/>
          <w:szCs w:val="24"/>
        </w:rPr>
        <w:t>电子邮箱：                         电子邮箱：</w:t>
      </w:r>
      <w:r>
        <w:rPr>
          <w:rFonts w:hint="eastAsia" w:ascii="宋体" w:hAnsi="宋体" w:cs="宋体"/>
          <w:kern w:val="0"/>
          <w:sz w:val="24"/>
          <w:szCs w:val="24"/>
          <w:lang w:val="en-US" w:eastAsia="zh-CN"/>
        </w:rPr>
        <w:t>***</w:t>
      </w:r>
    </w:p>
    <w:p w14:paraId="4A4D34E6">
      <w:pPr>
        <w:rPr>
          <w:rFonts w:ascii="宋体" w:hAnsi="宋体"/>
          <w:sz w:val="24"/>
          <w:szCs w:val="24"/>
        </w:rPr>
      </w:pPr>
    </w:p>
    <w:p w14:paraId="64F228EF">
      <w:pPr>
        <w:jc w:val="center"/>
        <w:rPr>
          <w:rFonts w:ascii="宋体" w:hAnsi="宋体"/>
          <w:sz w:val="24"/>
          <w:szCs w:val="24"/>
        </w:rPr>
      </w:pPr>
      <w:r>
        <w:rPr>
          <w:rFonts w:hint="eastAsia" w:ascii="宋体" w:hAnsi="宋体"/>
          <w:sz w:val="24"/>
          <w:szCs w:val="24"/>
        </w:rPr>
        <w:t>签订日期：2024年   月   日</w:t>
      </w:r>
    </w:p>
    <w:p w14:paraId="7E8A805C">
      <w:pPr>
        <w:rPr>
          <w:rFonts w:ascii="宋体" w:hAnsi="宋体"/>
          <w:sz w:val="24"/>
          <w:szCs w:val="24"/>
        </w:rPr>
      </w:pPr>
    </w:p>
    <w:p w14:paraId="5780EDB0">
      <w:pPr>
        <w:rPr>
          <w:rFonts w:ascii="宋体" w:hAnsi="宋体"/>
          <w:sz w:val="24"/>
          <w:szCs w:val="24"/>
        </w:rPr>
      </w:pPr>
    </w:p>
    <w:p w14:paraId="13E2EF5F">
      <w:pPr>
        <w:rPr>
          <w:rFonts w:ascii="宋体" w:hAnsi="宋体"/>
          <w:sz w:val="24"/>
          <w:szCs w:val="24"/>
        </w:rPr>
      </w:pPr>
    </w:p>
    <w:p w14:paraId="18A78426">
      <w:pPr>
        <w:rPr>
          <w:rFonts w:ascii="宋体" w:hAnsi="宋体"/>
          <w:sz w:val="24"/>
          <w:szCs w:val="24"/>
        </w:rPr>
      </w:pPr>
    </w:p>
    <w:p w14:paraId="747B6F18">
      <w:pPr>
        <w:rPr>
          <w:rFonts w:ascii="宋体" w:hAnsi="宋体" w:cs="宋体"/>
          <w:b/>
          <w:bCs/>
          <w:kern w:val="0"/>
          <w:sz w:val="24"/>
          <w:szCs w:val="24"/>
        </w:rPr>
      </w:pPr>
      <w:r>
        <w:rPr>
          <w:rFonts w:hint="eastAsia" w:ascii="宋体" w:hAnsi="宋体" w:cs="宋体"/>
          <w:b/>
          <w:bCs/>
          <w:kern w:val="0"/>
          <w:sz w:val="24"/>
          <w:szCs w:val="24"/>
        </w:rPr>
        <w:br w:type="page"/>
      </w:r>
    </w:p>
    <w:p w14:paraId="460FA170">
      <w:pPr>
        <w:spacing w:line="360" w:lineRule="auto"/>
        <w:jc w:val="left"/>
      </w:pPr>
      <w:r>
        <w:rPr>
          <w:rFonts w:hint="eastAsia" w:ascii="宋体" w:hAnsi="宋体" w:cs="宋体"/>
          <w:b/>
          <w:bCs/>
          <w:kern w:val="0"/>
          <w:sz w:val="24"/>
          <w:szCs w:val="24"/>
        </w:rPr>
        <w:t>附件1：报价明细</w:t>
      </w:r>
    </w:p>
    <w:p w14:paraId="2CEB1EAD">
      <w:pPr>
        <w:rPr>
          <w:rFonts w:ascii="宋体" w:hAnsi="宋体" w:cs="宋体"/>
          <w:b/>
          <w:bCs/>
          <w:kern w:val="0"/>
          <w:sz w:val="24"/>
          <w:szCs w:val="24"/>
        </w:rPr>
      </w:pPr>
      <w:r>
        <w:rPr>
          <w:rFonts w:hint="eastAsia" w:ascii="宋体" w:hAnsi="宋体" w:cs="宋体"/>
          <w:b/>
          <w:bCs/>
          <w:kern w:val="0"/>
          <w:sz w:val="24"/>
          <w:szCs w:val="24"/>
        </w:rPr>
        <w:br w:type="page"/>
      </w:r>
    </w:p>
    <w:p w14:paraId="33536E42">
      <w:pPr>
        <w:spacing w:line="360" w:lineRule="auto"/>
        <w:jc w:val="left"/>
        <w:rPr>
          <w:rFonts w:ascii="宋体" w:hAnsi="宋体" w:cs="宋体"/>
          <w:b/>
          <w:bCs/>
          <w:kern w:val="0"/>
          <w:sz w:val="24"/>
          <w:szCs w:val="24"/>
        </w:rPr>
      </w:pPr>
      <w:r>
        <w:rPr>
          <w:rFonts w:hint="eastAsia" w:ascii="宋体" w:hAnsi="宋体" w:cs="宋体"/>
          <w:b/>
          <w:bCs/>
          <w:kern w:val="0"/>
          <w:sz w:val="24"/>
          <w:szCs w:val="24"/>
        </w:rPr>
        <w:t>附件2：主要材料、设备品牌参考表</w:t>
      </w:r>
    </w:p>
    <w:p w14:paraId="7E5999CA">
      <w:pPr>
        <w:rPr>
          <w:rFonts w:ascii="宋体" w:hAnsi="宋体" w:cs="宋体"/>
          <w:b/>
          <w:bCs/>
          <w:kern w:val="0"/>
          <w:sz w:val="24"/>
          <w:szCs w:val="24"/>
        </w:rPr>
      </w:pPr>
      <w:r>
        <w:rPr>
          <w:rFonts w:hint="eastAsia" w:ascii="宋体" w:hAnsi="宋体" w:cs="宋体"/>
          <w:b/>
          <w:bCs/>
          <w:kern w:val="0"/>
          <w:sz w:val="24"/>
          <w:szCs w:val="24"/>
        </w:rPr>
        <w:br w:type="page"/>
      </w:r>
    </w:p>
    <w:p w14:paraId="5DC35019">
      <w:pPr>
        <w:topLinePunct/>
        <w:autoSpaceDE w:val="0"/>
        <w:autoSpaceDN w:val="0"/>
        <w:spacing w:line="360" w:lineRule="auto"/>
        <w:jc w:val="left"/>
        <w:rPr>
          <w:rFonts w:ascii="宋体" w:hAnsi="宋体" w:cs="宋体"/>
          <w:b/>
          <w:bCs/>
          <w:kern w:val="0"/>
          <w:sz w:val="24"/>
          <w:szCs w:val="24"/>
        </w:rPr>
      </w:pPr>
      <w:r>
        <w:rPr>
          <w:rFonts w:hint="eastAsia" w:ascii="宋体" w:hAnsi="宋体" w:cs="宋体"/>
          <w:b/>
          <w:bCs/>
          <w:kern w:val="0"/>
          <w:sz w:val="24"/>
          <w:szCs w:val="24"/>
        </w:rPr>
        <w:t>附件3</w:t>
      </w:r>
      <w:bookmarkStart w:id="0" w:name="_GoBack"/>
      <w:bookmarkEnd w:id="0"/>
    </w:p>
    <w:p w14:paraId="75A5323B">
      <w:pPr>
        <w:keepNext w:val="0"/>
        <w:keepLines w:val="0"/>
        <w:pageBreakBefore w:val="0"/>
        <w:widowControl w:val="0"/>
        <w:kinsoku/>
        <w:wordWrap/>
        <w:overflowPunct/>
        <w:bidi w:val="0"/>
        <w:adjustRightInd/>
        <w:snapToGrid/>
        <w:spacing w:before="271" w:line="590" w:lineRule="exact"/>
        <w:ind w:left="3164"/>
        <w:textAlignment w:val="auto"/>
        <w:rPr>
          <w:rFonts w:ascii="微软雅黑" w:hAnsi="微软雅黑" w:eastAsia="微软雅黑" w:cs="微软雅黑"/>
          <w:sz w:val="44"/>
          <w:szCs w:val="44"/>
        </w:rPr>
      </w:pPr>
      <w:r>
        <w:rPr>
          <w:rFonts w:ascii="微软雅黑" w:hAnsi="微软雅黑" w:eastAsia="微软雅黑" w:cs="微软雅黑"/>
          <w:spacing w:val="-3"/>
          <w:position w:val="-2"/>
          <w:sz w:val="44"/>
          <w:szCs w:val="44"/>
        </w:rPr>
        <w:t>廉洁协议书</w:t>
      </w:r>
    </w:p>
    <w:p w14:paraId="54BF07A1">
      <w:pPr>
        <w:pStyle w:val="4"/>
        <w:keepNext w:val="0"/>
        <w:keepLines w:val="0"/>
        <w:pageBreakBefore w:val="0"/>
        <w:widowControl w:val="0"/>
        <w:kinsoku/>
        <w:wordWrap/>
        <w:overflowPunct/>
        <w:topLinePunct w:val="0"/>
        <w:autoSpaceDE/>
        <w:autoSpaceDN/>
        <w:bidi w:val="0"/>
        <w:adjustRightInd/>
        <w:snapToGrid/>
        <w:spacing w:line="500" w:lineRule="exact"/>
        <w:ind w:left="689"/>
        <w:textAlignment w:val="auto"/>
        <w:rPr>
          <w:rFonts w:hint="eastAsia" w:ascii="宋体" w:hAnsi="宋体" w:eastAsia="宋体" w:cs="Times New Roman"/>
          <w:color w:val="auto"/>
          <w:kern w:val="2"/>
          <w:sz w:val="24"/>
          <w:szCs w:val="24"/>
          <w:highlight w:val="none"/>
          <w:lang w:val="en-US" w:eastAsia="zh-CN" w:bidi="ar-SA"/>
        </w:rPr>
      </w:pPr>
    </w:p>
    <w:p w14:paraId="4E873277">
      <w:pPr>
        <w:pStyle w:val="4"/>
        <w:keepNext w:val="0"/>
        <w:keepLines w:val="0"/>
        <w:pageBreakBefore w:val="0"/>
        <w:widowControl w:val="0"/>
        <w:kinsoku/>
        <w:wordWrap/>
        <w:overflowPunct/>
        <w:topLinePunct w:val="0"/>
        <w:autoSpaceDE/>
        <w:autoSpaceDN/>
        <w:bidi w:val="0"/>
        <w:adjustRightInd/>
        <w:snapToGrid/>
        <w:spacing w:line="460" w:lineRule="exact"/>
        <w:ind w:left="689"/>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甲方：广东省人民医院</w:t>
      </w:r>
    </w:p>
    <w:p w14:paraId="671A7970">
      <w:pPr>
        <w:pStyle w:val="4"/>
        <w:keepNext w:val="0"/>
        <w:keepLines w:val="0"/>
        <w:pageBreakBefore w:val="0"/>
        <w:widowControl w:val="0"/>
        <w:kinsoku/>
        <w:wordWrap/>
        <w:overflowPunct/>
        <w:topLinePunct w:val="0"/>
        <w:autoSpaceDE/>
        <w:autoSpaceDN/>
        <w:bidi w:val="0"/>
        <w:adjustRightInd/>
        <w:snapToGrid/>
        <w:spacing w:line="460" w:lineRule="exact"/>
        <w:ind w:left="687"/>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乙方：</w:t>
      </w:r>
    </w:p>
    <w:p w14:paraId="6FA36B86">
      <w:pPr>
        <w:pStyle w:val="4"/>
        <w:keepNext w:val="0"/>
        <w:keepLines w:val="0"/>
        <w:pageBreakBefore w:val="0"/>
        <w:widowControl w:val="0"/>
        <w:kinsoku/>
        <w:wordWrap/>
        <w:overflowPunct/>
        <w:topLinePunct w:val="0"/>
        <w:autoSpaceDE/>
        <w:autoSpaceDN/>
        <w:bidi w:val="0"/>
        <w:adjustRightInd/>
        <w:snapToGrid/>
        <w:spacing w:line="460" w:lineRule="exact"/>
        <w:ind w:left="2" w:right="9" w:firstLine="65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为加强医药领域廉洁风险防控，根据《关于加强公立医疗机构廉洁风险防控的指导意见》《医疗机构工作人员廉洁   从业九项准则》《纠正医药购销领域和医疗服务中不正之风   工作要点》等有关法律法规，在公开、平等、自愿的原则下， 经甲乙双方共同协商，就</w:t>
      </w:r>
      <w:r>
        <w:rPr>
          <w:rFonts w:hint="eastAsia" w:ascii="宋体" w:hAnsi="宋体" w:eastAsia="宋体" w:cs="Times New Roman"/>
          <w:color w:val="auto"/>
          <w:kern w:val="2"/>
          <w:sz w:val="24"/>
          <w:szCs w:val="24"/>
          <w:highlight w:val="none"/>
          <w:u w:val="single"/>
          <w:lang w:val="en-US" w:eastAsia="zh-CN" w:bidi="ar-SA"/>
        </w:rPr>
        <w:t>广东省人民医院伟伦楼整体改造工程保运营措施项目</w:t>
      </w:r>
      <w:r>
        <w:rPr>
          <w:rFonts w:hint="eastAsia" w:ascii="宋体" w:hAnsi="宋体" w:eastAsia="宋体" w:cs="Times New Roman"/>
          <w:color w:val="auto"/>
          <w:kern w:val="2"/>
          <w:sz w:val="24"/>
          <w:szCs w:val="24"/>
          <w:highlight w:val="none"/>
          <w:lang w:val="en-US" w:eastAsia="zh-CN" w:bidi="ar-SA"/>
        </w:rPr>
        <w:t>事宜（项目），达成</w:t>
      </w:r>
    </w:p>
    <w:p w14:paraId="09C7F262">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廉洁协议如下：</w:t>
      </w:r>
    </w:p>
    <w:p w14:paraId="1F61AA72">
      <w:pPr>
        <w:pStyle w:val="4"/>
        <w:keepNext w:val="0"/>
        <w:keepLines w:val="0"/>
        <w:pageBreakBefore w:val="0"/>
        <w:widowControl w:val="0"/>
        <w:kinsoku/>
        <w:wordWrap/>
        <w:overflowPunct/>
        <w:topLinePunct w:val="0"/>
        <w:autoSpaceDE/>
        <w:autoSpaceDN/>
        <w:bidi w:val="0"/>
        <w:adjustRightInd/>
        <w:snapToGrid/>
        <w:spacing w:line="460" w:lineRule="exact"/>
        <w:ind w:left="663"/>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一、甲乙双方的共同责任</w:t>
      </w:r>
    </w:p>
    <w:p w14:paraId="6956797A">
      <w:pPr>
        <w:pStyle w:val="4"/>
        <w:keepNext w:val="0"/>
        <w:keepLines w:val="0"/>
        <w:pageBreakBefore w:val="0"/>
        <w:widowControl w:val="0"/>
        <w:kinsoku/>
        <w:wordWrap/>
        <w:overflowPunct/>
        <w:topLinePunct w:val="0"/>
        <w:autoSpaceDE/>
        <w:autoSpaceDN/>
        <w:bidi w:val="0"/>
        <w:adjustRightInd/>
        <w:snapToGrid/>
        <w:spacing w:line="460" w:lineRule="exact"/>
        <w:ind w:left="663"/>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1.严格遵守国家的法律法规及廉政建设有关规定。</w:t>
      </w:r>
    </w:p>
    <w:p w14:paraId="603BE9B0">
      <w:pPr>
        <w:pStyle w:val="4"/>
        <w:keepNext w:val="0"/>
        <w:keepLines w:val="0"/>
        <w:pageBreakBefore w:val="0"/>
        <w:widowControl w:val="0"/>
        <w:kinsoku/>
        <w:wordWrap/>
        <w:overflowPunct/>
        <w:topLinePunct w:val="0"/>
        <w:autoSpaceDE/>
        <w:autoSpaceDN/>
        <w:bidi w:val="0"/>
        <w:adjustRightInd/>
        <w:snapToGrid/>
        <w:spacing w:line="460" w:lineRule="exact"/>
        <w:ind w:left="655"/>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2.共同营造廉洁、诚信、公平、公正的业务交往环境。</w:t>
      </w:r>
    </w:p>
    <w:p w14:paraId="1C6CFB20">
      <w:pPr>
        <w:pStyle w:val="4"/>
        <w:keepNext w:val="0"/>
        <w:keepLines w:val="0"/>
        <w:pageBreakBefore w:val="0"/>
        <w:widowControl w:val="0"/>
        <w:kinsoku/>
        <w:wordWrap/>
        <w:overflowPunct/>
        <w:topLinePunct w:val="0"/>
        <w:autoSpaceDE/>
        <w:autoSpaceDN/>
        <w:bidi w:val="0"/>
        <w:adjustRightInd/>
        <w:snapToGrid/>
        <w:spacing w:line="460" w:lineRule="exact"/>
        <w:ind w:left="668"/>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3.加强对本单位有关人员的管理和教育， 自觉抵制违反</w:t>
      </w:r>
    </w:p>
    <w:p w14:paraId="3DA89E38">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廉洁规定的行为。</w:t>
      </w:r>
    </w:p>
    <w:p w14:paraId="27592440">
      <w:pPr>
        <w:pStyle w:val="4"/>
        <w:keepNext w:val="0"/>
        <w:keepLines w:val="0"/>
        <w:pageBreakBefore w:val="0"/>
        <w:widowControl w:val="0"/>
        <w:kinsoku/>
        <w:wordWrap/>
        <w:overflowPunct/>
        <w:topLinePunct w:val="0"/>
        <w:autoSpaceDE/>
        <w:autoSpaceDN/>
        <w:bidi w:val="0"/>
        <w:adjustRightInd/>
        <w:snapToGrid/>
        <w:spacing w:line="460" w:lineRule="exact"/>
        <w:ind w:left="66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二、甲方及其人员的责任</w:t>
      </w:r>
    </w:p>
    <w:p w14:paraId="3D798225">
      <w:pPr>
        <w:pStyle w:val="4"/>
        <w:keepNext w:val="0"/>
        <w:keepLines w:val="0"/>
        <w:pageBreakBefore w:val="0"/>
        <w:widowControl w:val="0"/>
        <w:kinsoku/>
        <w:wordWrap/>
        <w:overflowPunct/>
        <w:topLinePunct w:val="0"/>
        <w:autoSpaceDE/>
        <w:autoSpaceDN/>
        <w:bidi w:val="0"/>
        <w:adjustRightInd/>
        <w:snapToGrid/>
        <w:spacing w:line="460" w:lineRule="exact"/>
        <w:ind w:firstLine="720" w:firstLineChars="3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1.应向乙方介绍本单位有关廉洁管理的各项制度和规定。</w:t>
      </w:r>
    </w:p>
    <w:p w14:paraId="1EA6EE9F">
      <w:pPr>
        <w:pStyle w:val="4"/>
        <w:keepNext w:val="0"/>
        <w:keepLines w:val="0"/>
        <w:pageBreakBefore w:val="0"/>
        <w:widowControl w:val="0"/>
        <w:kinsoku/>
        <w:wordWrap/>
        <w:overflowPunct/>
        <w:topLinePunct w:val="0"/>
        <w:autoSpaceDE/>
        <w:autoSpaceDN/>
        <w:bidi w:val="0"/>
        <w:adjustRightInd/>
        <w:snapToGrid/>
        <w:spacing w:line="460" w:lineRule="exact"/>
        <w:ind w:left="655"/>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2.应当保持与乙方的正常业务交往。</w:t>
      </w:r>
    </w:p>
    <w:p w14:paraId="20F21711">
      <w:pPr>
        <w:pStyle w:val="4"/>
        <w:keepNext w:val="0"/>
        <w:keepLines w:val="0"/>
        <w:pageBreakBefore w:val="0"/>
        <w:widowControl w:val="0"/>
        <w:kinsoku/>
        <w:wordWrap/>
        <w:overflowPunct/>
        <w:topLinePunct w:val="0"/>
        <w:autoSpaceDE/>
        <w:autoSpaceDN/>
        <w:bidi w:val="0"/>
        <w:adjustRightInd/>
        <w:snapToGrid/>
        <w:spacing w:line="460" w:lineRule="exact"/>
        <w:ind w:left="7" w:right="434" w:firstLine="66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3.不得以任何形式向乙方索取、收受回扣，不得接受乙 方的礼金、有价证券和礼品，不得在乙方报销任何应由个人支付的费用。</w:t>
      </w:r>
    </w:p>
    <w:p w14:paraId="577466F0">
      <w:pPr>
        <w:pStyle w:val="4"/>
        <w:keepNext w:val="0"/>
        <w:keepLines w:val="0"/>
        <w:pageBreakBefore w:val="0"/>
        <w:widowControl w:val="0"/>
        <w:kinsoku/>
        <w:wordWrap/>
        <w:overflowPunct/>
        <w:topLinePunct w:val="0"/>
        <w:autoSpaceDE/>
        <w:autoSpaceDN/>
        <w:bidi w:val="0"/>
        <w:adjustRightInd/>
        <w:snapToGrid/>
        <w:spacing w:line="460" w:lineRule="exact"/>
        <w:ind w:left="657"/>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4.不得参加乙方组织的宴请、旅游、娱乐活动。</w:t>
      </w:r>
    </w:p>
    <w:p w14:paraId="46E8FB99">
      <w:pPr>
        <w:pStyle w:val="4"/>
        <w:keepNext w:val="0"/>
        <w:keepLines w:val="0"/>
        <w:pageBreakBefore w:val="0"/>
        <w:widowControl w:val="0"/>
        <w:kinsoku/>
        <w:wordWrap/>
        <w:overflowPunct/>
        <w:topLinePunct w:val="0"/>
        <w:autoSpaceDE/>
        <w:autoSpaceDN/>
        <w:bidi w:val="0"/>
        <w:adjustRightInd/>
        <w:snapToGrid/>
        <w:spacing w:line="460" w:lineRule="exact"/>
        <w:ind w:left="663"/>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5.不得要求或接受乙方为其住宅装修、婚丧嫁娶、家属</w:t>
      </w:r>
    </w:p>
    <w:p w14:paraId="556D0328">
      <w:pPr>
        <w:pStyle w:val="4"/>
        <w:keepNext w:val="0"/>
        <w:keepLines w:val="0"/>
        <w:pageBreakBefore w:val="0"/>
        <w:widowControl w:val="0"/>
        <w:kinsoku/>
        <w:wordWrap/>
        <w:overflowPunct/>
        <w:topLinePunct w:val="0"/>
        <w:autoSpaceDE/>
        <w:autoSpaceDN/>
        <w:bidi w:val="0"/>
        <w:adjustRightInd/>
        <w:snapToGrid/>
        <w:spacing w:line="460" w:lineRule="exact"/>
        <w:ind w:left="13"/>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和子女的工作安排以及出国等提供方便。</w:t>
      </w:r>
    </w:p>
    <w:p w14:paraId="46ECC8DE">
      <w:pPr>
        <w:pStyle w:val="4"/>
        <w:keepNext w:val="0"/>
        <w:keepLines w:val="0"/>
        <w:pageBreakBefore w:val="0"/>
        <w:widowControl w:val="0"/>
        <w:kinsoku/>
        <w:wordWrap/>
        <w:overflowPunct/>
        <w:topLinePunct w:val="0"/>
        <w:autoSpaceDE/>
        <w:autoSpaceDN/>
        <w:bidi w:val="0"/>
        <w:adjustRightInd/>
        <w:snapToGrid/>
        <w:spacing w:line="460" w:lineRule="exact"/>
        <w:ind w:left="661"/>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6.甲方工作人员不得向乙方介绍家属或者亲友从事项目相关的经济活动。</w:t>
      </w:r>
    </w:p>
    <w:p w14:paraId="4C0662AC">
      <w:pPr>
        <w:pStyle w:val="4"/>
        <w:keepNext w:val="0"/>
        <w:keepLines w:val="0"/>
        <w:pageBreakBefore w:val="0"/>
        <w:widowControl w:val="0"/>
        <w:kinsoku/>
        <w:wordWrap/>
        <w:overflowPunct/>
        <w:topLinePunct w:val="0"/>
        <w:autoSpaceDE/>
        <w:autoSpaceDN/>
        <w:bidi w:val="0"/>
        <w:adjustRightInd/>
        <w:snapToGrid/>
        <w:spacing w:line="460" w:lineRule="exact"/>
        <w:ind w:left="661"/>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7.不得在乙方及其相关单位投资入股，不得向乙方单位及人员借款或委托买卖股票、债券等。</w:t>
      </w:r>
    </w:p>
    <w:p w14:paraId="4E7BF45A">
      <w:pPr>
        <w:pStyle w:val="4"/>
        <w:keepNext w:val="0"/>
        <w:keepLines w:val="0"/>
        <w:pageBreakBefore w:val="0"/>
        <w:widowControl w:val="0"/>
        <w:kinsoku/>
        <w:wordWrap/>
        <w:overflowPunct/>
        <w:topLinePunct w:val="0"/>
        <w:autoSpaceDE/>
        <w:autoSpaceDN/>
        <w:bidi w:val="0"/>
        <w:adjustRightInd/>
        <w:snapToGrid/>
        <w:spacing w:line="460" w:lineRule="exact"/>
        <w:ind w:left="661"/>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8.不得在乙方或乙方相关单位兼职和领取兼职工资及报</w:t>
      </w:r>
    </w:p>
    <w:p w14:paraId="25DF9EBC">
      <w:pPr>
        <w:pStyle w:val="4"/>
        <w:keepNext w:val="0"/>
        <w:keepLines w:val="0"/>
        <w:pageBreakBefore w:val="0"/>
        <w:widowControl w:val="0"/>
        <w:kinsoku/>
        <w:wordWrap/>
        <w:overflowPunct/>
        <w:topLinePunct w:val="0"/>
        <w:autoSpaceDE/>
        <w:autoSpaceDN/>
        <w:bidi w:val="0"/>
        <w:adjustRightInd/>
        <w:snapToGrid/>
        <w:spacing w:line="460" w:lineRule="exact"/>
        <w:ind w:left="13"/>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酬；不得利用双方的商业秘密谋取个人私利。</w:t>
      </w:r>
    </w:p>
    <w:p w14:paraId="0EBB5DCD">
      <w:pPr>
        <w:pStyle w:val="4"/>
        <w:keepNext w:val="0"/>
        <w:keepLines w:val="0"/>
        <w:pageBreakBefore w:val="0"/>
        <w:widowControl w:val="0"/>
        <w:kinsoku/>
        <w:wordWrap/>
        <w:overflowPunct/>
        <w:topLinePunct w:val="0"/>
        <w:autoSpaceDE/>
        <w:autoSpaceDN/>
        <w:bidi w:val="0"/>
        <w:adjustRightInd/>
        <w:snapToGrid/>
        <w:spacing w:line="460" w:lineRule="exact"/>
        <w:ind w:left="21" w:right="163" w:firstLine="64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9.不得利用职权和工作之便向乙方提出上述各项事项之 外其它违背党规党纪、国家法律法规和本院廉洁自律有关规定的事项或要求。</w:t>
      </w:r>
    </w:p>
    <w:p w14:paraId="5D67C978">
      <w:pPr>
        <w:pStyle w:val="4"/>
        <w:keepNext w:val="0"/>
        <w:keepLines w:val="0"/>
        <w:pageBreakBefore w:val="0"/>
        <w:widowControl w:val="0"/>
        <w:kinsoku/>
        <w:wordWrap/>
        <w:overflowPunct/>
        <w:topLinePunct w:val="0"/>
        <w:autoSpaceDE/>
        <w:autoSpaceDN/>
        <w:bidi w:val="0"/>
        <w:adjustRightInd/>
        <w:snapToGrid/>
        <w:spacing w:line="460" w:lineRule="exact"/>
        <w:ind w:left="67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三、乙方及其人员的责任</w:t>
      </w:r>
    </w:p>
    <w:p w14:paraId="1338E6E2">
      <w:pPr>
        <w:pStyle w:val="4"/>
        <w:keepNext w:val="0"/>
        <w:keepLines w:val="0"/>
        <w:pageBreakBefore w:val="0"/>
        <w:widowControl w:val="0"/>
        <w:kinsoku/>
        <w:wordWrap/>
        <w:overflowPunct/>
        <w:topLinePunct w:val="0"/>
        <w:autoSpaceDE/>
        <w:autoSpaceDN/>
        <w:bidi w:val="0"/>
        <w:adjustRightInd/>
        <w:snapToGrid/>
        <w:spacing w:line="460" w:lineRule="exact"/>
        <w:ind w:left="13" w:right="163" w:firstLine="653"/>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1.不得以任何形式向甲方及其人员提供礼金、有价证券 和礼品、贵重物品等，不得为甲方及其人员报销应由甲方或甲方个人支付的费用。</w:t>
      </w:r>
    </w:p>
    <w:p w14:paraId="3E7E781E">
      <w:pPr>
        <w:pStyle w:val="4"/>
        <w:keepNext w:val="0"/>
        <w:keepLines w:val="0"/>
        <w:pageBreakBefore w:val="0"/>
        <w:widowControl w:val="0"/>
        <w:kinsoku/>
        <w:wordWrap/>
        <w:overflowPunct/>
        <w:topLinePunct w:val="0"/>
        <w:autoSpaceDE/>
        <w:autoSpaceDN/>
        <w:bidi w:val="0"/>
        <w:adjustRightInd/>
        <w:snapToGrid/>
        <w:spacing w:line="460" w:lineRule="exact"/>
        <w:ind w:left="659"/>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2.不得为甲方及其人员在乙方投资入股、个人借款等提供方便。</w:t>
      </w:r>
    </w:p>
    <w:p w14:paraId="14984D57">
      <w:pPr>
        <w:pStyle w:val="4"/>
        <w:keepNext w:val="0"/>
        <w:keepLines w:val="0"/>
        <w:pageBreakBefore w:val="0"/>
        <w:widowControl w:val="0"/>
        <w:kinsoku/>
        <w:wordWrap/>
        <w:overflowPunct/>
        <w:topLinePunct w:val="0"/>
        <w:autoSpaceDE/>
        <w:autoSpaceDN/>
        <w:bidi w:val="0"/>
        <w:adjustRightInd/>
        <w:snapToGrid/>
        <w:spacing w:line="460" w:lineRule="exact"/>
        <w:ind w:left="671"/>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3.不得为甲方及其人员购买或装修住房， 为婚丧嫁娶、配偶和子女工作</w:t>
      </w:r>
    </w:p>
    <w:p w14:paraId="58E30BCA">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安排或上学等提供方便。</w:t>
      </w:r>
    </w:p>
    <w:p w14:paraId="365F1A4F">
      <w:pPr>
        <w:pStyle w:val="4"/>
        <w:keepNext w:val="0"/>
        <w:keepLines w:val="0"/>
        <w:pageBreakBefore w:val="0"/>
        <w:widowControl w:val="0"/>
        <w:kinsoku/>
        <w:wordWrap/>
        <w:overflowPunct/>
        <w:topLinePunct w:val="0"/>
        <w:autoSpaceDE/>
        <w:autoSpaceDN/>
        <w:bidi w:val="0"/>
        <w:adjustRightInd/>
        <w:snapToGrid/>
        <w:spacing w:line="460" w:lineRule="exact"/>
        <w:ind w:left="657"/>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4.不得为甲方及其人员安排宴请以及旅游、健身、娱乐等活动。</w:t>
      </w:r>
    </w:p>
    <w:p w14:paraId="42D68733">
      <w:pPr>
        <w:pStyle w:val="4"/>
        <w:keepNext w:val="0"/>
        <w:keepLines w:val="0"/>
        <w:pageBreakBefore w:val="0"/>
        <w:widowControl w:val="0"/>
        <w:kinsoku/>
        <w:wordWrap/>
        <w:overflowPunct/>
        <w:topLinePunct w:val="0"/>
        <w:autoSpaceDE/>
        <w:autoSpaceDN/>
        <w:bidi w:val="0"/>
        <w:adjustRightInd/>
        <w:snapToGrid/>
        <w:spacing w:line="460" w:lineRule="exact"/>
        <w:ind w:left="662"/>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5.不得为甲方及其人员的配偶、子女及其它亲属谋取不</w:t>
      </w:r>
    </w:p>
    <w:p w14:paraId="684AE65A">
      <w:pPr>
        <w:pStyle w:val="4"/>
        <w:keepNext w:val="0"/>
        <w:keepLines w:val="0"/>
        <w:pageBreakBefore w:val="0"/>
        <w:widowControl w:val="0"/>
        <w:kinsoku/>
        <w:wordWrap/>
        <w:overflowPunct/>
        <w:topLinePunct w:val="0"/>
        <w:autoSpaceDE/>
        <w:autoSpaceDN/>
        <w:bidi w:val="0"/>
        <w:adjustRightInd/>
        <w:snapToGrid/>
        <w:spacing w:line="460" w:lineRule="exact"/>
        <w:ind w:left="15"/>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正当利益提供方便。</w:t>
      </w:r>
    </w:p>
    <w:p w14:paraId="481FCC7B">
      <w:pPr>
        <w:pStyle w:val="4"/>
        <w:keepNext w:val="0"/>
        <w:keepLines w:val="0"/>
        <w:pageBreakBefore w:val="0"/>
        <w:widowControl w:val="0"/>
        <w:kinsoku/>
        <w:wordWrap/>
        <w:overflowPunct/>
        <w:topLinePunct w:val="0"/>
        <w:autoSpaceDE/>
        <w:autoSpaceDN/>
        <w:bidi w:val="0"/>
        <w:adjustRightInd/>
        <w:snapToGrid/>
        <w:spacing w:line="460" w:lineRule="exact"/>
        <w:ind w:left="13" w:right="194" w:firstLine="647"/>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6.不得安排甲方人员在乙方或乙方相关企业兼职和领取 兼职工资及报酬； 不得向甲方人员打探有关涉及甲方的商业秘密。</w:t>
      </w:r>
    </w:p>
    <w:p w14:paraId="58EDE02E">
      <w:pPr>
        <w:pStyle w:val="4"/>
        <w:keepNext w:val="0"/>
        <w:keepLines w:val="0"/>
        <w:pageBreakBefore w:val="0"/>
        <w:widowControl w:val="0"/>
        <w:kinsoku/>
        <w:wordWrap/>
        <w:overflowPunct/>
        <w:topLinePunct w:val="0"/>
        <w:autoSpaceDE/>
        <w:autoSpaceDN/>
        <w:bidi w:val="0"/>
        <w:adjustRightInd/>
        <w:snapToGrid/>
        <w:spacing w:line="460" w:lineRule="exact"/>
        <w:ind w:left="66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7.如乙方有知悉或怀疑甲方员工有违反上述规定的，应向甲方纪检部门反</w:t>
      </w:r>
    </w:p>
    <w:p w14:paraId="00A17709">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映。</w:t>
      </w:r>
    </w:p>
    <w:p w14:paraId="4507DD5C">
      <w:pPr>
        <w:pStyle w:val="4"/>
        <w:keepNext w:val="0"/>
        <w:keepLines w:val="0"/>
        <w:pageBreakBefore w:val="0"/>
        <w:widowControl w:val="0"/>
        <w:kinsoku/>
        <w:wordWrap/>
        <w:overflowPunct/>
        <w:topLinePunct w:val="0"/>
        <w:autoSpaceDE/>
        <w:autoSpaceDN/>
        <w:bidi w:val="0"/>
        <w:adjustRightInd/>
        <w:snapToGrid/>
        <w:spacing w:line="460" w:lineRule="exact"/>
        <w:ind w:left="66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8.甲方对涉嫌与甲方有关的不廉洁行为进行调查时，乙方有配合甲方提供</w:t>
      </w:r>
    </w:p>
    <w:p w14:paraId="438930C4">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证据、作证的义务。</w:t>
      </w:r>
    </w:p>
    <w:p w14:paraId="530328CD">
      <w:pPr>
        <w:pStyle w:val="4"/>
        <w:keepNext w:val="0"/>
        <w:keepLines w:val="0"/>
        <w:pageBreakBefore w:val="0"/>
        <w:widowControl w:val="0"/>
        <w:kinsoku/>
        <w:wordWrap/>
        <w:overflowPunct/>
        <w:topLinePunct w:val="0"/>
        <w:autoSpaceDE/>
        <w:autoSpaceDN/>
        <w:bidi w:val="0"/>
        <w:adjustRightInd/>
        <w:snapToGrid/>
        <w:spacing w:line="460" w:lineRule="exact"/>
        <w:ind w:left="5" w:right="195" w:firstLine="655"/>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9.本协议生效期间，保证与甲方对本业务负有领导、监 督、管理职责的工作人员及其他相关业务人员不存在需回避的直系及旁系等亲属关系及其他利害关系。</w:t>
      </w:r>
    </w:p>
    <w:p w14:paraId="07A7611F">
      <w:pPr>
        <w:pStyle w:val="4"/>
        <w:keepNext w:val="0"/>
        <w:keepLines w:val="0"/>
        <w:pageBreakBefore w:val="0"/>
        <w:widowControl w:val="0"/>
        <w:kinsoku/>
        <w:wordWrap/>
        <w:overflowPunct/>
        <w:topLinePunct w:val="0"/>
        <w:autoSpaceDE/>
        <w:autoSpaceDN/>
        <w:bidi w:val="0"/>
        <w:adjustRightInd/>
        <w:snapToGrid/>
        <w:spacing w:line="460" w:lineRule="exact"/>
        <w:ind w:left="665"/>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10.其他（本业务的特殊廉洁风险点）：             </w:t>
      </w:r>
    </w:p>
    <w:p w14:paraId="3907EADD">
      <w:pPr>
        <w:pStyle w:val="4"/>
        <w:keepNext w:val="0"/>
        <w:keepLines w:val="0"/>
        <w:pageBreakBefore w:val="0"/>
        <w:widowControl w:val="0"/>
        <w:kinsoku/>
        <w:wordWrap/>
        <w:overflowPunct/>
        <w:topLinePunct w:val="0"/>
        <w:autoSpaceDE/>
        <w:autoSpaceDN/>
        <w:bidi w:val="0"/>
        <w:adjustRightInd/>
        <w:snapToGrid/>
        <w:spacing w:line="460" w:lineRule="exact"/>
        <w:ind w:left="683"/>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四、违约责任</w:t>
      </w:r>
    </w:p>
    <w:p w14:paraId="64F1087A">
      <w:pPr>
        <w:pStyle w:val="4"/>
        <w:keepNext w:val="0"/>
        <w:keepLines w:val="0"/>
        <w:pageBreakBefore w:val="0"/>
        <w:widowControl w:val="0"/>
        <w:kinsoku/>
        <w:wordWrap/>
        <w:overflowPunct/>
        <w:topLinePunct w:val="0"/>
        <w:autoSpaceDE/>
        <w:autoSpaceDN/>
        <w:bidi w:val="0"/>
        <w:adjustRightInd/>
        <w:snapToGrid/>
        <w:spacing w:line="460" w:lineRule="exact"/>
        <w:ind w:right="195" w:firstLine="665"/>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1.甲方及其工作人员违反本协议规定的， 按管理权限， 依据有关规定给予党纪、政务处分或组织处理；涉嫌违法犯 罪的，移交司法机关追究法律责任；给乙方单位造成经济损失的，应给予赔偿。</w:t>
      </w:r>
    </w:p>
    <w:p w14:paraId="27BD26C0">
      <w:pPr>
        <w:pStyle w:val="4"/>
        <w:keepNext w:val="0"/>
        <w:keepLines w:val="0"/>
        <w:pageBreakBefore w:val="0"/>
        <w:widowControl w:val="0"/>
        <w:kinsoku/>
        <w:wordWrap/>
        <w:overflowPunct/>
        <w:topLinePunct w:val="0"/>
        <w:autoSpaceDE/>
        <w:autoSpaceDN/>
        <w:bidi w:val="0"/>
        <w:adjustRightInd/>
        <w:snapToGrid/>
        <w:spacing w:line="460" w:lineRule="exact"/>
        <w:ind w:left="658"/>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2.乙方及其工作人员违反本协议规定的， 甲方有权单方解除业务合同，</w:t>
      </w:r>
    </w:p>
    <w:p w14:paraId="425FCFC0">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要求乙方支付业务合同总价款20%的违约金。</w:t>
      </w:r>
    </w:p>
    <w:p w14:paraId="4181CDC0">
      <w:pPr>
        <w:pStyle w:val="4"/>
        <w:keepNext w:val="0"/>
        <w:keepLines w:val="0"/>
        <w:pageBreakBefore w:val="0"/>
        <w:widowControl w:val="0"/>
        <w:kinsoku/>
        <w:wordWrap/>
        <w:overflowPunct/>
        <w:topLinePunct w:val="0"/>
        <w:autoSpaceDE/>
        <w:autoSpaceDN/>
        <w:bidi w:val="0"/>
        <w:adjustRightInd/>
        <w:snapToGrid/>
        <w:spacing w:line="460" w:lineRule="exact"/>
        <w:ind w:left="656"/>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五、协议书生效及法律效力</w:t>
      </w:r>
    </w:p>
    <w:p w14:paraId="582A82AD">
      <w:pPr>
        <w:pStyle w:val="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本协议作为业务合同的附件，与合同具有同等效力，经双方签署后生效； 如双方未签订合同，本协议独立有效。甲 乙双方及其人员在合同履行完毕后，发现在合同执行期间有违反本协议规定的行为， 仍按本协议规定处理。</w:t>
      </w:r>
    </w:p>
    <w:p w14:paraId="320E37AC">
      <w:pPr>
        <w:pStyle w:val="4"/>
        <w:keepNext w:val="0"/>
        <w:keepLines w:val="0"/>
        <w:pageBreakBefore w:val="0"/>
        <w:widowControl w:val="0"/>
        <w:kinsoku/>
        <w:wordWrap/>
        <w:overflowPunct/>
        <w:topLinePunct w:val="0"/>
        <w:autoSpaceDE/>
        <w:autoSpaceDN/>
        <w:bidi w:val="0"/>
        <w:adjustRightInd/>
        <w:snapToGrid/>
        <w:spacing w:line="460" w:lineRule="exact"/>
        <w:ind w:left="789"/>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六、本协议争议解决方式</w:t>
      </w:r>
    </w:p>
    <w:p w14:paraId="37950943">
      <w:pPr>
        <w:pStyle w:val="4"/>
        <w:keepNext w:val="0"/>
        <w:keepLines w:val="0"/>
        <w:pageBreakBefore w:val="0"/>
        <w:widowControl w:val="0"/>
        <w:kinsoku/>
        <w:wordWrap/>
        <w:overflowPunct/>
        <w:topLinePunct w:val="0"/>
        <w:autoSpaceDE/>
        <w:autoSpaceDN/>
        <w:bidi w:val="0"/>
        <w:adjustRightInd/>
        <w:snapToGrid/>
        <w:spacing w:line="460" w:lineRule="exact"/>
        <w:ind w:left="775"/>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本协议产生的争议，由双方协商解决；协商不成的，向广州市仲裁委申</w:t>
      </w:r>
    </w:p>
    <w:p w14:paraId="64FD876F">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请仲裁。</w:t>
      </w:r>
    </w:p>
    <w:p w14:paraId="30917903">
      <w:pPr>
        <w:pStyle w:val="4"/>
        <w:keepNext w:val="0"/>
        <w:keepLines w:val="0"/>
        <w:pageBreakBefore w:val="0"/>
        <w:widowControl w:val="0"/>
        <w:kinsoku/>
        <w:wordWrap/>
        <w:overflowPunct/>
        <w:topLinePunct w:val="0"/>
        <w:autoSpaceDE/>
        <w:autoSpaceDN/>
        <w:bidi w:val="0"/>
        <w:adjustRightInd/>
        <w:snapToGrid/>
        <w:spacing w:line="460" w:lineRule="exact"/>
        <w:ind w:left="783"/>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七、协议书的份数</w:t>
      </w:r>
    </w:p>
    <w:p w14:paraId="486F7DD2">
      <w:pPr>
        <w:pStyle w:val="4"/>
        <w:keepNext w:val="0"/>
        <w:keepLines w:val="0"/>
        <w:pageBreakBefore w:val="0"/>
        <w:widowControl w:val="0"/>
        <w:kinsoku/>
        <w:wordWrap/>
        <w:overflowPunct/>
        <w:topLinePunct w:val="0"/>
        <w:autoSpaceDE/>
        <w:autoSpaceDN/>
        <w:bidi w:val="0"/>
        <w:adjustRightInd/>
        <w:snapToGrid/>
        <w:spacing w:line="460" w:lineRule="exact"/>
        <w:ind w:left="775"/>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本协议书一式  四 份，甲方执 二 份， 乙方执 二 份， 具有同等效力。</w:t>
      </w:r>
    </w:p>
    <w:p w14:paraId="73D57DF2">
      <w:pPr>
        <w:pStyle w:val="4"/>
        <w:keepNext w:val="0"/>
        <w:keepLines w:val="0"/>
        <w:pageBreakBefore w:val="0"/>
        <w:widowControl w:val="0"/>
        <w:kinsoku/>
        <w:wordWrap/>
        <w:overflowPunct/>
        <w:topLinePunct w:val="0"/>
        <w:autoSpaceDE/>
        <w:autoSpaceDN/>
        <w:bidi w:val="0"/>
        <w:adjustRightInd/>
        <w:snapToGrid/>
        <w:spacing w:line="460" w:lineRule="exact"/>
        <w:ind w:left="826"/>
        <w:textAlignment w:val="auto"/>
        <w:rPr>
          <w:rFonts w:hint="eastAsia" w:ascii="宋体" w:hAnsi="宋体" w:eastAsia="宋体" w:cs="Times New Roman"/>
          <w:color w:val="auto"/>
          <w:kern w:val="2"/>
          <w:sz w:val="24"/>
          <w:szCs w:val="24"/>
          <w:highlight w:val="none"/>
          <w:lang w:val="en-US" w:eastAsia="zh-CN" w:bidi="ar-SA"/>
        </w:rPr>
      </w:pPr>
    </w:p>
    <w:p w14:paraId="2D1DD102">
      <w:pPr>
        <w:pStyle w:val="4"/>
        <w:keepNext w:val="0"/>
        <w:keepLines w:val="0"/>
        <w:pageBreakBefore w:val="0"/>
        <w:widowControl w:val="0"/>
        <w:kinsoku/>
        <w:wordWrap/>
        <w:overflowPunct/>
        <w:topLinePunct w:val="0"/>
        <w:autoSpaceDE/>
        <w:autoSpaceDN/>
        <w:bidi w:val="0"/>
        <w:adjustRightInd/>
        <w:snapToGrid/>
        <w:spacing w:line="460" w:lineRule="exact"/>
        <w:ind w:left="826"/>
        <w:textAlignment w:val="auto"/>
        <w:rPr>
          <w:rFonts w:hint="eastAsia" w:ascii="宋体" w:hAnsi="宋体" w:eastAsia="宋体" w:cs="Times New Roman"/>
          <w:color w:val="auto"/>
          <w:kern w:val="2"/>
          <w:sz w:val="24"/>
          <w:szCs w:val="24"/>
          <w:highlight w:val="none"/>
          <w:lang w:val="en-US" w:eastAsia="zh-CN" w:bidi="ar-SA"/>
        </w:rPr>
      </w:pPr>
    </w:p>
    <w:p w14:paraId="3640AF6E">
      <w:pPr>
        <w:pStyle w:val="4"/>
        <w:keepNext w:val="0"/>
        <w:keepLines w:val="0"/>
        <w:pageBreakBefore w:val="0"/>
        <w:widowControl w:val="0"/>
        <w:kinsoku/>
        <w:wordWrap/>
        <w:overflowPunct/>
        <w:topLinePunct w:val="0"/>
        <w:autoSpaceDE/>
        <w:autoSpaceDN/>
        <w:bidi w:val="0"/>
        <w:adjustRightInd/>
        <w:snapToGrid/>
        <w:spacing w:line="460" w:lineRule="exact"/>
        <w:ind w:left="826"/>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甲方（盖章）                 乙方（盖章）</w:t>
      </w:r>
    </w:p>
    <w:p w14:paraId="43A01C50">
      <w:pPr>
        <w:pStyle w:val="4"/>
        <w:keepNext w:val="0"/>
        <w:keepLines w:val="0"/>
        <w:pageBreakBefore w:val="0"/>
        <w:widowControl w:val="0"/>
        <w:kinsoku/>
        <w:wordWrap/>
        <w:overflowPunct/>
        <w:topLinePunct w:val="0"/>
        <w:autoSpaceDE/>
        <w:autoSpaceDN/>
        <w:bidi w:val="0"/>
        <w:adjustRightInd/>
        <w:snapToGrid/>
        <w:spacing w:line="460" w:lineRule="exact"/>
        <w:ind w:left="794"/>
        <w:textAlignment w:val="auto"/>
        <w:rPr>
          <w:rFonts w:hint="eastAsia" w:ascii="宋体" w:hAnsi="宋体" w:eastAsia="宋体" w:cs="Times New Roman"/>
          <w:color w:val="auto"/>
          <w:kern w:val="2"/>
          <w:sz w:val="24"/>
          <w:szCs w:val="24"/>
          <w:highlight w:val="none"/>
          <w:lang w:val="en-US" w:eastAsia="zh-CN" w:bidi="ar-SA"/>
        </w:rPr>
      </w:pPr>
    </w:p>
    <w:p w14:paraId="11B3974C">
      <w:pPr>
        <w:pStyle w:val="4"/>
        <w:keepNext w:val="0"/>
        <w:keepLines w:val="0"/>
        <w:pageBreakBefore w:val="0"/>
        <w:widowControl w:val="0"/>
        <w:kinsoku/>
        <w:wordWrap/>
        <w:overflowPunct/>
        <w:topLinePunct w:val="0"/>
        <w:autoSpaceDE/>
        <w:autoSpaceDN/>
        <w:bidi w:val="0"/>
        <w:adjustRightInd/>
        <w:snapToGrid/>
        <w:spacing w:line="460" w:lineRule="exact"/>
        <w:ind w:left="794"/>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法定代表人（或授权人）      法定代表人（或授权人）</w:t>
      </w:r>
    </w:p>
    <w:p w14:paraId="7104C224">
      <w:pPr>
        <w:pStyle w:val="4"/>
        <w:keepNext w:val="0"/>
        <w:keepLines w:val="0"/>
        <w:pageBreakBefore w:val="0"/>
        <w:widowControl w:val="0"/>
        <w:kinsoku/>
        <w:wordWrap/>
        <w:overflowPunct/>
        <w:topLinePunct w:val="0"/>
        <w:autoSpaceDE/>
        <w:autoSpaceDN/>
        <w:bidi w:val="0"/>
        <w:adjustRightInd/>
        <w:snapToGrid/>
        <w:spacing w:line="460" w:lineRule="exact"/>
        <w:ind w:left="794"/>
        <w:textAlignment w:val="auto"/>
        <w:rPr>
          <w:rFonts w:hint="eastAsia" w:ascii="宋体" w:hAnsi="宋体" w:eastAsia="宋体" w:cs="Times New Roman"/>
          <w:color w:val="auto"/>
          <w:kern w:val="2"/>
          <w:sz w:val="24"/>
          <w:szCs w:val="24"/>
          <w:highlight w:val="none"/>
          <w:lang w:val="en-US" w:eastAsia="zh-CN" w:bidi="ar-SA"/>
        </w:rPr>
      </w:pPr>
    </w:p>
    <w:p w14:paraId="3D8696F4">
      <w:pPr>
        <w:pStyle w:val="4"/>
        <w:keepNext w:val="0"/>
        <w:keepLines w:val="0"/>
        <w:pageBreakBefore w:val="0"/>
        <w:widowControl w:val="0"/>
        <w:kinsoku/>
        <w:wordWrap/>
        <w:overflowPunct/>
        <w:topLinePunct w:val="0"/>
        <w:autoSpaceDE/>
        <w:autoSpaceDN/>
        <w:bidi w:val="0"/>
        <w:adjustRightInd/>
        <w:snapToGrid/>
        <w:spacing w:line="460" w:lineRule="exact"/>
        <w:ind w:left="794"/>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日期：                      日期：</w:t>
      </w:r>
    </w:p>
    <w:p w14:paraId="6850225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kern w:val="2"/>
          <w:sz w:val="24"/>
          <w:szCs w:val="24"/>
          <w:highlight w:val="none"/>
          <w:lang w:val="en-US" w:eastAsia="zh-CN" w:bidi="ar-SA"/>
        </w:rPr>
      </w:pPr>
    </w:p>
    <w:p w14:paraId="74ACBB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2CAE"/>
    <w:multiLevelType w:val="singleLevel"/>
    <w:tmpl w:val="842A2CAE"/>
    <w:lvl w:ilvl="0" w:tentative="0">
      <w:start w:val="1"/>
      <w:numFmt w:val="decimal"/>
      <w:suff w:val="nothing"/>
      <w:lvlText w:val="（%1）"/>
      <w:lvlJc w:val="left"/>
    </w:lvl>
  </w:abstractNum>
  <w:abstractNum w:abstractNumId="1">
    <w:nsid w:val="90F2B56A"/>
    <w:multiLevelType w:val="singleLevel"/>
    <w:tmpl w:val="90F2B56A"/>
    <w:lvl w:ilvl="0" w:tentative="0">
      <w:start w:val="1"/>
      <w:numFmt w:val="decimal"/>
      <w:lvlText w:val="%1."/>
      <w:lvlJc w:val="left"/>
      <w:pPr>
        <w:tabs>
          <w:tab w:val="left" w:pos="312"/>
        </w:tabs>
      </w:pPr>
      <w:rPr>
        <w:rFonts w:hint="default"/>
        <w:sz w:val="24"/>
        <w:szCs w:val="24"/>
      </w:rPr>
    </w:lvl>
  </w:abstractNum>
  <w:abstractNum w:abstractNumId="2">
    <w:nsid w:val="9819B8D0"/>
    <w:multiLevelType w:val="singleLevel"/>
    <w:tmpl w:val="9819B8D0"/>
    <w:lvl w:ilvl="0" w:tentative="0">
      <w:start w:val="1"/>
      <w:numFmt w:val="decimal"/>
      <w:lvlText w:val="%1."/>
      <w:lvlJc w:val="left"/>
      <w:pPr>
        <w:tabs>
          <w:tab w:val="left" w:pos="312"/>
        </w:tabs>
      </w:pPr>
    </w:lvl>
  </w:abstractNum>
  <w:abstractNum w:abstractNumId="3">
    <w:nsid w:val="F1DFB575"/>
    <w:multiLevelType w:val="singleLevel"/>
    <w:tmpl w:val="F1DFB575"/>
    <w:lvl w:ilvl="0" w:tentative="0">
      <w:start w:val="1"/>
      <w:numFmt w:val="decimal"/>
      <w:lvlText w:val="%1."/>
      <w:lvlJc w:val="left"/>
      <w:pPr>
        <w:tabs>
          <w:tab w:val="left" w:pos="312"/>
        </w:tabs>
      </w:pPr>
    </w:lvl>
  </w:abstractNum>
  <w:abstractNum w:abstractNumId="4">
    <w:nsid w:val="68B5A358"/>
    <w:multiLevelType w:val="singleLevel"/>
    <w:tmpl w:val="68B5A358"/>
    <w:lvl w:ilvl="0" w:tentative="0">
      <w:start w:val="1"/>
      <w:numFmt w:val="chineseCounting"/>
      <w:suff w:val="nothing"/>
      <w:lvlText w:val="%1、"/>
      <w:lvlJc w:val="left"/>
      <w:rPr>
        <w:rFonts w:hint="eastAsia"/>
      </w:rPr>
    </w:lvl>
  </w:abstractNum>
  <w:abstractNum w:abstractNumId="5">
    <w:nsid w:val="74358063"/>
    <w:multiLevelType w:val="singleLevel"/>
    <w:tmpl w:val="74358063"/>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kZTZhMTllYTkyODBhNWY1ZjJiZDQyNWFhYzQ2MzcifQ=="/>
  </w:docVars>
  <w:rsids>
    <w:rsidRoot w:val="00714DFB"/>
    <w:rsid w:val="00041B75"/>
    <w:rsid w:val="000658C3"/>
    <w:rsid w:val="000A11D9"/>
    <w:rsid w:val="001841B2"/>
    <w:rsid w:val="001E38B8"/>
    <w:rsid w:val="002D05D3"/>
    <w:rsid w:val="002F7CB4"/>
    <w:rsid w:val="00344E10"/>
    <w:rsid w:val="003A31D2"/>
    <w:rsid w:val="003B5D64"/>
    <w:rsid w:val="00405BA7"/>
    <w:rsid w:val="00423184"/>
    <w:rsid w:val="00471BA7"/>
    <w:rsid w:val="00492D56"/>
    <w:rsid w:val="004A160C"/>
    <w:rsid w:val="00521129"/>
    <w:rsid w:val="00526E2B"/>
    <w:rsid w:val="005D5358"/>
    <w:rsid w:val="006104E4"/>
    <w:rsid w:val="0067271D"/>
    <w:rsid w:val="00714DFB"/>
    <w:rsid w:val="00785EC5"/>
    <w:rsid w:val="007C6438"/>
    <w:rsid w:val="00815E13"/>
    <w:rsid w:val="008872DA"/>
    <w:rsid w:val="008C3D53"/>
    <w:rsid w:val="009168D9"/>
    <w:rsid w:val="00925240"/>
    <w:rsid w:val="00A72DCE"/>
    <w:rsid w:val="00AD4958"/>
    <w:rsid w:val="00BF2703"/>
    <w:rsid w:val="00C15F85"/>
    <w:rsid w:val="00CD6073"/>
    <w:rsid w:val="00D257C8"/>
    <w:rsid w:val="00D70E49"/>
    <w:rsid w:val="00DA4456"/>
    <w:rsid w:val="00E2406D"/>
    <w:rsid w:val="00E62D11"/>
    <w:rsid w:val="00ED2C11"/>
    <w:rsid w:val="00F335BA"/>
    <w:rsid w:val="00FA7C9B"/>
    <w:rsid w:val="019D72F6"/>
    <w:rsid w:val="01A52B1A"/>
    <w:rsid w:val="02C60B85"/>
    <w:rsid w:val="02E64D83"/>
    <w:rsid w:val="045921FA"/>
    <w:rsid w:val="04CA4323"/>
    <w:rsid w:val="06D03D80"/>
    <w:rsid w:val="0B00148A"/>
    <w:rsid w:val="0B5444ED"/>
    <w:rsid w:val="0B884C29"/>
    <w:rsid w:val="0BB658DC"/>
    <w:rsid w:val="0D5908F5"/>
    <w:rsid w:val="0DD405FA"/>
    <w:rsid w:val="0E901C9A"/>
    <w:rsid w:val="1020692A"/>
    <w:rsid w:val="10437371"/>
    <w:rsid w:val="12F1729F"/>
    <w:rsid w:val="17011D34"/>
    <w:rsid w:val="17397720"/>
    <w:rsid w:val="199E386A"/>
    <w:rsid w:val="1A4E5290"/>
    <w:rsid w:val="1BB74F8B"/>
    <w:rsid w:val="1BC0795B"/>
    <w:rsid w:val="1CA70C88"/>
    <w:rsid w:val="1E04758B"/>
    <w:rsid w:val="20593E9B"/>
    <w:rsid w:val="21723F5A"/>
    <w:rsid w:val="25070E5D"/>
    <w:rsid w:val="253E079D"/>
    <w:rsid w:val="26E44452"/>
    <w:rsid w:val="26EA2685"/>
    <w:rsid w:val="280414D2"/>
    <w:rsid w:val="28925224"/>
    <w:rsid w:val="28C57065"/>
    <w:rsid w:val="2939710B"/>
    <w:rsid w:val="29C44B03"/>
    <w:rsid w:val="2A047719"/>
    <w:rsid w:val="2AD371C8"/>
    <w:rsid w:val="2B230BA9"/>
    <w:rsid w:val="2CF25F4F"/>
    <w:rsid w:val="2D063031"/>
    <w:rsid w:val="2D10498C"/>
    <w:rsid w:val="2D7A4A42"/>
    <w:rsid w:val="2E037BF4"/>
    <w:rsid w:val="30071C3E"/>
    <w:rsid w:val="304F36B8"/>
    <w:rsid w:val="33150BE9"/>
    <w:rsid w:val="34A00474"/>
    <w:rsid w:val="34B1049E"/>
    <w:rsid w:val="3500741D"/>
    <w:rsid w:val="360D524D"/>
    <w:rsid w:val="36BE5BB5"/>
    <w:rsid w:val="373156EE"/>
    <w:rsid w:val="3770571D"/>
    <w:rsid w:val="39294E48"/>
    <w:rsid w:val="39C55F61"/>
    <w:rsid w:val="3DE03BA2"/>
    <w:rsid w:val="40185875"/>
    <w:rsid w:val="40953369"/>
    <w:rsid w:val="41C061C4"/>
    <w:rsid w:val="42312C1E"/>
    <w:rsid w:val="42600302"/>
    <w:rsid w:val="42F06635"/>
    <w:rsid w:val="431D4BB3"/>
    <w:rsid w:val="44BC53E0"/>
    <w:rsid w:val="47A619B8"/>
    <w:rsid w:val="49F24B88"/>
    <w:rsid w:val="4AD62F17"/>
    <w:rsid w:val="4BA34342"/>
    <w:rsid w:val="4DBA7154"/>
    <w:rsid w:val="4E6047B6"/>
    <w:rsid w:val="4F0516BA"/>
    <w:rsid w:val="4FC86390"/>
    <w:rsid w:val="503F0EBB"/>
    <w:rsid w:val="525564B4"/>
    <w:rsid w:val="565A3529"/>
    <w:rsid w:val="567D5E43"/>
    <w:rsid w:val="5B06202A"/>
    <w:rsid w:val="5B4B66A7"/>
    <w:rsid w:val="5CA249EC"/>
    <w:rsid w:val="5DB20C5F"/>
    <w:rsid w:val="5F506981"/>
    <w:rsid w:val="60861CF0"/>
    <w:rsid w:val="60FA1098"/>
    <w:rsid w:val="611765DB"/>
    <w:rsid w:val="619C7C5C"/>
    <w:rsid w:val="61A431BC"/>
    <w:rsid w:val="62886432"/>
    <w:rsid w:val="62930E70"/>
    <w:rsid w:val="630F6DAB"/>
    <w:rsid w:val="645879B8"/>
    <w:rsid w:val="648570CD"/>
    <w:rsid w:val="65EE47FE"/>
    <w:rsid w:val="667A42E4"/>
    <w:rsid w:val="66ED0292"/>
    <w:rsid w:val="673D3C8F"/>
    <w:rsid w:val="677B6B6C"/>
    <w:rsid w:val="69020DEA"/>
    <w:rsid w:val="6A400B06"/>
    <w:rsid w:val="6B171B6B"/>
    <w:rsid w:val="6E7A1325"/>
    <w:rsid w:val="6E7A7577"/>
    <w:rsid w:val="7041406C"/>
    <w:rsid w:val="727B4FCE"/>
    <w:rsid w:val="758A6286"/>
    <w:rsid w:val="75924FE8"/>
    <w:rsid w:val="762B73A9"/>
    <w:rsid w:val="7A15414C"/>
    <w:rsid w:val="7A463B1D"/>
    <w:rsid w:val="7B7407B7"/>
    <w:rsid w:val="7C06244A"/>
    <w:rsid w:val="7CF95B0B"/>
    <w:rsid w:val="7F4577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rFonts w:eastAsia="黑体" w:asciiTheme="minorHAnsi" w:hAnsiTheme="minorHAnsi"/>
      <w:b/>
      <w:kern w:val="44"/>
      <w:sz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alloon Text"/>
    <w:basedOn w:val="1"/>
    <w:link w:val="15"/>
    <w:autoRedefine/>
    <w:qFormat/>
    <w:uiPriority w:val="0"/>
    <w:rPr>
      <w:sz w:val="18"/>
      <w:szCs w:val="18"/>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9">
    <w:name w:val="Normal (Web)"/>
    <w:basedOn w:val="1"/>
    <w:autoRedefine/>
    <w:unhideWhenUsed/>
    <w:qFormat/>
    <w:uiPriority w:val="99"/>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annotation reference"/>
    <w:basedOn w:val="12"/>
    <w:autoRedefine/>
    <w:qFormat/>
    <w:uiPriority w:val="0"/>
    <w:rPr>
      <w:sz w:val="21"/>
      <w:szCs w:val="21"/>
    </w:rPr>
  </w:style>
  <w:style w:type="character" w:customStyle="1" w:styleId="15">
    <w:name w:val="批注框文本 Char"/>
    <w:basedOn w:val="12"/>
    <w:link w:val="5"/>
    <w:autoRedefine/>
    <w:qFormat/>
    <w:uiPriority w:val="0"/>
    <w:rPr>
      <w:kern w:val="2"/>
      <w:sz w:val="18"/>
      <w:szCs w:val="18"/>
    </w:rPr>
  </w:style>
  <w:style w:type="character" w:customStyle="1" w:styleId="16">
    <w:name w:val="font61"/>
    <w:basedOn w:val="12"/>
    <w:autoRedefine/>
    <w:qFormat/>
    <w:uiPriority w:val="0"/>
    <w:rPr>
      <w:rFonts w:ascii="monospace" w:hAnsi="monospace" w:eastAsia="monospace" w:cs="monospace"/>
      <w:color w:val="auto"/>
      <w:sz w:val="18"/>
      <w:szCs w:val="18"/>
      <w:u w:val="none"/>
    </w:rPr>
  </w:style>
  <w:style w:type="character" w:customStyle="1" w:styleId="17">
    <w:name w:val="font51"/>
    <w:basedOn w:val="12"/>
    <w:autoRedefine/>
    <w:qFormat/>
    <w:uiPriority w:val="0"/>
    <w:rPr>
      <w:rFonts w:hint="eastAsia" w:ascii="宋体" w:hAnsi="宋体" w:eastAsia="宋体" w:cs="宋体"/>
      <w:color w:val="auto"/>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A688-5A6C-4AC6-B8E5-8FE22DF9F1F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3940</Words>
  <Characters>4108</Characters>
  <Lines>31</Lines>
  <Paragraphs>8</Paragraphs>
  <TotalTime>0</TotalTime>
  <ScaleCrop>false</ScaleCrop>
  <LinksUpToDate>false</LinksUpToDate>
  <CharactersWithSpaces>4321</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2024-04-07T08:05:00Z</dcterms:created>
  <dc:creator>netuser</dc:creator>
  <cp:lastModifiedBy>符立</cp:lastModifiedBy>
  <dcterms:modified xsi:type="dcterms:W3CDTF">2024-07-11T07:56:28Z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3290FB2A542D4F1F9A4B762F6165D31F_13</vt:lpwstr>
  </property>
</Properties>
</file>