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48130">
      <w:pPr>
        <w:spacing w:before="624" w:beforeLines="200" w:after="312" w:afterLines="100" w:line="360" w:lineRule="auto"/>
        <w:jc w:val="center"/>
        <w:rPr>
          <w:rFonts w:hint="default" w:ascii="宋体" w:hAnsi="宋体" w:eastAsia="宋体"/>
          <w:b/>
          <w:sz w:val="44"/>
          <w:szCs w:val="30"/>
          <w:lang w:val="en-US" w:eastAsia="zh-CN"/>
        </w:rPr>
      </w:pPr>
      <w:r>
        <w:rPr>
          <w:rFonts w:hint="eastAsia" w:ascii="宋体" w:hAnsi="宋体"/>
          <w:b/>
          <w:sz w:val="44"/>
          <w:szCs w:val="30"/>
        </w:rPr>
        <w:t>广东省人民医院老人心血管疾病人群多元多模态信息融合技术研发及应用系统项目</w:t>
      </w:r>
      <w:r>
        <w:rPr>
          <w:rFonts w:hint="eastAsia" w:ascii="宋体" w:hAnsi="宋体"/>
          <w:b/>
          <w:sz w:val="44"/>
          <w:szCs w:val="30"/>
          <w:lang w:val="en-US" w:eastAsia="zh-CN"/>
        </w:rPr>
        <w:t>需求</w:t>
      </w:r>
    </w:p>
    <w:p w14:paraId="356476EA">
      <w:pPr>
        <w:pStyle w:val="2"/>
        <w:numPr>
          <w:ilvl w:val="0"/>
          <w:numId w:val="3"/>
        </w:numPr>
        <w:rPr>
          <w:rFonts w:ascii="宋体" w:hAnsi="宋体"/>
          <w:sz w:val="32"/>
        </w:rPr>
      </w:pPr>
      <w:r>
        <w:rPr>
          <w:rFonts w:hint="eastAsia" w:ascii="宋体" w:hAnsi="宋体"/>
          <w:sz w:val="32"/>
        </w:rPr>
        <w:t>项目名称</w:t>
      </w:r>
    </w:p>
    <w:p w14:paraId="5BE12132">
      <w:pPr>
        <w:spacing w:line="360" w:lineRule="auto"/>
        <w:ind w:left="432"/>
        <w:rPr>
          <w:rFonts w:hint="eastAsia" w:ascii="宋体" w:hAnsi="宋体" w:eastAsia="宋体"/>
          <w:szCs w:val="21"/>
          <w:lang w:val="en-US" w:eastAsia="zh-CN"/>
        </w:rPr>
      </w:pPr>
      <w:r>
        <w:rPr>
          <w:rFonts w:hint="eastAsia" w:ascii="宋体" w:hAnsi="宋体"/>
          <w:szCs w:val="21"/>
        </w:rPr>
        <w:t>项目名称：老人心血管疾病人群多元多模态信息融合技术研发及应用系统</w:t>
      </w:r>
    </w:p>
    <w:p w14:paraId="60AB158B">
      <w:pPr>
        <w:pStyle w:val="2"/>
        <w:numPr>
          <w:ilvl w:val="0"/>
          <w:numId w:val="3"/>
        </w:numPr>
        <w:rPr>
          <w:rFonts w:ascii="宋体" w:hAnsi="宋体"/>
          <w:sz w:val="32"/>
        </w:rPr>
      </w:pPr>
      <w:r>
        <w:rPr>
          <w:rFonts w:hint="eastAsia" w:ascii="宋体" w:hAnsi="宋体"/>
          <w:sz w:val="32"/>
        </w:rPr>
        <w:t>项目内容</w:t>
      </w:r>
    </w:p>
    <w:p w14:paraId="26201C92">
      <w:pPr>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供应商按照采购商需求，整合老年人群的多源异构健康数据，深入分析和挖掘数据，进而提高老年人群的疾病管理水平，减轻其疾病负担，提升对老人心血管疾病的早期预警、精准诊断与个性化治疗方案的能力。</w:t>
      </w:r>
    </w:p>
    <w:p w14:paraId="1A2C1F2B">
      <w:pPr>
        <w:spacing w:line="360" w:lineRule="auto"/>
        <w:ind w:firstLine="420" w:firstLineChars="200"/>
        <w:rPr>
          <w:rFonts w:hint="default" w:eastAsia="宋体"/>
          <w:lang w:val="en-US" w:eastAsia="zh-CN"/>
        </w:rPr>
      </w:pPr>
      <w:r>
        <w:rPr>
          <w:rFonts w:hint="eastAsia" w:ascii="宋体" w:hAnsi="宋体"/>
          <w:szCs w:val="21"/>
          <w:lang w:val="en-US" w:eastAsia="zh-CN"/>
        </w:rPr>
        <w:t>同时，该平台将为临床医生提供科学的辅助决策依据，推动心血管疾病的精准医疗。因此，平台的建成并投入应用，将促进科研创新与老年人健康管理水平方面发挥长期作用，助力医疗行业的数字化转型。</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3827"/>
        <w:gridCol w:w="3119"/>
        <w:gridCol w:w="1297"/>
      </w:tblGrid>
      <w:tr w14:paraId="2A290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tcPr>
          <w:p w14:paraId="0B82E9FF">
            <w:r>
              <w:rPr>
                <w:rFonts w:hint="eastAsia"/>
              </w:rPr>
              <w:t>序号</w:t>
            </w:r>
          </w:p>
        </w:tc>
        <w:tc>
          <w:tcPr>
            <w:tcW w:w="3827" w:type="dxa"/>
          </w:tcPr>
          <w:p w14:paraId="4E46D392">
            <w:r>
              <w:rPr>
                <w:rFonts w:hint="eastAsia"/>
              </w:rPr>
              <w:t>名称</w:t>
            </w:r>
          </w:p>
        </w:tc>
        <w:tc>
          <w:tcPr>
            <w:tcW w:w="3119" w:type="dxa"/>
          </w:tcPr>
          <w:p w14:paraId="39634776">
            <w:r>
              <w:rPr>
                <w:rFonts w:hint="eastAsia"/>
              </w:rPr>
              <w:t>配置描述</w:t>
            </w:r>
          </w:p>
        </w:tc>
        <w:tc>
          <w:tcPr>
            <w:tcW w:w="1297" w:type="dxa"/>
          </w:tcPr>
          <w:p w14:paraId="4DE51F0B">
            <w:r>
              <w:rPr>
                <w:rFonts w:hint="eastAsia"/>
              </w:rPr>
              <w:t>数量</w:t>
            </w:r>
          </w:p>
        </w:tc>
      </w:tr>
      <w:tr w14:paraId="6526C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E83C8A2">
            <w:pPr>
              <w:jc w:val="left"/>
              <w:rPr>
                <w:bCs/>
              </w:rPr>
            </w:pPr>
            <w:r>
              <w:rPr>
                <w:bCs/>
              </w:rPr>
              <w:t>1</w:t>
            </w:r>
          </w:p>
        </w:tc>
        <w:tc>
          <w:tcPr>
            <w:tcW w:w="3827" w:type="dxa"/>
          </w:tcPr>
          <w:p w14:paraId="15ADA7A2">
            <w:pPr>
              <w:rPr>
                <w:bCs/>
              </w:rPr>
            </w:pPr>
            <w:r>
              <w:rPr>
                <w:rFonts w:hint="eastAsia"/>
                <w:bCs/>
              </w:rPr>
              <w:t>老人心血管疾病人群多元多模态信息融合技术研发及应用系统</w:t>
            </w:r>
          </w:p>
        </w:tc>
        <w:tc>
          <w:tcPr>
            <w:tcW w:w="3119" w:type="dxa"/>
          </w:tcPr>
          <w:p w14:paraId="1FB8061E">
            <w:pPr>
              <w:rPr>
                <w:bCs/>
              </w:rPr>
            </w:pPr>
            <w:r>
              <w:fldChar w:fldCharType="begin"/>
            </w:r>
            <w:r>
              <w:instrText xml:space="preserve"> HYPERLINK \l "_3.1.1、咨询服务" </w:instrText>
            </w:r>
            <w:r>
              <w:fldChar w:fldCharType="separate"/>
            </w:r>
            <w:r>
              <w:rPr>
                <w:rFonts w:hint="eastAsia"/>
                <w:bCs/>
              </w:rPr>
              <w:t>配置详见3</w:t>
            </w:r>
            <w:r>
              <w:rPr>
                <w:bCs/>
              </w:rPr>
              <w:t>.</w:t>
            </w:r>
            <w:r>
              <w:rPr>
                <w:rFonts w:hint="eastAsia"/>
                <w:bCs/>
              </w:rPr>
              <w:t>1</w:t>
            </w:r>
            <w:r>
              <w:rPr>
                <w:rFonts w:hint="eastAsia"/>
                <w:bCs/>
              </w:rPr>
              <w:fldChar w:fldCharType="end"/>
            </w:r>
          </w:p>
        </w:tc>
        <w:tc>
          <w:tcPr>
            <w:tcW w:w="1297" w:type="dxa"/>
            <w:vAlign w:val="center"/>
          </w:tcPr>
          <w:p w14:paraId="036D5931">
            <w:pPr>
              <w:jc w:val="center"/>
              <w:rPr>
                <w:rFonts w:hint="eastAsia" w:eastAsia="宋体"/>
                <w:bCs/>
                <w:sz w:val="24"/>
                <w:lang w:val="en-US" w:eastAsia="zh-CN"/>
              </w:rPr>
            </w:pPr>
            <w:r>
              <w:rPr>
                <w:bCs/>
              </w:rPr>
              <w:t>1</w:t>
            </w:r>
            <w:r>
              <w:rPr>
                <w:rFonts w:hint="eastAsia"/>
                <w:bCs/>
                <w:lang w:val="en-US" w:eastAsia="zh-CN"/>
              </w:rPr>
              <w:t>个</w:t>
            </w:r>
          </w:p>
        </w:tc>
      </w:tr>
    </w:tbl>
    <w:p w14:paraId="2681640E">
      <w:pPr>
        <w:pStyle w:val="51"/>
        <w:keepNext/>
        <w:keepLines/>
        <w:numPr>
          <w:ilvl w:val="0"/>
          <w:numId w:val="1"/>
        </w:numPr>
        <w:spacing w:before="340" w:after="330" w:line="578" w:lineRule="auto"/>
        <w:ind w:firstLineChars="0"/>
        <w:outlineLvl w:val="0"/>
        <w:rPr>
          <w:rFonts w:ascii="宋体" w:hAnsi="宋体" w:eastAsia="宋体"/>
          <w:b/>
          <w:bCs/>
          <w:vanish/>
          <w:kern w:val="44"/>
          <w:sz w:val="44"/>
          <w:szCs w:val="44"/>
        </w:rPr>
      </w:pPr>
    </w:p>
    <w:p w14:paraId="0C72579B">
      <w:pPr>
        <w:pStyle w:val="51"/>
        <w:keepNext/>
        <w:keepLines/>
        <w:numPr>
          <w:ilvl w:val="0"/>
          <w:numId w:val="1"/>
        </w:numPr>
        <w:spacing w:before="340" w:after="330" w:line="578" w:lineRule="auto"/>
        <w:ind w:firstLineChars="0"/>
        <w:outlineLvl w:val="0"/>
        <w:rPr>
          <w:rFonts w:ascii="宋体" w:hAnsi="宋体" w:eastAsia="宋体"/>
          <w:b/>
          <w:bCs/>
          <w:vanish/>
          <w:kern w:val="44"/>
          <w:sz w:val="44"/>
          <w:szCs w:val="44"/>
        </w:rPr>
      </w:pPr>
    </w:p>
    <w:p w14:paraId="37007F5D">
      <w:pPr>
        <w:pStyle w:val="51"/>
        <w:keepNext/>
        <w:keepLines/>
        <w:numPr>
          <w:ilvl w:val="0"/>
          <w:numId w:val="1"/>
        </w:numPr>
        <w:spacing w:before="340" w:after="330" w:line="578" w:lineRule="auto"/>
        <w:ind w:firstLineChars="0"/>
        <w:outlineLvl w:val="0"/>
        <w:rPr>
          <w:rFonts w:ascii="宋体" w:hAnsi="宋体" w:eastAsia="宋体"/>
          <w:b/>
          <w:bCs/>
          <w:vanish/>
          <w:kern w:val="44"/>
          <w:sz w:val="44"/>
          <w:szCs w:val="44"/>
        </w:rPr>
      </w:pPr>
    </w:p>
    <w:p w14:paraId="261C41C2">
      <w:pPr>
        <w:pStyle w:val="51"/>
        <w:keepNext/>
        <w:keepLines/>
        <w:numPr>
          <w:ilvl w:val="1"/>
          <w:numId w:val="1"/>
        </w:numPr>
        <w:spacing w:before="340" w:after="330" w:line="578" w:lineRule="auto"/>
        <w:ind w:firstLineChars="0"/>
        <w:outlineLvl w:val="0"/>
        <w:rPr>
          <w:rFonts w:ascii="宋体" w:hAnsi="宋体" w:eastAsia="宋体"/>
          <w:b/>
          <w:bCs/>
          <w:vanish/>
          <w:kern w:val="44"/>
          <w:sz w:val="44"/>
          <w:szCs w:val="44"/>
        </w:rPr>
      </w:pPr>
    </w:p>
    <w:p w14:paraId="1515EC8D">
      <w:pPr>
        <w:pStyle w:val="2"/>
        <w:numPr>
          <w:ilvl w:val="0"/>
          <w:numId w:val="3"/>
        </w:numPr>
        <w:rPr>
          <w:rFonts w:ascii="宋体" w:hAnsi="宋体"/>
          <w:sz w:val="32"/>
        </w:rPr>
      </w:pPr>
      <w:bookmarkStart w:id="0" w:name="_6.1.1、大数据服务器"/>
      <w:bookmarkEnd w:id="0"/>
      <w:bookmarkStart w:id="1" w:name="_3.1.1、咨询服务"/>
      <w:bookmarkEnd w:id="1"/>
      <w:bookmarkStart w:id="2" w:name="_3.1.1、模块1"/>
      <w:bookmarkEnd w:id="2"/>
      <w:r>
        <w:rPr>
          <w:rFonts w:hint="eastAsia" w:ascii="宋体" w:hAnsi="宋体"/>
          <w:sz w:val="32"/>
        </w:rPr>
        <w:t>详细</w:t>
      </w:r>
      <w:r>
        <w:rPr>
          <w:rFonts w:hint="eastAsia" w:ascii="宋体" w:hAnsi="宋体"/>
          <w:sz w:val="32"/>
          <w:lang w:val="en-US" w:eastAsia="zh-CN"/>
        </w:rPr>
        <w:t>功能描述</w:t>
      </w:r>
    </w:p>
    <w:p w14:paraId="250B6097">
      <w:pPr>
        <w:pStyle w:val="3"/>
        <w:rPr>
          <w:rFonts w:hint="eastAsia" w:ascii="宋体" w:hAnsi="宋体" w:eastAsia="宋体" w:cs="Times New Roman"/>
          <w:b/>
          <w:bCs/>
          <w:kern w:val="2"/>
          <w:sz w:val="24"/>
          <w:szCs w:val="24"/>
          <w:lang w:val="en-US" w:eastAsia="zh-CN" w:bidi="ar-SA"/>
        </w:rPr>
      </w:pPr>
      <w:r>
        <w:rPr>
          <w:rFonts w:ascii="宋体" w:hAnsi="宋体" w:eastAsia="宋体"/>
          <w:sz w:val="24"/>
          <w:szCs w:val="24"/>
        </w:rPr>
        <w:t>3.1</w:t>
      </w:r>
      <w:r>
        <w:rPr>
          <w:rFonts w:hint="eastAsia" w:ascii="宋体" w:hAnsi="宋体" w:eastAsia="宋体"/>
          <w:sz w:val="24"/>
          <w:szCs w:val="24"/>
        </w:rPr>
        <w:t>老人心血管疾病人群多元多模态信息融合技术研发及应用系统</w:t>
      </w: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6"/>
        <w:gridCol w:w="1584"/>
        <w:gridCol w:w="1568"/>
        <w:gridCol w:w="5082"/>
      </w:tblGrid>
      <w:tr w14:paraId="56847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shd w:val="clear" w:color="auto" w:fill="A5A5A5" w:themeFill="background1" w:themeFillShade="A6"/>
            <w:vAlign w:val="center"/>
          </w:tcPr>
          <w:p w14:paraId="283DD06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序号</w:t>
            </w:r>
          </w:p>
        </w:tc>
        <w:tc>
          <w:tcPr>
            <w:tcW w:w="1584" w:type="dxa"/>
            <w:shd w:val="clear" w:color="auto" w:fill="A5A5A5" w:themeFill="background1" w:themeFillShade="A6"/>
            <w:vAlign w:val="center"/>
          </w:tcPr>
          <w:p w14:paraId="4B547B8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一级功能模块</w:t>
            </w:r>
          </w:p>
        </w:tc>
        <w:tc>
          <w:tcPr>
            <w:tcW w:w="1568" w:type="dxa"/>
            <w:shd w:val="clear" w:color="auto" w:fill="A5A5A5" w:themeFill="background1" w:themeFillShade="A6"/>
            <w:vAlign w:val="center"/>
          </w:tcPr>
          <w:p w14:paraId="1BFD4EF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二级功能模块</w:t>
            </w:r>
          </w:p>
        </w:tc>
        <w:tc>
          <w:tcPr>
            <w:tcW w:w="5082" w:type="dxa"/>
            <w:shd w:val="clear" w:color="auto" w:fill="A5A5A5" w:themeFill="background1" w:themeFillShade="A6"/>
            <w:vAlign w:val="center"/>
          </w:tcPr>
          <w:p w14:paraId="6D1B591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详细功能需求</w:t>
            </w:r>
          </w:p>
        </w:tc>
      </w:tr>
      <w:tr w14:paraId="22502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restart"/>
            <w:vAlign w:val="center"/>
          </w:tcPr>
          <w:p w14:paraId="4622BC7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1</w:t>
            </w:r>
          </w:p>
        </w:tc>
        <w:tc>
          <w:tcPr>
            <w:tcW w:w="1584" w:type="dxa"/>
            <w:vMerge w:val="restart"/>
            <w:vAlign w:val="center"/>
          </w:tcPr>
          <w:p w14:paraId="2CDAFBC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多模态信息采集融合平台</w:t>
            </w:r>
          </w:p>
        </w:tc>
        <w:tc>
          <w:tcPr>
            <w:tcW w:w="1568" w:type="dxa"/>
            <w:vAlign w:val="center"/>
          </w:tcPr>
          <w:p w14:paraId="2FA9839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zh-CN" w:eastAsia="zh-CN"/>
              </w:rPr>
              <w:t>采集</w:t>
            </w:r>
            <w:r>
              <w:rPr>
                <w:rFonts w:hint="eastAsia" w:ascii="宋体" w:hAnsi="宋体" w:eastAsia="宋体" w:cs="宋体"/>
                <w:b w:val="0"/>
                <w:bCs w:val="0"/>
                <w:sz w:val="21"/>
                <w:szCs w:val="21"/>
                <w:lang w:val="en-US" w:eastAsia="zh-CN"/>
              </w:rPr>
              <w:t>融合</w:t>
            </w:r>
          </w:p>
        </w:tc>
        <w:tc>
          <w:tcPr>
            <w:tcW w:w="5082" w:type="dxa"/>
            <w:vAlign w:val="center"/>
          </w:tcPr>
          <w:p w14:paraId="6864BCA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支持DICOM等格式的医学影像数据上传与存储</w:t>
            </w:r>
          </w:p>
          <w:p w14:paraId="5FA412A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支持文本和文件格式的</w:t>
            </w:r>
            <w:bookmarkStart w:id="5" w:name="_GoBack"/>
            <w:bookmarkEnd w:id="5"/>
            <w:r>
              <w:rPr>
                <w:rFonts w:hint="eastAsia" w:ascii="宋体" w:hAnsi="宋体" w:eastAsia="宋体" w:cs="宋体"/>
                <w:b w:val="0"/>
                <w:bCs w:val="0"/>
                <w:sz w:val="21"/>
                <w:szCs w:val="21"/>
                <w:lang w:val="en-US" w:eastAsia="zh-CN"/>
              </w:rPr>
              <w:t>基因组数据上传</w:t>
            </w:r>
          </w:p>
          <w:p w14:paraId="0D88620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支持HIS系统文本、文件等各类数据导入与同步</w:t>
            </w:r>
          </w:p>
          <w:p w14:paraId="7B0430A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en-US" w:eastAsia="zh-CN"/>
              </w:rPr>
              <w:t>支持多种协议的可穿戴设备数据接入</w:t>
            </w:r>
          </w:p>
        </w:tc>
      </w:tr>
      <w:tr w14:paraId="4828C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826" w:type="dxa"/>
            <w:vMerge w:val="continue"/>
            <w:vAlign w:val="center"/>
          </w:tcPr>
          <w:p w14:paraId="15DAB0D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zh-CN" w:eastAsia="zh-CN"/>
              </w:rPr>
            </w:pPr>
          </w:p>
        </w:tc>
        <w:tc>
          <w:tcPr>
            <w:tcW w:w="1584" w:type="dxa"/>
            <w:vMerge w:val="continue"/>
            <w:vAlign w:val="center"/>
          </w:tcPr>
          <w:p w14:paraId="22F52701">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68" w:type="dxa"/>
            <w:vAlign w:val="center"/>
          </w:tcPr>
          <w:p w14:paraId="145686C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数据存储</w:t>
            </w:r>
          </w:p>
        </w:tc>
        <w:tc>
          <w:tcPr>
            <w:tcW w:w="5082" w:type="dxa"/>
            <w:vAlign w:val="center"/>
          </w:tcPr>
          <w:p w14:paraId="51FAC83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支持持久化存储，确保数据长期保存且不丢失</w:t>
            </w:r>
          </w:p>
          <w:p w14:paraId="31EF454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支持定期备份数据，防止数据丢失</w:t>
            </w:r>
          </w:p>
          <w:p w14:paraId="1881A07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支持数据类型进行分类存储，便于管理和检索</w:t>
            </w:r>
          </w:p>
        </w:tc>
      </w:tr>
      <w:tr w14:paraId="194D8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 w:hRule="atLeast"/>
          <w:jc w:val="center"/>
        </w:trPr>
        <w:tc>
          <w:tcPr>
            <w:tcW w:w="826" w:type="dxa"/>
            <w:vMerge w:val="continue"/>
            <w:vAlign w:val="center"/>
          </w:tcPr>
          <w:p w14:paraId="1AE576A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zh-CN" w:eastAsia="zh-CN"/>
              </w:rPr>
            </w:pPr>
          </w:p>
        </w:tc>
        <w:tc>
          <w:tcPr>
            <w:tcW w:w="1584" w:type="dxa"/>
            <w:vMerge w:val="continue"/>
            <w:vAlign w:val="center"/>
          </w:tcPr>
          <w:p w14:paraId="225D3E7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68" w:type="dxa"/>
            <w:vAlign w:val="center"/>
          </w:tcPr>
          <w:p w14:paraId="42D908C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数据加密</w:t>
            </w:r>
          </w:p>
        </w:tc>
        <w:tc>
          <w:tcPr>
            <w:tcW w:w="5082" w:type="dxa"/>
            <w:vAlign w:val="center"/>
          </w:tcPr>
          <w:p w14:paraId="548772B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数据传输加密，通过SSL/TLS等协议确保数据在传输过程中的安全性</w:t>
            </w:r>
          </w:p>
          <w:p w14:paraId="69D7FAB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数据存储加密，对存储的数据进行加密处理，防止数据泄露。</w:t>
            </w:r>
          </w:p>
        </w:tc>
      </w:tr>
      <w:tr w14:paraId="14796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jc w:val="center"/>
        </w:trPr>
        <w:tc>
          <w:tcPr>
            <w:tcW w:w="826" w:type="dxa"/>
            <w:vMerge w:val="continue"/>
            <w:vAlign w:val="center"/>
          </w:tcPr>
          <w:p w14:paraId="3B8576DC">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zh-CN" w:eastAsia="zh-CN"/>
              </w:rPr>
            </w:pPr>
          </w:p>
        </w:tc>
        <w:tc>
          <w:tcPr>
            <w:tcW w:w="1584" w:type="dxa"/>
            <w:vMerge w:val="continue"/>
            <w:vAlign w:val="center"/>
          </w:tcPr>
          <w:p w14:paraId="12AF459F">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68" w:type="dxa"/>
            <w:vAlign w:val="center"/>
          </w:tcPr>
          <w:p w14:paraId="24DD988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数据传输</w:t>
            </w:r>
          </w:p>
        </w:tc>
        <w:tc>
          <w:tcPr>
            <w:tcW w:w="5082" w:type="dxa"/>
            <w:vAlign w:val="center"/>
          </w:tcPr>
          <w:p w14:paraId="3935617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en-US" w:eastAsia="zh-CN"/>
              </w:rPr>
              <w:t>构建数据传输流程和安全机制，确保数据传输的过程高效、安全和完整。</w:t>
            </w:r>
          </w:p>
        </w:tc>
      </w:tr>
      <w:tr w14:paraId="00AC4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826" w:type="dxa"/>
            <w:vMerge w:val="continue"/>
            <w:vAlign w:val="center"/>
          </w:tcPr>
          <w:p w14:paraId="68199613">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zh-CN" w:eastAsia="zh-CN"/>
              </w:rPr>
            </w:pPr>
          </w:p>
        </w:tc>
        <w:tc>
          <w:tcPr>
            <w:tcW w:w="1584" w:type="dxa"/>
            <w:vMerge w:val="continue"/>
            <w:vAlign w:val="center"/>
          </w:tcPr>
          <w:p w14:paraId="34841E6F">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68" w:type="dxa"/>
            <w:vAlign w:val="center"/>
          </w:tcPr>
          <w:p w14:paraId="776BAC8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zh-CN" w:eastAsia="zh-CN"/>
              </w:rPr>
              <w:t>访问控制</w:t>
            </w:r>
          </w:p>
        </w:tc>
        <w:tc>
          <w:tcPr>
            <w:tcW w:w="5082" w:type="dxa"/>
            <w:vAlign w:val="center"/>
          </w:tcPr>
          <w:p w14:paraId="64F19F6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支持通过用户名和密码、生物识别等方式进行用户身份验证</w:t>
            </w:r>
          </w:p>
          <w:p w14:paraId="3592986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支持根据用户角色分配不同的访问权限</w:t>
            </w:r>
          </w:p>
          <w:p w14:paraId="5A9089D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en-US" w:eastAsia="zh-CN"/>
              </w:rPr>
              <w:t>支持用户访问数据记录，用于审计和监控</w:t>
            </w:r>
          </w:p>
        </w:tc>
      </w:tr>
      <w:tr w14:paraId="24D51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826" w:type="dxa"/>
            <w:vMerge w:val="continue"/>
            <w:vAlign w:val="center"/>
          </w:tcPr>
          <w:p w14:paraId="752F7F6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84" w:type="dxa"/>
            <w:vMerge w:val="continue"/>
            <w:vAlign w:val="center"/>
          </w:tcPr>
          <w:p w14:paraId="0F401ED3">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68" w:type="dxa"/>
            <w:vAlign w:val="center"/>
          </w:tcPr>
          <w:p w14:paraId="1A08C53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zh-CN" w:eastAsia="zh-CN"/>
              </w:rPr>
              <w:t>系统集成</w:t>
            </w:r>
          </w:p>
        </w:tc>
        <w:tc>
          <w:tcPr>
            <w:tcW w:w="5082" w:type="dxa"/>
            <w:vAlign w:val="center"/>
          </w:tcPr>
          <w:p w14:paraId="66A948C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制定HTTPS数据统一规范接口，支持医疗（诊疗）、养老（监护设备、健康监测）、康复机构（护理）不同场景下，多源异构数据的导入</w:t>
            </w:r>
          </w:p>
        </w:tc>
      </w:tr>
      <w:tr w14:paraId="1A810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restart"/>
            <w:vAlign w:val="center"/>
          </w:tcPr>
          <w:p w14:paraId="60C41E6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1584" w:type="dxa"/>
            <w:vMerge w:val="restart"/>
            <w:vAlign w:val="center"/>
          </w:tcPr>
          <w:p w14:paraId="4965A3F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数据预处理模块 </w:t>
            </w:r>
          </w:p>
          <w:p w14:paraId="3A8FA6E5">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68" w:type="dxa"/>
            <w:shd w:val="clear" w:color="auto" w:fill="auto"/>
            <w:vAlign w:val="center"/>
          </w:tcPr>
          <w:p w14:paraId="3730871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zh-CN" w:eastAsia="zh-CN"/>
              </w:rPr>
              <w:t>数据标准</w:t>
            </w:r>
          </w:p>
        </w:tc>
        <w:tc>
          <w:tcPr>
            <w:tcW w:w="5082" w:type="dxa"/>
            <w:shd w:val="clear" w:color="auto" w:fill="auto"/>
            <w:vAlign w:val="center"/>
          </w:tcPr>
          <w:p w14:paraId="2E42700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支持数据标准的建立，将不同来源的数据转换为统一的格式和单位</w:t>
            </w:r>
          </w:p>
          <w:p w14:paraId="1A9374C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支持本地数据与标准的数据对照维护</w:t>
            </w:r>
          </w:p>
          <w:p w14:paraId="2645CD6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支持对分类数据进行编码</w:t>
            </w:r>
          </w:p>
        </w:tc>
      </w:tr>
      <w:tr w14:paraId="65AD0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continue"/>
            <w:vAlign w:val="center"/>
          </w:tcPr>
          <w:p w14:paraId="620CC6C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84" w:type="dxa"/>
            <w:vMerge w:val="continue"/>
            <w:vAlign w:val="center"/>
          </w:tcPr>
          <w:p w14:paraId="33E8B908">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68" w:type="dxa"/>
            <w:shd w:val="clear" w:color="auto" w:fill="auto"/>
            <w:vAlign w:val="center"/>
          </w:tcPr>
          <w:p w14:paraId="4533002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zh-CN" w:eastAsia="zh-CN"/>
              </w:rPr>
              <w:t>数据清洗</w:t>
            </w:r>
          </w:p>
        </w:tc>
        <w:tc>
          <w:tcPr>
            <w:tcW w:w="5082" w:type="dxa"/>
            <w:shd w:val="clear" w:color="auto" w:fill="auto"/>
            <w:vAlign w:val="center"/>
          </w:tcPr>
          <w:p w14:paraId="0DFDE97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支持异常值检测，识别并处理数据中的异常值</w:t>
            </w:r>
          </w:p>
          <w:p w14:paraId="68F69A8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支持去重，删除重复的数据记录</w:t>
            </w:r>
          </w:p>
          <w:p w14:paraId="4A37492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支持错误纠正，纠正数据中的错误或不一致性</w:t>
            </w:r>
          </w:p>
        </w:tc>
      </w:tr>
      <w:tr w14:paraId="7B776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continue"/>
            <w:vAlign w:val="center"/>
          </w:tcPr>
          <w:p w14:paraId="1905A1A5">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84" w:type="dxa"/>
            <w:vMerge w:val="continue"/>
            <w:vAlign w:val="center"/>
          </w:tcPr>
          <w:p w14:paraId="730B2D89">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68" w:type="dxa"/>
            <w:shd w:val="clear" w:color="auto" w:fill="auto"/>
            <w:vAlign w:val="center"/>
          </w:tcPr>
          <w:p w14:paraId="7BF191B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数据格式转换</w:t>
            </w:r>
          </w:p>
        </w:tc>
        <w:tc>
          <w:tcPr>
            <w:tcW w:w="5082" w:type="dxa"/>
            <w:shd w:val="clear" w:color="auto" w:fill="auto"/>
            <w:vAlign w:val="center"/>
          </w:tcPr>
          <w:p w14:paraId="7D72468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支持将数据文件格式转换，如CSV转JSON </w:t>
            </w:r>
          </w:p>
          <w:p w14:paraId="5068765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支持数据类型转换，如字符串转日期</w:t>
            </w:r>
          </w:p>
        </w:tc>
      </w:tr>
      <w:tr w14:paraId="565E1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continue"/>
            <w:vAlign w:val="center"/>
          </w:tcPr>
          <w:p w14:paraId="4052E176">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84" w:type="dxa"/>
            <w:vMerge w:val="continue"/>
            <w:vAlign w:val="center"/>
          </w:tcPr>
          <w:p w14:paraId="6AB800D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68" w:type="dxa"/>
            <w:shd w:val="clear" w:color="auto" w:fill="auto"/>
            <w:vAlign w:val="center"/>
          </w:tcPr>
          <w:p w14:paraId="4C03BE2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缺失值处理</w:t>
            </w:r>
          </w:p>
        </w:tc>
        <w:tc>
          <w:tcPr>
            <w:tcW w:w="5082" w:type="dxa"/>
            <w:shd w:val="clear" w:color="auto" w:fill="auto"/>
            <w:vAlign w:val="center"/>
          </w:tcPr>
          <w:p w14:paraId="0949160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支持自动检测数据中的缺失值。</w:t>
            </w:r>
          </w:p>
          <w:p w14:paraId="4D4E4C9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支持缺失值填补</w:t>
            </w:r>
          </w:p>
        </w:tc>
      </w:tr>
      <w:tr w14:paraId="7807A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continue"/>
            <w:vAlign w:val="center"/>
          </w:tcPr>
          <w:p w14:paraId="7DF64825">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84" w:type="dxa"/>
            <w:vMerge w:val="continue"/>
            <w:vAlign w:val="center"/>
          </w:tcPr>
          <w:p w14:paraId="421266C6">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68" w:type="dxa"/>
            <w:shd w:val="clear" w:color="auto" w:fill="auto"/>
            <w:vAlign w:val="center"/>
          </w:tcPr>
          <w:p w14:paraId="61062E8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数据验证</w:t>
            </w:r>
          </w:p>
        </w:tc>
        <w:tc>
          <w:tcPr>
            <w:tcW w:w="5082" w:type="dxa"/>
            <w:shd w:val="clear" w:color="auto" w:fill="auto"/>
            <w:vAlign w:val="center"/>
          </w:tcPr>
          <w:p w14:paraId="6066426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支持数据完整性验证</w:t>
            </w:r>
          </w:p>
          <w:p w14:paraId="1827D6D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支持数据一致性验证</w:t>
            </w:r>
          </w:p>
          <w:p w14:paraId="6740A68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支持数据合理性验证</w:t>
            </w:r>
          </w:p>
        </w:tc>
      </w:tr>
      <w:tr w14:paraId="5BCF7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continue"/>
            <w:vAlign w:val="center"/>
          </w:tcPr>
          <w:p w14:paraId="101BD88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84" w:type="dxa"/>
            <w:vMerge w:val="continue"/>
            <w:vAlign w:val="center"/>
          </w:tcPr>
          <w:p w14:paraId="328F8D4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68" w:type="dxa"/>
            <w:shd w:val="clear" w:color="auto" w:fill="auto"/>
            <w:vAlign w:val="center"/>
          </w:tcPr>
          <w:p w14:paraId="53F8716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数据批处理</w:t>
            </w:r>
          </w:p>
        </w:tc>
        <w:tc>
          <w:tcPr>
            <w:tcW w:w="5082" w:type="dxa"/>
            <w:shd w:val="clear" w:color="auto" w:fill="auto"/>
            <w:vAlign w:val="center"/>
          </w:tcPr>
          <w:p w14:paraId="17C1809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支持对大量数据进行分批处理</w:t>
            </w:r>
          </w:p>
          <w:p w14:paraId="28DF3ED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支持对大量数据进行并行处理</w:t>
            </w:r>
          </w:p>
        </w:tc>
      </w:tr>
      <w:tr w14:paraId="5BBC8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continue"/>
            <w:vAlign w:val="center"/>
          </w:tcPr>
          <w:p w14:paraId="410C28CF">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84" w:type="dxa"/>
            <w:vMerge w:val="continue"/>
            <w:vAlign w:val="center"/>
          </w:tcPr>
          <w:p w14:paraId="7B2983E1">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68" w:type="dxa"/>
            <w:shd w:val="clear" w:color="auto" w:fill="auto"/>
            <w:vAlign w:val="center"/>
          </w:tcPr>
          <w:p w14:paraId="7A7A55F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日志记录</w:t>
            </w:r>
          </w:p>
        </w:tc>
        <w:tc>
          <w:tcPr>
            <w:tcW w:w="5082" w:type="dxa"/>
            <w:shd w:val="clear" w:color="auto" w:fill="auto"/>
            <w:vAlign w:val="center"/>
          </w:tcPr>
          <w:p w14:paraId="7CB8330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支持数据预处理的每一步操作记录</w:t>
            </w:r>
          </w:p>
          <w:p w14:paraId="58B015D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支持数据处理过程中的错误信息记录</w:t>
            </w:r>
          </w:p>
        </w:tc>
      </w:tr>
      <w:tr w14:paraId="1DDEF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restart"/>
            <w:vAlign w:val="center"/>
          </w:tcPr>
          <w:p w14:paraId="7D4DF1B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1584" w:type="dxa"/>
            <w:vMerge w:val="restart"/>
            <w:vAlign w:val="center"/>
          </w:tcPr>
          <w:p w14:paraId="7FD0A25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采集融合与分析平台</w:t>
            </w:r>
          </w:p>
        </w:tc>
        <w:tc>
          <w:tcPr>
            <w:tcW w:w="1568" w:type="dxa"/>
            <w:shd w:val="clear" w:color="auto" w:fill="auto"/>
            <w:vAlign w:val="center"/>
          </w:tcPr>
          <w:p w14:paraId="7F64459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en-US" w:eastAsia="zh-CN"/>
              </w:rPr>
              <w:t>采集</w:t>
            </w:r>
            <w:r>
              <w:rPr>
                <w:rFonts w:hint="eastAsia" w:ascii="宋体" w:hAnsi="宋体" w:eastAsia="宋体" w:cs="宋体"/>
                <w:b w:val="0"/>
                <w:bCs w:val="0"/>
                <w:sz w:val="21"/>
                <w:szCs w:val="21"/>
                <w:lang w:val="zh-CN" w:eastAsia="zh-CN"/>
              </w:rPr>
              <w:t>融合</w:t>
            </w:r>
          </w:p>
        </w:tc>
        <w:tc>
          <w:tcPr>
            <w:tcW w:w="5082" w:type="dxa"/>
            <w:shd w:val="clear" w:color="auto" w:fill="auto"/>
            <w:vAlign w:val="center"/>
          </w:tcPr>
          <w:p w14:paraId="40CA5A5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支持时间序列、文本、图像、基因数据等不同类型数据的有效集成</w:t>
            </w:r>
          </w:p>
          <w:p w14:paraId="40D7BD8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支持集成多种数据融合算法</w:t>
            </w:r>
          </w:p>
        </w:tc>
      </w:tr>
      <w:tr w14:paraId="44FFC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continue"/>
            <w:vAlign w:val="center"/>
          </w:tcPr>
          <w:p w14:paraId="3DF4C8D9">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84" w:type="dxa"/>
            <w:vMerge w:val="continue"/>
            <w:vAlign w:val="center"/>
          </w:tcPr>
          <w:p w14:paraId="5F18D5B8">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68" w:type="dxa"/>
            <w:shd w:val="clear" w:color="auto" w:fill="auto"/>
            <w:vAlign w:val="center"/>
          </w:tcPr>
          <w:p w14:paraId="457306E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特征提取</w:t>
            </w:r>
          </w:p>
        </w:tc>
        <w:tc>
          <w:tcPr>
            <w:tcW w:w="5082" w:type="dxa"/>
            <w:shd w:val="clear" w:color="auto" w:fill="auto"/>
            <w:vAlign w:val="center"/>
          </w:tcPr>
          <w:p w14:paraId="5BB63EB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支持特征选择与特征提取技术集成</w:t>
            </w:r>
          </w:p>
        </w:tc>
      </w:tr>
      <w:tr w14:paraId="30D77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continue"/>
            <w:vAlign w:val="center"/>
          </w:tcPr>
          <w:p w14:paraId="4124D722">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84" w:type="dxa"/>
            <w:vMerge w:val="continue"/>
            <w:vAlign w:val="center"/>
          </w:tcPr>
          <w:p w14:paraId="3097D702">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68" w:type="dxa"/>
            <w:shd w:val="clear" w:color="auto" w:fill="auto"/>
            <w:vAlign w:val="center"/>
          </w:tcPr>
          <w:p w14:paraId="1E94C8D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算法模型</w:t>
            </w:r>
          </w:p>
        </w:tc>
        <w:tc>
          <w:tcPr>
            <w:tcW w:w="5082" w:type="dxa"/>
            <w:shd w:val="clear" w:color="auto" w:fill="auto"/>
            <w:vAlign w:val="center"/>
          </w:tcPr>
          <w:p w14:paraId="34DA4C4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支持多种机器学习和深度学习算法集成</w:t>
            </w:r>
          </w:p>
          <w:p w14:paraId="7211593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支持模型集成与效果评价</w:t>
            </w:r>
          </w:p>
        </w:tc>
      </w:tr>
      <w:tr w14:paraId="51AE8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continue"/>
            <w:vAlign w:val="center"/>
          </w:tcPr>
          <w:p w14:paraId="27BC4CF6">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84" w:type="dxa"/>
            <w:vMerge w:val="continue"/>
            <w:vAlign w:val="center"/>
          </w:tcPr>
          <w:p w14:paraId="5223EBB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68" w:type="dxa"/>
            <w:shd w:val="clear" w:color="auto" w:fill="auto"/>
            <w:vAlign w:val="center"/>
          </w:tcPr>
          <w:p w14:paraId="2D2905E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可视化</w:t>
            </w:r>
          </w:p>
        </w:tc>
        <w:tc>
          <w:tcPr>
            <w:tcW w:w="5082" w:type="dxa"/>
            <w:shd w:val="clear" w:color="auto" w:fill="auto"/>
            <w:vAlign w:val="center"/>
          </w:tcPr>
          <w:p w14:paraId="3A54914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支持数据多维可视化</w:t>
            </w:r>
          </w:p>
          <w:p w14:paraId="2E8B3BE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支持数据多形式可视化</w:t>
            </w:r>
          </w:p>
        </w:tc>
      </w:tr>
      <w:tr w14:paraId="18905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continue"/>
            <w:vAlign w:val="center"/>
          </w:tcPr>
          <w:p w14:paraId="651C03CC">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84" w:type="dxa"/>
            <w:vMerge w:val="continue"/>
            <w:vAlign w:val="center"/>
          </w:tcPr>
          <w:p w14:paraId="2E48F86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68" w:type="dxa"/>
            <w:shd w:val="clear" w:color="auto" w:fill="auto"/>
            <w:vAlign w:val="center"/>
          </w:tcPr>
          <w:p w14:paraId="7DDA27B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性能监控</w:t>
            </w:r>
          </w:p>
        </w:tc>
        <w:tc>
          <w:tcPr>
            <w:tcW w:w="5082" w:type="dxa"/>
            <w:shd w:val="clear" w:color="auto" w:fill="auto"/>
            <w:vAlign w:val="center"/>
          </w:tcPr>
          <w:p w14:paraId="2496117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支持系统性能监控可视化</w:t>
            </w:r>
          </w:p>
          <w:p w14:paraId="6AA0BFF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支持系统性能优化建议</w:t>
            </w:r>
          </w:p>
        </w:tc>
      </w:tr>
      <w:tr w14:paraId="62F14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restart"/>
            <w:vAlign w:val="center"/>
          </w:tcPr>
          <w:p w14:paraId="588E3A3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1584" w:type="dxa"/>
            <w:vMerge w:val="restart"/>
            <w:shd w:val="clear" w:color="auto" w:fill="auto"/>
            <w:vAlign w:val="center"/>
          </w:tcPr>
          <w:p w14:paraId="75095D8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智能诊疗决策支持系统</w:t>
            </w:r>
          </w:p>
        </w:tc>
        <w:tc>
          <w:tcPr>
            <w:tcW w:w="1568" w:type="dxa"/>
            <w:shd w:val="clear" w:color="auto" w:fill="auto"/>
            <w:vAlign w:val="center"/>
          </w:tcPr>
          <w:p w14:paraId="6E3708B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zh-CN" w:eastAsia="zh-CN"/>
              </w:rPr>
              <w:t>算法模型</w:t>
            </w:r>
          </w:p>
        </w:tc>
        <w:tc>
          <w:tcPr>
            <w:tcW w:w="5082" w:type="dxa"/>
            <w:shd w:val="clear" w:color="auto" w:fill="auto"/>
            <w:vAlign w:val="center"/>
          </w:tcPr>
          <w:p w14:paraId="5523A06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支持个性化诊疗推荐算法集成</w:t>
            </w:r>
          </w:p>
          <w:p w14:paraId="7E69D4D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支持多层次风险评估与治疗效果预测算法集成</w:t>
            </w:r>
          </w:p>
          <w:p w14:paraId="2D8AEF6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支持模型集成与效果评价</w:t>
            </w:r>
          </w:p>
        </w:tc>
      </w:tr>
      <w:tr w14:paraId="1979E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continue"/>
            <w:vAlign w:val="center"/>
          </w:tcPr>
          <w:p w14:paraId="3BCEB829">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84" w:type="dxa"/>
            <w:vMerge w:val="continue"/>
            <w:shd w:val="clear" w:color="auto" w:fill="auto"/>
            <w:vAlign w:val="center"/>
          </w:tcPr>
          <w:p w14:paraId="0FEB41B6">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68" w:type="dxa"/>
            <w:shd w:val="clear" w:color="auto" w:fill="auto"/>
            <w:vAlign w:val="center"/>
          </w:tcPr>
          <w:p w14:paraId="147AE5D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可视化</w:t>
            </w:r>
          </w:p>
        </w:tc>
        <w:tc>
          <w:tcPr>
            <w:tcW w:w="5082" w:type="dxa"/>
            <w:shd w:val="clear" w:color="auto" w:fill="auto"/>
            <w:vAlign w:val="center"/>
          </w:tcPr>
          <w:p w14:paraId="0F278BD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支持多层次风险评估模型结果可视化</w:t>
            </w:r>
          </w:p>
          <w:p w14:paraId="3DD1099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支持疾病早期预测模型结果可视化</w:t>
            </w:r>
          </w:p>
          <w:p w14:paraId="289968E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支持辅助诊断模型结果可视化</w:t>
            </w:r>
          </w:p>
        </w:tc>
      </w:tr>
      <w:tr w14:paraId="24D53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continue"/>
            <w:vAlign w:val="center"/>
          </w:tcPr>
          <w:p w14:paraId="1A85431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84" w:type="dxa"/>
            <w:vMerge w:val="continue"/>
            <w:shd w:val="clear" w:color="auto" w:fill="auto"/>
            <w:vAlign w:val="center"/>
          </w:tcPr>
          <w:p w14:paraId="507302A5">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68" w:type="dxa"/>
            <w:shd w:val="clear" w:color="auto" w:fill="auto"/>
            <w:vAlign w:val="center"/>
          </w:tcPr>
          <w:p w14:paraId="5351C98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系统集成</w:t>
            </w:r>
          </w:p>
        </w:tc>
        <w:tc>
          <w:tcPr>
            <w:tcW w:w="5082" w:type="dxa"/>
            <w:shd w:val="clear" w:color="auto" w:fill="auto"/>
            <w:vAlign w:val="center"/>
          </w:tcPr>
          <w:p w14:paraId="5C95C69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支持系统可以与其他医疗信息系统无缝集成</w:t>
            </w:r>
          </w:p>
        </w:tc>
      </w:tr>
      <w:tr w14:paraId="7E13A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continue"/>
            <w:vAlign w:val="center"/>
          </w:tcPr>
          <w:p w14:paraId="7475C4F8">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84" w:type="dxa"/>
            <w:vMerge w:val="continue"/>
            <w:shd w:val="clear" w:color="auto" w:fill="auto"/>
            <w:vAlign w:val="center"/>
          </w:tcPr>
          <w:p w14:paraId="4628C9D5">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68" w:type="dxa"/>
            <w:shd w:val="clear" w:color="auto" w:fill="auto"/>
            <w:vAlign w:val="center"/>
          </w:tcPr>
          <w:p w14:paraId="0AFB46E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zh-CN" w:eastAsia="zh-CN"/>
              </w:rPr>
              <w:t>性能监控</w:t>
            </w:r>
          </w:p>
        </w:tc>
        <w:tc>
          <w:tcPr>
            <w:tcW w:w="5082" w:type="dxa"/>
            <w:shd w:val="clear" w:color="auto" w:fill="auto"/>
            <w:vAlign w:val="center"/>
          </w:tcPr>
          <w:p w14:paraId="6422DE7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支持系统性能监控可视化</w:t>
            </w:r>
          </w:p>
          <w:p w14:paraId="26CA233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支持系统性能优化建议</w:t>
            </w:r>
          </w:p>
        </w:tc>
      </w:tr>
      <w:tr w14:paraId="65EBA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restart"/>
            <w:vAlign w:val="center"/>
          </w:tcPr>
          <w:p w14:paraId="19F4EC5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w:t>
            </w:r>
          </w:p>
        </w:tc>
        <w:tc>
          <w:tcPr>
            <w:tcW w:w="1584" w:type="dxa"/>
            <w:vMerge w:val="restart"/>
            <w:shd w:val="clear" w:color="auto" w:fill="auto"/>
            <w:vAlign w:val="center"/>
          </w:tcPr>
          <w:p w14:paraId="09626C0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老年人健康监测与管理系统</w:t>
            </w:r>
          </w:p>
        </w:tc>
        <w:tc>
          <w:tcPr>
            <w:tcW w:w="1568" w:type="dxa"/>
            <w:shd w:val="clear" w:color="auto" w:fill="auto"/>
            <w:vAlign w:val="center"/>
          </w:tcPr>
          <w:p w14:paraId="5B1C94A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实时监测</w:t>
            </w:r>
          </w:p>
        </w:tc>
        <w:tc>
          <w:tcPr>
            <w:tcW w:w="5082" w:type="dxa"/>
            <w:shd w:val="clear" w:color="auto" w:fill="auto"/>
            <w:vAlign w:val="center"/>
          </w:tcPr>
          <w:p w14:paraId="098ECD0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支持通过智能设备实时监测老年人健康数据</w:t>
            </w:r>
          </w:p>
          <w:p w14:paraId="2FDF45D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支持监测数据多场景查询</w:t>
            </w:r>
          </w:p>
        </w:tc>
      </w:tr>
      <w:tr w14:paraId="574D4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continue"/>
            <w:vAlign w:val="center"/>
          </w:tcPr>
          <w:p w14:paraId="7799465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84" w:type="dxa"/>
            <w:vMerge w:val="continue"/>
            <w:shd w:val="clear" w:color="auto" w:fill="auto"/>
            <w:vAlign w:val="center"/>
          </w:tcPr>
          <w:p w14:paraId="43EE9CCF">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68" w:type="dxa"/>
            <w:shd w:val="clear" w:color="auto" w:fill="auto"/>
            <w:vAlign w:val="center"/>
          </w:tcPr>
          <w:p w14:paraId="7BB7AFD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数据分析</w:t>
            </w:r>
          </w:p>
        </w:tc>
        <w:tc>
          <w:tcPr>
            <w:tcW w:w="5082" w:type="dxa"/>
            <w:shd w:val="clear" w:color="auto" w:fill="auto"/>
            <w:vAlign w:val="center"/>
          </w:tcPr>
          <w:p w14:paraId="6557BD3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支持实时监测数据动态分析</w:t>
            </w:r>
          </w:p>
          <w:p w14:paraId="0A5E2DC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支持健康趋势和异常情况智能识别</w:t>
            </w:r>
          </w:p>
        </w:tc>
      </w:tr>
      <w:tr w14:paraId="04BEB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continue"/>
            <w:vAlign w:val="center"/>
          </w:tcPr>
          <w:p w14:paraId="5803BD5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84" w:type="dxa"/>
            <w:vMerge w:val="continue"/>
            <w:shd w:val="clear" w:color="auto" w:fill="auto"/>
            <w:vAlign w:val="center"/>
          </w:tcPr>
          <w:p w14:paraId="1ED37CA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68" w:type="dxa"/>
            <w:shd w:val="clear" w:color="auto" w:fill="auto"/>
            <w:vAlign w:val="center"/>
          </w:tcPr>
          <w:p w14:paraId="655D8BE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健康报告</w:t>
            </w:r>
          </w:p>
        </w:tc>
        <w:tc>
          <w:tcPr>
            <w:tcW w:w="5082" w:type="dxa"/>
            <w:shd w:val="clear" w:color="auto" w:fill="auto"/>
            <w:vAlign w:val="center"/>
          </w:tcPr>
          <w:p w14:paraId="71381DA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支持根据老年人的健康数据和病历，生成个性化的健康监测报告</w:t>
            </w:r>
          </w:p>
        </w:tc>
      </w:tr>
      <w:tr w14:paraId="504D5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continue"/>
            <w:vAlign w:val="center"/>
          </w:tcPr>
          <w:p w14:paraId="05368C0F">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84" w:type="dxa"/>
            <w:vMerge w:val="continue"/>
            <w:shd w:val="clear" w:color="auto" w:fill="auto"/>
            <w:vAlign w:val="center"/>
          </w:tcPr>
          <w:p w14:paraId="1F6A792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68" w:type="dxa"/>
            <w:shd w:val="clear" w:color="auto" w:fill="auto"/>
            <w:vAlign w:val="center"/>
          </w:tcPr>
          <w:p w14:paraId="677C497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预警提醒</w:t>
            </w:r>
          </w:p>
        </w:tc>
        <w:tc>
          <w:tcPr>
            <w:tcW w:w="5082" w:type="dxa"/>
            <w:shd w:val="clear" w:color="auto" w:fill="auto"/>
            <w:vAlign w:val="center"/>
          </w:tcPr>
          <w:p w14:paraId="7998E3D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支持健康阈值设定</w:t>
            </w:r>
          </w:p>
          <w:p w14:paraId="713079C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支持系统自动触发预警</w:t>
            </w:r>
          </w:p>
          <w:p w14:paraId="7AC5A07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支持多种预警内容自定义配置</w:t>
            </w:r>
          </w:p>
          <w:p w14:paraId="03001FB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支持多种预警方式自定义配置</w:t>
            </w:r>
          </w:p>
        </w:tc>
      </w:tr>
      <w:tr w14:paraId="23C5B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restart"/>
            <w:vAlign w:val="center"/>
          </w:tcPr>
          <w:p w14:paraId="2551BEB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p>
          <w:p w14:paraId="01966DF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84" w:type="dxa"/>
            <w:vMerge w:val="restart"/>
            <w:shd w:val="clear" w:color="auto" w:fill="auto"/>
            <w:vAlign w:val="center"/>
          </w:tcPr>
          <w:p w14:paraId="75D4030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疾病知识库与可视化分析模块</w:t>
            </w:r>
          </w:p>
          <w:p w14:paraId="14E38AC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68" w:type="dxa"/>
            <w:shd w:val="clear" w:color="auto" w:fill="auto"/>
            <w:vAlign w:val="center"/>
          </w:tcPr>
          <w:p w14:paraId="66F80BA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知识库构建</w:t>
            </w:r>
          </w:p>
        </w:tc>
        <w:tc>
          <w:tcPr>
            <w:tcW w:w="5082" w:type="dxa"/>
            <w:shd w:val="clear" w:color="auto" w:fill="auto"/>
            <w:vAlign w:val="center"/>
          </w:tcPr>
          <w:p w14:paraId="241288B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支持专科疾病相关知识库灵活构建</w:t>
            </w:r>
          </w:p>
          <w:p w14:paraId="2BA16B4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支持知识库更新与管理</w:t>
            </w:r>
          </w:p>
          <w:p w14:paraId="4474E43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支持知识库多方协同与审核</w:t>
            </w:r>
          </w:p>
          <w:p w14:paraId="604AC6A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支持个性化条件搜索</w:t>
            </w:r>
          </w:p>
        </w:tc>
      </w:tr>
      <w:tr w14:paraId="2E35D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continue"/>
            <w:vAlign w:val="center"/>
          </w:tcPr>
          <w:p w14:paraId="48A45F2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84" w:type="dxa"/>
            <w:vMerge w:val="continue"/>
            <w:shd w:val="clear" w:color="auto" w:fill="auto"/>
            <w:vAlign w:val="center"/>
          </w:tcPr>
          <w:p w14:paraId="79F7C7EC">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68" w:type="dxa"/>
            <w:shd w:val="clear" w:color="auto" w:fill="auto"/>
            <w:vAlign w:val="center"/>
          </w:tcPr>
          <w:p w14:paraId="52421C6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可视化</w:t>
            </w:r>
          </w:p>
        </w:tc>
        <w:tc>
          <w:tcPr>
            <w:tcW w:w="5082" w:type="dxa"/>
            <w:shd w:val="clear" w:color="auto" w:fill="auto"/>
            <w:vAlign w:val="center"/>
          </w:tcPr>
          <w:p w14:paraId="7884E2A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支持多种图形化界面展示</w:t>
            </w:r>
          </w:p>
          <w:p w14:paraId="24B5ED6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支持医生和患者多终端查看健康趋势</w:t>
            </w:r>
          </w:p>
        </w:tc>
      </w:tr>
      <w:tr w14:paraId="058FC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continue"/>
            <w:vAlign w:val="center"/>
          </w:tcPr>
          <w:p w14:paraId="31B079E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84" w:type="dxa"/>
            <w:vMerge w:val="continue"/>
            <w:shd w:val="clear" w:color="auto" w:fill="auto"/>
            <w:vAlign w:val="center"/>
          </w:tcPr>
          <w:p w14:paraId="2D8F7B58">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68" w:type="dxa"/>
            <w:shd w:val="clear" w:color="auto" w:fill="auto"/>
            <w:vAlign w:val="center"/>
          </w:tcPr>
          <w:p w14:paraId="478C9B2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访问控制</w:t>
            </w:r>
          </w:p>
        </w:tc>
        <w:tc>
          <w:tcPr>
            <w:tcW w:w="5082" w:type="dxa"/>
            <w:shd w:val="clear" w:color="auto" w:fill="auto"/>
            <w:vAlign w:val="center"/>
          </w:tcPr>
          <w:p w14:paraId="344EE4E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支持用户身份验证和权限控制</w:t>
            </w:r>
          </w:p>
          <w:p w14:paraId="7B0041B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支持不同角色的访问权限控制</w:t>
            </w:r>
          </w:p>
        </w:tc>
      </w:tr>
      <w:tr w14:paraId="4310F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restart"/>
            <w:vAlign w:val="center"/>
          </w:tcPr>
          <w:p w14:paraId="0133788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w:t>
            </w:r>
          </w:p>
        </w:tc>
        <w:tc>
          <w:tcPr>
            <w:tcW w:w="1584" w:type="dxa"/>
            <w:vMerge w:val="restart"/>
            <w:shd w:val="clear" w:color="auto" w:fill="auto"/>
            <w:vAlign w:val="center"/>
          </w:tcPr>
          <w:p w14:paraId="3063820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远程医疗与智能交互功能</w:t>
            </w:r>
          </w:p>
          <w:p w14:paraId="609533B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68" w:type="dxa"/>
            <w:shd w:val="clear" w:color="auto" w:fill="auto"/>
            <w:vAlign w:val="center"/>
          </w:tcPr>
          <w:p w14:paraId="4F1847B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远程诊疗</w:t>
            </w:r>
          </w:p>
        </w:tc>
        <w:tc>
          <w:tcPr>
            <w:tcW w:w="5082" w:type="dxa"/>
            <w:shd w:val="clear" w:color="auto" w:fill="auto"/>
            <w:vAlign w:val="center"/>
          </w:tcPr>
          <w:p w14:paraId="6B88133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支持医生与老年患者之间的实时视频或语音通话</w:t>
            </w:r>
          </w:p>
          <w:p w14:paraId="4775273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支持医生可以通过系统为患者提供远程诊断、病情评估、用药建议等医疗服务</w:t>
            </w:r>
          </w:p>
        </w:tc>
      </w:tr>
      <w:tr w14:paraId="39DFE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continue"/>
            <w:vAlign w:val="center"/>
          </w:tcPr>
          <w:p w14:paraId="3BEA7C3C">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84" w:type="dxa"/>
            <w:vMerge w:val="continue"/>
            <w:shd w:val="clear" w:color="auto" w:fill="auto"/>
            <w:vAlign w:val="center"/>
          </w:tcPr>
          <w:p w14:paraId="3FC40DE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68" w:type="dxa"/>
            <w:shd w:val="clear" w:color="auto" w:fill="auto"/>
            <w:vAlign w:val="center"/>
          </w:tcPr>
          <w:p w14:paraId="55728F2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电子处方</w:t>
            </w:r>
          </w:p>
        </w:tc>
        <w:tc>
          <w:tcPr>
            <w:tcW w:w="5082" w:type="dxa"/>
            <w:shd w:val="clear" w:color="auto" w:fill="auto"/>
            <w:vAlign w:val="center"/>
          </w:tcPr>
          <w:p w14:paraId="0B2C29F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支持医生可以通过系统为患者提供处方续方</w:t>
            </w:r>
          </w:p>
          <w:p w14:paraId="4E9DF82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支持购药送货上门</w:t>
            </w:r>
          </w:p>
        </w:tc>
      </w:tr>
      <w:tr w14:paraId="475F9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continue"/>
            <w:vAlign w:val="center"/>
          </w:tcPr>
          <w:p w14:paraId="4CEB6F89">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84" w:type="dxa"/>
            <w:vMerge w:val="continue"/>
            <w:shd w:val="clear" w:color="auto" w:fill="auto"/>
            <w:vAlign w:val="center"/>
          </w:tcPr>
          <w:p w14:paraId="4CB8EBB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68" w:type="dxa"/>
            <w:shd w:val="clear" w:color="auto" w:fill="auto"/>
            <w:vAlign w:val="center"/>
          </w:tcPr>
          <w:p w14:paraId="3F648C2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健康咨询</w:t>
            </w:r>
          </w:p>
        </w:tc>
        <w:tc>
          <w:tcPr>
            <w:tcW w:w="5082" w:type="dxa"/>
            <w:shd w:val="clear" w:color="auto" w:fill="auto"/>
            <w:vAlign w:val="center"/>
          </w:tcPr>
          <w:p w14:paraId="358E1F4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支持老年患者可通过系统与医生进行健康咨询</w:t>
            </w:r>
          </w:p>
          <w:p w14:paraId="08D9F61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支持医生在线解答健康问题或康复建议</w:t>
            </w:r>
          </w:p>
        </w:tc>
      </w:tr>
      <w:tr w14:paraId="66849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continue"/>
            <w:vAlign w:val="center"/>
          </w:tcPr>
          <w:p w14:paraId="2F62B00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84" w:type="dxa"/>
            <w:vMerge w:val="continue"/>
            <w:shd w:val="clear" w:color="auto" w:fill="auto"/>
            <w:vAlign w:val="center"/>
          </w:tcPr>
          <w:p w14:paraId="2A80B2C3">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68" w:type="dxa"/>
            <w:shd w:val="clear" w:color="auto" w:fill="auto"/>
            <w:vAlign w:val="center"/>
          </w:tcPr>
          <w:p w14:paraId="5AA77CD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健康档案</w:t>
            </w:r>
          </w:p>
        </w:tc>
        <w:tc>
          <w:tcPr>
            <w:tcW w:w="5082" w:type="dxa"/>
            <w:shd w:val="clear" w:color="auto" w:fill="auto"/>
            <w:vAlign w:val="center"/>
          </w:tcPr>
          <w:p w14:paraId="269B22D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支持医生再远程诊疗过程中查阅患者健康档案</w:t>
            </w:r>
          </w:p>
          <w:p w14:paraId="6462B74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支持医生更新和管理患者健康档案</w:t>
            </w:r>
          </w:p>
        </w:tc>
      </w:tr>
      <w:tr w14:paraId="6A319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continue"/>
            <w:vAlign w:val="center"/>
          </w:tcPr>
          <w:p w14:paraId="2B72C47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84" w:type="dxa"/>
            <w:vMerge w:val="continue"/>
            <w:shd w:val="clear" w:color="auto" w:fill="auto"/>
            <w:vAlign w:val="center"/>
          </w:tcPr>
          <w:p w14:paraId="1D74390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68" w:type="dxa"/>
            <w:shd w:val="clear" w:color="auto" w:fill="auto"/>
            <w:vAlign w:val="center"/>
          </w:tcPr>
          <w:p w14:paraId="4066B47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数字医生</w:t>
            </w:r>
          </w:p>
        </w:tc>
        <w:tc>
          <w:tcPr>
            <w:tcW w:w="5082" w:type="dxa"/>
            <w:shd w:val="clear" w:color="auto" w:fill="auto"/>
            <w:vAlign w:val="center"/>
          </w:tcPr>
          <w:p w14:paraId="4FDBB93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支持识别老年患者的语音输入内容</w:t>
            </w:r>
          </w:p>
          <w:p w14:paraId="15C9C34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支持与老年患者进行多轮对话</w:t>
            </w:r>
          </w:p>
          <w:p w14:paraId="69AC631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支持个性化健康管理方案播报</w:t>
            </w:r>
          </w:p>
          <w:p w14:paraId="607F86A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支持常见医疗问题自动解答</w:t>
            </w:r>
          </w:p>
          <w:p w14:paraId="31291AF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支持医生个性化形象、背景定制</w:t>
            </w:r>
          </w:p>
        </w:tc>
      </w:tr>
      <w:tr w14:paraId="6C9F3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restart"/>
            <w:vAlign w:val="center"/>
          </w:tcPr>
          <w:p w14:paraId="25028F1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w:t>
            </w:r>
          </w:p>
        </w:tc>
        <w:tc>
          <w:tcPr>
            <w:tcW w:w="1584" w:type="dxa"/>
            <w:vMerge w:val="restart"/>
            <w:shd w:val="clear" w:color="auto" w:fill="auto"/>
            <w:vAlign w:val="center"/>
          </w:tcPr>
          <w:p w14:paraId="562E369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个性化健康管理方案推送</w:t>
            </w:r>
          </w:p>
        </w:tc>
        <w:tc>
          <w:tcPr>
            <w:tcW w:w="1568" w:type="dxa"/>
            <w:shd w:val="clear" w:color="auto" w:fill="auto"/>
            <w:vAlign w:val="center"/>
          </w:tcPr>
          <w:p w14:paraId="7006E66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方案生成</w:t>
            </w:r>
          </w:p>
        </w:tc>
        <w:tc>
          <w:tcPr>
            <w:tcW w:w="5082" w:type="dxa"/>
            <w:shd w:val="clear" w:color="auto" w:fill="auto"/>
            <w:vAlign w:val="center"/>
          </w:tcPr>
          <w:p w14:paraId="685F03A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支持个性化健康管理方案生成（饮食、运动、生活方式、用药等）</w:t>
            </w:r>
          </w:p>
          <w:p w14:paraId="3726A11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支持个性化健康管理方案更新与管理</w:t>
            </w:r>
          </w:p>
          <w:p w14:paraId="0C0AB28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支持个性化健康管理方案多方审核</w:t>
            </w:r>
          </w:p>
        </w:tc>
      </w:tr>
      <w:tr w14:paraId="20C5E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continue"/>
            <w:vAlign w:val="center"/>
          </w:tcPr>
          <w:p w14:paraId="531561C1">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84" w:type="dxa"/>
            <w:vMerge w:val="continue"/>
            <w:shd w:val="clear" w:color="auto" w:fill="auto"/>
            <w:vAlign w:val="center"/>
          </w:tcPr>
          <w:p w14:paraId="4B8555DC">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68" w:type="dxa"/>
            <w:shd w:val="clear" w:color="auto" w:fill="auto"/>
            <w:vAlign w:val="center"/>
          </w:tcPr>
          <w:p w14:paraId="0B290E8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方案推送</w:t>
            </w:r>
          </w:p>
        </w:tc>
        <w:tc>
          <w:tcPr>
            <w:tcW w:w="5082" w:type="dxa"/>
            <w:shd w:val="clear" w:color="auto" w:fill="auto"/>
            <w:vAlign w:val="center"/>
          </w:tcPr>
          <w:p w14:paraId="0888DE2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支持推送方式定制化</w:t>
            </w:r>
          </w:p>
          <w:p w14:paraId="26B89D0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支持推送内容定制化</w:t>
            </w:r>
          </w:p>
          <w:p w14:paraId="2D0C69B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支持推送人群定制化</w:t>
            </w:r>
          </w:p>
        </w:tc>
      </w:tr>
      <w:tr w14:paraId="2EA0D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continue"/>
            <w:vAlign w:val="center"/>
          </w:tcPr>
          <w:p w14:paraId="6DAE32F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84" w:type="dxa"/>
            <w:vMerge w:val="continue"/>
            <w:shd w:val="clear" w:color="auto" w:fill="auto"/>
            <w:vAlign w:val="center"/>
          </w:tcPr>
          <w:p w14:paraId="47DC421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68" w:type="dxa"/>
            <w:shd w:val="clear" w:color="auto" w:fill="auto"/>
            <w:vAlign w:val="center"/>
          </w:tcPr>
          <w:p w14:paraId="1ECF149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方案查看</w:t>
            </w:r>
          </w:p>
        </w:tc>
        <w:tc>
          <w:tcPr>
            <w:tcW w:w="5082" w:type="dxa"/>
            <w:shd w:val="clear" w:color="auto" w:fill="auto"/>
            <w:vAlign w:val="center"/>
          </w:tcPr>
          <w:p w14:paraId="68F7D52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支持患者及患者家属通过多终端查看方案</w:t>
            </w:r>
          </w:p>
          <w:p w14:paraId="229D65E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支持个性化健康管理方案导出打印</w:t>
            </w:r>
          </w:p>
        </w:tc>
      </w:tr>
      <w:tr w14:paraId="5C2FC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continue"/>
            <w:vAlign w:val="center"/>
          </w:tcPr>
          <w:p w14:paraId="3F7E411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84" w:type="dxa"/>
            <w:vMerge w:val="continue"/>
            <w:shd w:val="clear" w:color="auto" w:fill="auto"/>
            <w:vAlign w:val="center"/>
          </w:tcPr>
          <w:p w14:paraId="397C7223">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68" w:type="dxa"/>
            <w:shd w:val="clear" w:color="auto" w:fill="auto"/>
            <w:vAlign w:val="center"/>
          </w:tcPr>
          <w:p w14:paraId="4718C30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用户反馈</w:t>
            </w:r>
          </w:p>
        </w:tc>
        <w:tc>
          <w:tcPr>
            <w:tcW w:w="5082" w:type="dxa"/>
            <w:shd w:val="clear" w:color="auto" w:fill="auto"/>
            <w:vAlign w:val="center"/>
          </w:tcPr>
          <w:p w14:paraId="7C4280B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支持用户反馈，收集患者对方案的建议和意见</w:t>
            </w:r>
          </w:p>
        </w:tc>
      </w:tr>
      <w:tr w14:paraId="77F0B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continue"/>
            <w:vAlign w:val="center"/>
          </w:tcPr>
          <w:p w14:paraId="6FF6A5A5">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84" w:type="dxa"/>
            <w:vMerge w:val="continue"/>
            <w:shd w:val="clear" w:color="auto" w:fill="auto"/>
            <w:vAlign w:val="center"/>
          </w:tcPr>
          <w:p w14:paraId="1D52D28F">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68" w:type="dxa"/>
            <w:shd w:val="clear" w:color="auto" w:fill="auto"/>
            <w:vAlign w:val="center"/>
          </w:tcPr>
          <w:p w14:paraId="4240062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系统集成</w:t>
            </w:r>
          </w:p>
        </w:tc>
        <w:tc>
          <w:tcPr>
            <w:tcW w:w="5082" w:type="dxa"/>
            <w:shd w:val="clear" w:color="auto" w:fill="auto"/>
            <w:vAlign w:val="center"/>
          </w:tcPr>
          <w:p w14:paraId="448749F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支持功能与其他医疗信息系统无缝集成</w:t>
            </w:r>
          </w:p>
        </w:tc>
      </w:tr>
      <w:tr w14:paraId="21D2F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continue"/>
            <w:vAlign w:val="center"/>
          </w:tcPr>
          <w:p w14:paraId="21946AA8">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84" w:type="dxa"/>
            <w:vMerge w:val="continue"/>
            <w:shd w:val="clear" w:color="auto" w:fill="auto"/>
            <w:vAlign w:val="center"/>
          </w:tcPr>
          <w:p w14:paraId="3E6222D2">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68" w:type="dxa"/>
            <w:shd w:val="clear" w:color="auto" w:fill="auto"/>
            <w:vAlign w:val="center"/>
          </w:tcPr>
          <w:p w14:paraId="2AE17BA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性能监控</w:t>
            </w:r>
          </w:p>
        </w:tc>
        <w:tc>
          <w:tcPr>
            <w:tcW w:w="5082" w:type="dxa"/>
            <w:shd w:val="clear" w:color="auto" w:fill="auto"/>
            <w:vAlign w:val="center"/>
          </w:tcPr>
          <w:p w14:paraId="3E385EA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支持功能性能可视化监控</w:t>
            </w:r>
          </w:p>
        </w:tc>
      </w:tr>
      <w:tr w14:paraId="30885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restart"/>
            <w:vAlign w:val="center"/>
          </w:tcPr>
          <w:p w14:paraId="21C5EF2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w:t>
            </w:r>
          </w:p>
        </w:tc>
        <w:tc>
          <w:tcPr>
            <w:tcW w:w="1584" w:type="dxa"/>
            <w:vMerge w:val="restart"/>
            <w:shd w:val="clear" w:color="auto" w:fill="auto"/>
            <w:vAlign w:val="center"/>
          </w:tcPr>
          <w:p w14:paraId="0217A14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系统安全与隐私保护</w:t>
            </w:r>
          </w:p>
        </w:tc>
        <w:tc>
          <w:tcPr>
            <w:tcW w:w="1568" w:type="dxa"/>
            <w:shd w:val="clear" w:color="auto" w:fill="auto"/>
            <w:vAlign w:val="center"/>
          </w:tcPr>
          <w:p w14:paraId="7AAA251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数据加密</w:t>
            </w:r>
          </w:p>
        </w:tc>
        <w:tc>
          <w:tcPr>
            <w:tcW w:w="5082" w:type="dxa"/>
            <w:shd w:val="clear" w:color="auto" w:fill="auto"/>
            <w:vAlign w:val="center"/>
          </w:tcPr>
          <w:p w14:paraId="0695563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支持对传输中的数据进行加密处理</w:t>
            </w:r>
          </w:p>
          <w:p w14:paraId="5B08310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支持对存储的数据进行加密，包括静态数据和备份数据</w:t>
            </w:r>
          </w:p>
        </w:tc>
      </w:tr>
      <w:tr w14:paraId="3E882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continue"/>
            <w:vAlign w:val="center"/>
          </w:tcPr>
          <w:p w14:paraId="61751BE9">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84" w:type="dxa"/>
            <w:vMerge w:val="continue"/>
            <w:shd w:val="clear" w:color="auto" w:fill="auto"/>
            <w:vAlign w:val="center"/>
          </w:tcPr>
          <w:p w14:paraId="2FCCE26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68" w:type="dxa"/>
            <w:shd w:val="clear" w:color="auto" w:fill="auto"/>
            <w:vAlign w:val="center"/>
          </w:tcPr>
          <w:p w14:paraId="25A19C4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权限管理</w:t>
            </w:r>
          </w:p>
        </w:tc>
        <w:tc>
          <w:tcPr>
            <w:tcW w:w="5082" w:type="dxa"/>
            <w:shd w:val="clear" w:color="auto" w:fill="auto"/>
            <w:vAlign w:val="center"/>
          </w:tcPr>
          <w:p w14:paraId="19E0EB8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支持基于角色的访问控制，确保用户只能访问授权的数据。</w:t>
            </w:r>
          </w:p>
          <w:p w14:paraId="2C592F4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支持定期审查和更新权限设置，确保权限的准确性</w:t>
            </w:r>
          </w:p>
        </w:tc>
      </w:tr>
      <w:tr w14:paraId="29E5E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continue"/>
            <w:vAlign w:val="center"/>
          </w:tcPr>
          <w:p w14:paraId="1CE1A76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84" w:type="dxa"/>
            <w:vMerge w:val="continue"/>
            <w:shd w:val="clear" w:color="auto" w:fill="auto"/>
            <w:vAlign w:val="center"/>
          </w:tcPr>
          <w:p w14:paraId="1286B8A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68" w:type="dxa"/>
            <w:shd w:val="clear" w:color="auto" w:fill="auto"/>
            <w:vAlign w:val="center"/>
          </w:tcPr>
          <w:p w14:paraId="1E4DF01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日志审计</w:t>
            </w:r>
          </w:p>
        </w:tc>
        <w:tc>
          <w:tcPr>
            <w:tcW w:w="5082" w:type="dxa"/>
            <w:shd w:val="clear" w:color="auto" w:fill="auto"/>
            <w:vAlign w:val="center"/>
          </w:tcPr>
          <w:p w14:paraId="17ADDD2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支持记录和存储系统操作的日志，包括访问时间、访问者身份、访问内容等</w:t>
            </w:r>
          </w:p>
          <w:p w14:paraId="7B8F676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支持日志分析工具，以便于追踪和分析安全事件</w:t>
            </w:r>
          </w:p>
        </w:tc>
      </w:tr>
      <w:tr w14:paraId="62807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continue"/>
            <w:vAlign w:val="center"/>
          </w:tcPr>
          <w:p w14:paraId="0C19A3D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84" w:type="dxa"/>
            <w:vMerge w:val="continue"/>
            <w:shd w:val="clear" w:color="auto" w:fill="auto"/>
            <w:vAlign w:val="center"/>
          </w:tcPr>
          <w:p w14:paraId="6D468E0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68" w:type="dxa"/>
            <w:shd w:val="clear" w:color="auto" w:fill="auto"/>
            <w:vAlign w:val="center"/>
          </w:tcPr>
          <w:p w14:paraId="77E50EA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合规性检查</w:t>
            </w:r>
          </w:p>
        </w:tc>
        <w:tc>
          <w:tcPr>
            <w:tcW w:w="5082" w:type="dxa"/>
            <w:shd w:val="clear" w:color="auto" w:fill="auto"/>
            <w:vAlign w:val="center"/>
          </w:tcPr>
          <w:p w14:paraId="2E70760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支持系统符合《个人信息保护法》等相关法律法规</w:t>
            </w:r>
          </w:p>
          <w:p w14:paraId="64B8E34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支持定期进行合规性审查和评估</w:t>
            </w:r>
          </w:p>
        </w:tc>
      </w:tr>
      <w:tr w14:paraId="638FB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continue"/>
            <w:vAlign w:val="center"/>
          </w:tcPr>
          <w:p w14:paraId="2349FB4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84" w:type="dxa"/>
            <w:vMerge w:val="continue"/>
            <w:shd w:val="clear" w:color="auto" w:fill="auto"/>
            <w:vAlign w:val="center"/>
          </w:tcPr>
          <w:p w14:paraId="3E4A377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68" w:type="dxa"/>
            <w:shd w:val="clear" w:color="auto" w:fill="auto"/>
            <w:vAlign w:val="center"/>
          </w:tcPr>
          <w:p w14:paraId="6CA91D4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数据防泄露</w:t>
            </w:r>
          </w:p>
        </w:tc>
        <w:tc>
          <w:tcPr>
            <w:tcW w:w="5082" w:type="dxa"/>
            <w:shd w:val="clear" w:color="auto" w:fill="auto"/>
            <w:vAlign w:val="center"/>
          </w:tcPr>
          <w:p w14:paraId="33FB2B6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支持数据脱敏技术，保护敏感信息不被未经授权的用户访问</w:t>
            </w:r>
          </w:p>
          <w:p w14:paraId="6BE397A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支持部署数据丢失预防系统，防止数据泄露</w:t>
            </w:r>
          </w:p>
        </w:tc>
      </w:tr>
      <w:tr w14:paraId="62DF0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continue"/>
            <w:vAlign w:val="center"/>
          </w:tcPr>
          <w:p w14:paraId="1C814BA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84" w:type="dxa"/>
            <w:vMerge w:val="continue"/>
            <w:shd w:val="clear" w:color="auto" w:fill="auto"/>
            <w:vAlign w:val="center"/>
          </w:tcPr>
          <w:p w14:paraId="683223A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68" w:type="dxa"/>
            <w:shd w:val="clear" w:color="auto" w:fill="auto"/>
            <w:vAlign w:val="center"/>
          </w:tcPr>
          <w:p w14:paraId="635091C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安全事件响应</w:t>
            </w:r>
          </w:p>
        </w:tc>
        <w:tc>
          <w:tcPr>
            <w:tcW w:w="5082" w:type="dxa"/>
            <w:shd w:val="clear" w:color="auto" w:fill="auto"/>
            <w:vAlign w:val="center"/>
          </w:tcPr>
          <w:p w14:paraId="051BAB0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建立安全事件响应机制，一旦发生安全事件，立即启动应急预案</w:t>
            </w:r>
          </w:p>
          <w:p w14:paraId="4F8881F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定期进行安全演练，提高应对安全事件的能力</w:t>
            </w:r>
          </w:p>
        </w:tc>
      </w:tr>
      <w:tr w14:paraId="04F30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continue"/>
            <w:vAlign w:val="center"/>
          </w:tcPr>
          <w:p w14:paraId="5205C87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84" w:type="dxa"/>
            <w:vMerge w:val="continue"/>
            <w:shd w:val="clear" w:color="auto" w:fill="auto"/>
            <w:vAlign w:val="center"/>
          </w:tcPr>
          <w:p w14:paraId="4BB4262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68" w:type="dxa"/>
            <w:shd w:val="clear" w:color="auto" w:fill="auto"/>
            <w:vAlign w:val="center"/>
          </w:tcPr>
          <w:p w14:paraId="0F35622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用户身份验证</w:t>
            </w:r>
          </w:p>
        </w:tc>
        <w:tc>
          <w:tcPr>
            <w:tcW w:w="5082" w:type="dxa"/>
            <w:shd w:val="clear" w:color="auto" w:fill="auto"/>
            <w:vAlign w:val="center"/>
          </w:tcPr>
          <w:p w14:paraId="6C200A5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支持多因素认证，确保用户身份的真实性</w:t>
            </w:r>
          </w:p>
          <w:p w14:paraId="0BE429B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支持单点登录，方便用户访问多个服务</w:t>
            </w:r>
          </w:p>
        </w:tc>
      </w:tr>
      <w:tr w14:paraId="2D784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continue"/>
            <w:vAlign w:val="center"/>
          </w:tcPr>
          <w:p w14:paraId="7736C41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84" w:type="dxa"/>
            <w:vMerge w:val="continue"/>
            <w:shd w:val="clear" w:color="auto" w:fill="auto"/>
            <w:vAlign w:val="center"/>
          </w:tcPr>
          <w:p w14:paraId="046503AF">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68" w:type="dxa"/>
            <w:shd w:val="clear" w:color="auto" w:fill="auto"/>
            <w:vAlign w:val="center"/>
          </w:tcPr>
          <w:p w14:paraId="17DCAB4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数据备份与恢复</w:t>
            </w:r>
          </w:p>
        </w:tc>
        <w:tc>
          <w:tcPr>
            <w:tcW w:w="5082" w:type="dxa"/>
            <w:shd w:val="clear" w:color="auto" w:fill="auto"/>
            <w:vAlign w:val="center"/>
          </w:tcPr>
          <w:p w14:paraId="763DFB5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支持定期备份重要数据，并确保备份数据的安全性</w:t>
            </w:r>
          </w:p>
          <w:p w14:paraId="391DD39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建立数据恢复流程，以应对数据丢失或损坏的情况</w:t>
            </w:r>
          </w:p>
        </w:tc>
      </w:tr>
      <w:tr w14:paraId="66D47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6" w:type="dxa"/>
            <w:vMerge w:val="continue"/>
            <w:vAlign w:val="center"/>
          </w:tcPr>
          <w:p w14:paraId="77B4DF06">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84" w:type="dxa"/>
            <w:vMerge w:val="continue"/>
            <w:shd w:val="clear" w:color="auto" w:fill="auto"/>
            <w:vAlign w:val="center"/>
          </w:tcPr>
          <w:p w14:paraId="5890534C">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tc>
        <w:tc>
          <w:tcPr>
            <w:tcW w:w="1568" w:type="dxa"/>
            <w:shd w:val="clear" w:color="auto" w:fill="auto"/>
            <w:vAlign w:val="center"/>
          </w:tcPr>
          <w:p w14:paraId="4F52DC9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安全策略与流程</w:t>
            </w:r>
          </w:p>
        </w:tc>
        <w:tc>
          <w:tcPr>
            <w:tcW w:w="5082" w:type="dxa"/>
            <w:shd w:val="clear" w:color="auto" w:fill="auto"/>
            <w:vAlign w:val="center"/>
          </w:tcPr>
          <w:p w14:paraId="7222E3B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建立详细的数据安全策略和操作流程</w:t>
            </w:r>
          </w:p>
        </w:tc>
      </w:tr>
    </w:tbl>
    <w:p w14:paraId="13CBF273">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lang w:val="en-US" w:eastAsia="zh-CN"/>
        </w:rPr>
      </w:pPr>
    </w:p>
    <w:p w14:paraId="39A28F93">
      <w:pPr>
        <w:pStyle w:val="2"/>
        <w:numPr>
          <w:ilvl w:val="0"/>
          <w:numId w:val="3"/>
        </w:numPr>
        <w:spacing w:before="0" w:after="0"/>
        <w:rPr>
          <w:rFonts w:ascii="宋体" w:hAnsi="宋体"/>
          <w:sz w:val="32"/>
          <w:szCs w:val="32"/>
        </w:rPr>
      </w:pPr>
      <w:r>
        <w:rPr>
          <w:rFonts w:hint="eastAsia" w:ascii="宋体" w:hAnsi="宋体"/>
          <w:sz w:val="32"/>
          <w:szCs w:val="32"/>
        </w:rPr>
        <w:t>项目工期</w:t>
      </w:r>
    </w:p>
    <w:p w14:paraId="3D70A17E">
      <w:pPr>
        <w:pStyle w:val="68"/>
        <w:numPr>
          <w:ilvl w:val="0"/>
          <w:numId w:val="0"/>
        </w:numPr>
        <w:tabs>
          <w:tab w:val="left" w:pos="360"/>
          <w:tab w:val="left" w:pos="420"/>
          <w:tab w:val="left" w:pos="780"/>
        </w:tabs>
        <w:spacing w:before="156" w:beforeLines="50" w:line="360" w:lineRule="auto"/>
        <w:ind w:leftChars="0"/>
        <w:outlineLvl w:val="0"/>
        <w:rPr>
          <w:rFonts w:ascii="宋体" w:hAnsi="宋体" w:cs="宋体"/>
          <w:szCs w:val="21"/>
        </w:rPr>
      </w:pPr>
      <w:r>
        <w:rPr>
          <w:rFonts w:hint="eastAsia" w:ascii="宋体" w:hAnsi="宋体" w:cs="宋体"/>
          <w:szCs w:val="21"/>
          <w:lang w:val="en-US" w:eastAsia="zh-CN"/>
        </w:rPr>
        <w:tab/>
      </w:r>
      <w:r>
        <w:rPr>
          <w:rFonts w:hint="eastAsia" w:ascii="宋体" w:hAnsi="宋体" w:cs="宋体"/>
          <w:szCs w:val="21"/>
        </w:rPr>
        <w:t>合同签订日起</w:t>
      </w:r>
      <w:r>
        <w:rPr>
          <w:rFonts w:hint="eastAsia" w:ascii="宋体" w:hAnsi="宋体" w:cs="宋体"/>
          <w:szCs w:val="21"/>
          <w:lang w:val="en-US" w:eastAsia="zh-CN"/>
        </w:rPr>
        <w:t>12</w:t>
      </w:r>
      <w:r>
        <w:rPr>
          <w:rFonts w:hint="eastAsia" w:ascii="宋体" w:hAnsi="宋体" w:cs="宋体"/>
          <w:szCs w:val="21"/>
        </w:rPr>
        <w:t>个月。</w:t>
      </w:r>
    </w:p>
    <w:p w14:paraId="7EDDC7E4">
      <w:pPr>
        <w:pStyle w:val="2"/>
        <w:numPr>
          <w:ilvl w:val="0"/>
          <w:numId w:val="4"/>
        </w:numPr>
        <w:spacing w:before="0" w:after="0"/>
        <w:rPr>
          <w:rFonts w:ascii="宋体" w:hAnsi="宋体"/>
          <w:sz w:val="32"/>
          <w:szCs w:val="32"/>
        </w:rPr>
      </w:pPr>
      <w:r>
        <w:rPr>
          <w:rFonts w:hint="eastAsia" w:ascii="宋体" w:hAnsi="宋体"/>
          <w:sz w:val="32"/>
          <w:szCs w:val="32"/>
        </w:rPr>
        <w:t>集成技术及实施</w:t>
      </w:r>
      <w:r>
        <w:rPr>
          <w:rFonts w:ascii="宋体" w:hAnsi="宋体"/>
          <w:sz w:val="32"/>
          <w:szCs w:val="32"/>
        </w:rPr>
        <w:t>服务要求</w:t>
      </w:r>
    </w:p>
    <w:p w14:paraId="1529B3F8">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项目实施</w:t>
      </w:r>
      <w:r>
        <w:rPr>
          <w:rFonts w:ascii="宋体" w:hAnsi="宋体" w:cs="宋体"/>
          <w:szCs w:val="21"/>
        </w:rPr>
        <w:t>期</w:t>
      </w:r>
      <w:r>
        <w:rPr>
          <w:rFonts w:hint="eastAsia" w:ascii="宋体" w:hAnsi="宋体" w:cs="宋体"/>
          <w:szCs w:val="21"/>
        </w:rPr>
        <w:t>内承建商提供专职工程师负责</w:t>
      </w:r>
      <w:r>
        <w:rPr>
          <w:rFonts w:ascii="宋体" w:hAnsi="宋体" w:cs="宋体"/>
          <w:szCs w:val="21"/>
        </w:rPr>
        <w:t>本项目实施</w:t>
      </w:r>
      <w:r>
        <w:rPr>
          <w:rFonts w:hint="eastAsia" w:ascii="宋体" w:hAnsi="宋体" w:cs="宋体"/>
          <w:szCs w:val="21"/>
        </w:rPr>
        <w:t>，工作时间与院方工作时间一致，并且提供7*24小时响应服务。</w:t>
      </w:r>
    </w:p>
    <w:p w14:paraId="376DAEB8">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项目承建商需根据院方的详细需求，提交项目系统培训实施方案，方案得到院方确认后实施，保证系统按时、正常地投入运行。</w:t>
      </w:r>
    </w:p>
    <w:p w14:paraId="7D423629">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日常操作和管理维护，以及基本的故障诊断与排错。包括系统配置培训、用户培训，并保证培训效果。</w:t>
      </w:r>
    </w:p>
    <w:p w14:paraId="33E011EB">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验收由承建商给出具体的验收计划、测试的内容和方法，经院方审核通过后，方可进行验收工作。</w:t>
      </w:r>
    </w:p>
    <w:p w14:paraId="0F28B60E">
      <w:pPr>
        <w:pStyle w:val="2"/>
        <w:numPr>
          <w:ilvl w:val="0"/>
          <w:numId w:val="4"/>
        </w:numPr>
        <w:spacing w:before="0" w:after="0"/>
        <w:rPr>
          <w:rFonts w:ascii="宋体" w:hAnsi="宋体"/>
          <w:sz w:val="32"/>
          <w:szCs w:val="32"/>
        </w:rPr>
      </w:pPr>
      <w:bookmarkStart w:id="3" w:name="OLE_LINK4"/>
      <w:r>
        <w:rPr>
          <w:rFonts w:hint="eastAsia" w:ascii="宋体" w:hAnsi="宋体"/>
          <w:sz w:val="32"/>
          <w:szCs w:val="32"/>
        </w:rPr>
        <w:t>后续维护服务</w:t>
      </w:r>
      <w:bookmarkEnd w:id="3"/>
    </w:p>
    <w:p w14:paraId="10D991CB">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本项目软件维护期从软件验收合格之日算起，期限为</w:t>
      </w:r>
      <w:r>
        <w:rPr>
          <w:rFonts w:hint="eastAsia" w:ascii="宋体" w:hAnsi="宋体" w:cs="宋体"/>
          <w:szCs w:val="21"/>
          <w:u w:val="single"/>
          <w:lang w:val="en-US" w:eastAsia="zh-CN"/>
        </w:rPr>
        <w:t>24</w:t>
      </w:r>
      <w:r>
        <w:rPr>
          <w:rFonts w:hint="eastAsia" w:ascii="宋体" w:hAnsi="宋体" w:cs="宋体"/>
          <w:szCs w:val="21"/>
        </w:rPr>
        <w:t>个月。在维护期内，承建商提供技术支持和指导，以及功能的局部改进完善、故障情况下的现场问题解决。</w:t>
      </w:r>
    </w:p>
    <w:p w14:paraId="0E2FE576">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维保期内承建商为院方提供专职技术人员进行维护服务，工作时间与院方工作时间一致，并且提供7*24小时响应服务。</w:t>
      </w:r>
    </w:p>
    <w:p w14:paraId="788EFC20">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06A09277">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超过维护期的，双方另行协商签订维护合同，其中软件</w:t>
      </w:r>
      <w:r>
        <w:rPr>
          <w:rFonts w:ascii="宋体" w:hAnsi="宋体" w:cs="宋体"/>
          <w:szCs w:val="21"/>
        </w:rPr>
        <w:t>部分</w:t>
      </w:r>
      <w:r>
        <w:rPr>
          <w:rFonts w:hint="eastAsia" w:ascii="宋体" w:hAnsi="宋体" w:cs="宋体"/>
          <w:szCs w:val="21"/>
        </w:rPr>
        <w:t>年维护费不超过合同软件部分金额的8%</w:t>
      </w:r>
      <w:r>
        <w:rPr>
          <w:rFonts w:ascii="宋体" w:hAnsi="宋体" w:cs="宋体"/>
          <w:szCs w:val="21"/>
        </w:rPr>
        <w:t>。</w:t>
      </w:r>
    </w:p>
    <w:p w14:paraId="1C7DC4E7">
      <w:pPr>
        <w:tabs>
          <w:tab w:val="left" w:pos="780"/>
        </w:tabs>
        <w:spacing w:before="156" w:beforeLines="50" w:line="360" w:lineRule="auto"/>
        <w:ind w:firstLine="420" w:firstLineChars="200"/>
        <w:outlineLvl w:val="0"/>
        <w:rPr>
          <w:rFonts w:ascii="宋体" w:hAnsi="宋体"/>
        </w:rPr>
      </w:pPr>
    </w:p>
    <w:p w14:paraId="2A85E7A3">
      <w:pPr>
        <w:pStyle w:val="2"/>
        <w:numPr>
          <w:ilvl w:val="0"/>
          <w:numId w:val="4"/>
        </w:numPr>
        <w:spacing w:before="0" w:after="0"/>
        <w:rPr>
          <w:rFonts w:ascii="宋体" w:hAnsi="宋体"/>
          <w:sz w:val="32"/>
          <w:szCs w:val="32"/>
        </w:rPr>
      </w:pPr>
      <w:r>
        <w:rPr>
          <w:rFonts w:hint="eastAsia" w:ascii="宋体" w:hAnsi="宋体"/>
          <w:sz w:val="32"/>
          <w:szCs w:val="32"/>
        </w:rPr>
        <w:t>合同款支付方式</w:t>
      </w:r>
    </w:p>
    <w:p w14:paraId="167A3AA4">
      <w:pPr>
        <w:spacing w:line="360" w:lineRule="auto"/>
        <w:ind w:firstLine="630" w:firstLineChars="300"/>
        <w:rPr>
          <w:rFonts w:hint="eastAsia" w:ascii="宋体" w:hAnsi="宋体" w:cs="宋体"/>
          <w:szCs w:val="21"/>
        </w:rPr>
      </w:pPr>
      <w:r>
        <w:rPr>
          <w:rFonts w:hint="eastAsia" w:ascii="宋体" w:hAnsi="宋体" w:cs="宋体"/>
          <w:szCs w:val="21"/>
        </w:rPr>
        <w:t>(一)合同签订后，在收到承建商开具相应金额正式发票后，支付合同总金额的30%。</w:t>
      </w:r>
    </w:p>
    <w:p w14:paraId="74C2FFD7">
      <w:pPr>
        <w:spacing w:line="360" w:lineRule="auto"/>
        <w:ind w:firstLine="630" w:firstLineChars="300"/>
        <w:rPr>
          <w:rFonts w:ascii="宋体" w:hAnsi="宋体" w:cs="宋体"/>
          <w:szCs w:val="21"/>
        </w:rPr>
      </w:pPr>
      <w:r>
        <w:rPr>
          <w:rFonts w:hint="eastAsia" w:ascii="宋体" w:hAnsi="宋体" w:cs="宋体"/>
          <w:szCs w:val="21"/>
        </w:rPr>
        <w:t>(二)</w:t>
      </w:r>
      <w:bookmarkStart w:id="4" w:name="OLE_LINK3"/>
      <w:r>
        <w:rPr>
          <w:rFonts w:hint="eastAsia" w:ascii="宋体" w:hAnsi="宋体" w:cs="宋体"/>
          <w:szCs w:val="21"/>
          <w:lang w:val="en-US" w:eastAsia="zh-CN"/>
        </w:rPr>
        <w:t>项目</w:t>
      </w:r>
      <w:r>
        <w:rPr>
          <w:rFonts w:hint="eastAsia" w:ascii="宋体" w:hAnsi="宋体" w:cs="宋体"/>
          <w:szCs w:val="21"/>
        </w:rPr>
        <w:t>验收通过</w:t>
      </w:r>
      <w:r>
        <w:rPr>
          <w:rFonts w:hint="eastAsia" w:ascii="宋体" w:hAnsi="宋体" w:cs="宋体"/>
          <w:szCs w:val="21"/>
          <w:lang w:val="en-US" w:eastAsia="zh-CN"/>
        </w:rPr>
        <w:t>后</w:t>
      </w:r>
      <w:r>
        <w:rPr>
          <w:rFonts w:hint="eastAsia" w:ascii="宋体" w:hAnsi="宋体" w:cs="宋体"/>
          <w:szCs w:val="21"/>
        </w:rPr>
        <w:t>，</w:t>
      </w:r>
      <w:r>
        <w:rPr>
          <w:rFonts w:hint="eastAsia" w:ascii="宋体" w:hAnsi="宋体" w:cs="宋体"/>
          <w:szCs w:val="21"/>
          <w:lang w:val="en-US" w:eastAsia="zh-CN"/>
        </w:rPr>
        <w:t>在收到承建商</w:t>
      </w:r>
      <w:r>
        <w:rPr>
          <w:rFonts w:hint="eastAsia" w:ascii="宋体" w:hAnsi="宋体" w:cs="宋体"/>
          <w:szCs w:val="21"/>
        </w:rPr>
        <w:t>开具相应金额正式发票以及《售后服务履约承诺函》后，支付合同总金额的70%。</w:t>
      </w:r>
      <w:bookmarkEnd w:id="4"/>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C35E9">
    <w:pPr>
      <w:pStyle w:val="16"/>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rPr>
      <w:t>4</w:t>
    </w:r>
    <w:r>
      <w:rPr>
        <w:caps/>
        <w:color w:val="5B9BD5"/>
      </w:rPr>
      <w:fldChar w:fldCharType="end"/>
    </w:r>
  </w:p>
  <w:p w14:paraId="2220AF8C">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1">
    <w:nsid w:val="3EBB3C91"/>
    <w:multiLevelType w:val="multilevel"/>
    <w:tmpl w:val="3EBB3C91"/>
    <w:lvl w:ilvl="0" w:tentative="0">
      <w:start w:val="1"/>
      <w:numFmt w:val="decimal"/>
      <w:pStyle w:val="60"/>
      <w:lvlText w:val="%1. "/>
      <w:lvlJc w:val="left"/>
      <w:pPr>
        <w:ind w:left="420" w:hanging="420"/>
      </w:pPr>
      <w:rPr>
        <w:rFonts w:hint="default" w:ascii="Times New Roman" w:hAnsi="Times New Roman" w:eastAsia="宋体"/>
        <w:b/>
        <w:i w:val="0"/>
      </w:rPr>
    </w:lvl>
    <w:lvl w:ilvl="1" w:tentative="0">
      <w:start w:val="1"/>
      <w:numFmt w:val="decimal"/>
      <w:pStyle w:val="53"/>
      <w:isLgl/>
      <w:suff w:val="space"/>
      <w:lvlText w:val="%1.%2 "/>
      <w:lvlJc w:val="left"/>
      <w:pPr>
        <w:ind w:left="3913" w:hanging="794"/>
      </w:pPr>
      <w:rPr>
        <w:rFonts w:hint="eastAsia"/>
      </w:rPr>
    </w:lvl>
    <w:lvl w:ilvl="2" w:tentative="0">
      <w:start w:val="1"/>
      <w:numFmt w:val="decimal"/>
      <w:pStyle w:val="59"/>
      <w:isLgl/>
      <w:suff w:val="space"/>
      <w:lvlText w:val="%1.%2.%3 "/>
      <w:lvlJc w:val="left"/>
      <w:pPr>
        <w:ind w:left="907" w:hanging="907"/>
      </w:pPr>
      <w:rPr>
        <w:rFonts w:hint="eastAsia"/>
      </w:rPr>
    </w:lvl>
    <w:lvl w:ilvl="3" w:tentative="0">
      <w:start w:val="1"/>
      <w:numFmt w:val="decimal"/>
      <w:pStyle w:val="58"/>
      <w:isLgl/>
      <w:suff w:val="space"/>
      <w:lvlText w:val="%1.%2.%3.%4 "/>
      <w:lvlJc w:val="left"/>
      <w:pPr>
        <w:ind w:left="1021" w:hanging="1021"/>
      </w:pPr>
      <w:rPr>
        <w:rFonts w:hint="eastAsia"/>
      </w:rPr>
    </w:lvl>
    <w:lvl w:ilvl="4" w:tentative="0">
      <w:start w:val="1"/>
      <w:numFmt w:val="decimal"/>
      <w:pStyle w:val="63"/>
      <w:isLgl/>
      <w:suff w:val="space"/>
      <w:lvlText w:val="%1.%2.%3.%4.%5 "/>
      <w:lvlJc w:val="left"/>
      <w:pPr>
        <w:ind w:left="1134" w:hanging="1134"/>
      </w:pPr>
      <w:rPr>
        <w:rFonts w:hint="eastAsia"/>
      </w:rPr>
    </w:lvl>
    <w:lvl w:ilvl="5" w:tentative="0">
      <w:start w:val="1"/>
      <w:numFmt w:val="decimal"/>
      <w:pStyle w:val="57"/>
      <w:isLgl/>
      <w:suff w:val="space"/>
      <w:lvlText w:val="%1.%2.%3.%4.%5.%6 "/>
      <w:lvlJc w:val="left"/>
      <w:pPr>
        <w:ind w:left="1247" w:hanging="1247"/>
      </w:pPr>
      <w:rPr>
        <w:rFonts w:hint="eastAsia"/>
      </w:rPr>
    </w:lvl>
    <w:lvl w:ilvl="6" w:tentative="0">
      <w:start w:val="1"/>
      <w:numFmt w:val="decimal"/>
      <w:lvlRestart w:val="1"/>
      <w:pStyle w:val="52"/>
      <w:isLgl/>
      <w:suff w:val="space"/>
      <w:lvlText w:val="图 %1.%7 "/>
      <w:lvlJc w:val="left"/>
      <w:pPr>
        <w:ind w:left="0" w:firstLine="0"/>
      </w:pPr>
      <w:rPr>
        <w:rFonts w:hint="eastAsia"/>
      </w:rPr>
    </w:lvl>
    <w:lvl w:ilvl="7" w:tentative="0">
      <w:start w:val="1"/>
      <w:numFmt w:val="decimal"/>
      <w:lvlRestart w:val="1"/>
      <w:pStyle w:val="62"/>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424A4138"/>
    <w:multiLevelType w:val="multilevel"/>
    <w:tmpl w:val="424A4138"/>
    <w:lvl w:ilvl="0" w:tentative="0">
      <w:start w:val="1"/>
      <w:numFmt w:val="chineseCountingThousand"/>
      <w:lvlText w:val="%1."/>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708160F3"/>
    <w:multiLevelType w:val="multilevel"/>
    <w:tmpl w:val="708160F3"/>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2MmE3ZTUzMzYwMWQzZTQyODhkYzY2MmY1MmEzYjAifQ=="/>
  </w:docVars>
  <w:rsids>
    <w:rsidRoot w:val="00303343"/>
    <w:rsid w:val="0000266A"/>
    <w:rsid w:val="000027C8"/>
    <w:rsid w:val="000051D2"/>
    <w:rsid w:val="000079DD"/>
    <w:rsid w:val="00007C52"/>
    <w:rsid w:val="00012DCC"/>
    <w:rsid w:val="00016B63"/>
    <w:rsid w:val="00022CAE"/>
    <w:rsid w:val="0002505B"/>
    <w:rsid w:val="00025159"/>
    <w:rsid w:val="00035521"/>
    <w:rsid w:val="00036BE9"/>
    <w:rsid w:val="0004334E"/>
    <w:rsid w:val="00046B39"/>
    <w:rsid w:val="00053923"/>
    <w:rsid w:val="00054706"/>
    <w:rsid w:val="000560C3"/>
    <w:rsid w:val="00066DE7"/>
    <w:rsid w:val="0006701F"/>
    <w:rsid w:val="0007129C"/>
    <w:rsid w:val="00074EDD"/>
    <w:rsid w:val="00086AE0"/>
    <w:rsid w:val="00090A18"/>
    <w:rsid w:val="000A02E2"/>
    <w:rsid w:val="000A293D"/>
    <w:rsid w:val="000B41B7"/>
    <w:rsid w:val="000C1DAE"/>
    <w:rsid w:val="000D3536"/>
    <w:rsid w:val="000D5317"/>
    <w:rsid w:val="000E1241"/>
    <w:rsid w:val="000E276C"/>
    <w:rsid w:val="000F0424"/>
    <w:rsid w:val="000F0A3C"/>
    <w:rsid w:val="000F3A19"/>
    <w:rsid w:val="00106D68"/>
    <w:rsid w:val="00107C1B"/>
    <w:rsid w:val="001106CE"/>
    <w:rsid w:val="001107F8"/>
    <w:rsid w:val="001116F6"/>
    <w:rsid w:val="0012100A"/>
    <w:rsid w:val="00121E40"/>
    <w:rsid w:val="0012322D"/>
    <w:rsid w:val="00123FCC"/>
    <w:rsid w:val="001270AB"/>
    <w:rsid w:val="00135BF9"/>
    <w:rsid w:val="001365DD"/>
    <w:rsid w:val="00136606"/>
    <w:rsid w:val="00140E0C"/>
    <w:rsid w:val="0014437A"/>
    <w:rsid w:val="00153AB3"/>
    <w:rsid w:val="00162D29"/>
    <w:rsid w:val="001642E6"/>
    <w:rsid w:val="00164878"/>
    <w:rsid w:val="00165091"/>
    <w:rsid w:val="00170615"/>
    <w:rsid w:val="00171903"/>
    <w:rsid w:val="00174CEE"/>
    <w:rsid w:val="001750FC"/>
    <w:rsid w:val="00177F84"/>
    <w:rsid w:val="0018200C"/>
    <w:rsid w:val="001833B6"/>
    <w:rsid w:val="00190CD2"/>
    <w:rsid w:val="00193242"/>
    <w:rsid w:val="00197D30"/>
    <w:rsid w:val="001A22A1"/>
    <w:rsid w:val="001B4850"/>
    <w:rsid w:val="001B4EA3"/>
    <w:rsid w:val="001B7966"/>
    <w:rsid w:val="001B7A16"/>
    <w:rsid w:val="001B7D79"/>
    <w:rsid w:val="001C23B3"/>
    <w:rsid w:val="001C4A9D"/>
    <w:rsid w:val="001C7BC6"/>
    <w:rsid w:val="001D1097"/>
    <w:rsid w:val="001D4434"/>
    <w:rsid w:val="001D5133"/>
    <w:rsid w:val="001D7749"/>
    <w:rsid w:val="001E3B38"/>
    <w:rsid w:val="00200054"/>
    <w:rsid w:val="002000DE"/>
    <w:rsid w:val="00202EFF"/>
    <w:rsid w:val="00202FEA"/>
    <w:rsid w:val="0020509F"/>
    <w:rsid w:val="00207A57"/>
    <w:rsid w:val="00207A96"/>
    <w:rsid w:val="00214A6F"/>
    <w:rsid w:val="00221F1F"/>
    <w:rsid w:val="0022265F"/>
    <w:rsid w:val="00223E47"/>
    <w:rsid w:val="00232783"/>
    <w:rsid w:val="00241D77"/>
    <w:rsid w:val="00244B53"/>
    <w:rsid w:val="00247E9D"/>
    <w:rsid w:val="002509F5"/>
    <w:rsid w:val="002535AA"/>
    <w:rsid w:val="00261CBC"/>
    <w:rsid w:val="00265DE7"/>
    <w:rsid w:val="00270260"/>
    <w:rsid w:val="00271877"/>
    <w:rsid w:val="002722CA"/>
    <w:rsid w:val="002834D3"/>
    <w:rsid w:val="0028464E"/>
    <w:rsid w:val="002853BF"/>
    <w:rsid w:val="00292528"/>
    <w:rsid w:val="002A01D6"/>
    <w:rsid w:val="002A4778"/>
    <w:rsid w:val="002A7E18"/>
    <w:rsid w:val="002B1C8D"/>
    <w:rsid w:val="002C53D1"/>
    <w:rsid w:val="002D189F"/>
    <w:rsid w:val="002D6BE1"/>
    <w:rsid w:val="002F1E95"/>
    <w:rsid w:val="002F31F1"/>
    <w:rsid w:val="003024F8"/>
    <w:rsid w:val="00303343"/>
    <w:rsid w:val="00303CAB"/>
    <w:rsid w:val="003042A2"/>
    <w:rsid w:val="00304636"/>
    <w:rsid w:val="00305C35"/>
    <w:rsid w:val="00311322"/>
    <w:rsid w:val="00314481"/>
    <w:rsid w:val="00314A5A"/>
    <w:rsid w:val="00322973"/>
    <w:rsid w:val="003325F0"/>
    <w:rsid w:val="00341038"/>
    <w:rsid w:val="003436F7"/>
    <w:rsid w:val="00352E7C"/>
    <w:rsid w:val="00353276"/>
    <w:rsid w:val="003552BD"/>
    <w:rsid w:val="00366980"/>
    <w:rsid w:val="00367598"/>
    <w:rsid w:val="00370126"/>
    <w:rsid w:val="00374C23"/>
    <w:rsid w:val="003755D1"/>
    <w:rsid w:val="003802E2"/>
    <w:rsid w:val="00382774"/>
    <w:rsid w:val="00383A75"/>
    <w:rsid w:val="00385E95"/>
    <w:rsid w:val="00385FED"/>
    <w:rsid w:val="00393B3A"/>
    <w:rsid w:val="00397B7E"/>
    <w:rsid w:val="003A69BF"/>
    <w:rsid w:val="003A7269"/>
    <w:rsid w:val="003C0FB7"/>
    <w:rsid w:val="003C4E09"/>
    <w:rsid w:val="003C6D81"/>
    <w:rsid w:val="003D0F80"/>
    <w:rsid w:val="003D2595"/>
    <w:rsid w:val="003E7083"/>
    <w:rsid w:val="003F3503"/>
    <w:rsid w:val="003F629F"/>
    <w:rsid w:val="00403938"/>
    <w:rsid w:val="00413DA3"/>
    <w:rsid w:val="00414171"/>
    <w:rsid w:val="00414CE5"/>
    <w:rsid w:val="00416A0B"/>
    <w:rsid w:val="00416A9F"/>
    <w:rsid w:val="0041787F"/>
    <w:rsid w:val="00423450"/>
    <w:rsid w:val="00426845"/>
    <w:rsid w:val="00426FA2"/>
    <w:rsid w:val="0042702D"/>
    <w:rsid w:val="00435C81"/>
    <w:rsid w:val="00440559"/>
    <w:rsid w:val="00440F72"/>
    <w:rsid w:val="00450966"/>
    <w:rsid w:val="004565AA"/>
    <w:rsid w:val="00456A2C"/>
    <w:rsid w:val="004573AE"/>
    <w:rsid w:val="004630DC"/>
    <w:rsid w:val="0046635F"/>
    <w:rsid w:val="00467554"/>
    <w:rsid w:val="00474AE0"/>
    <w:rsid w:val="0047796F"/>
    <w:rsid w:val="00482931"/>
    <w:rsid w:val="00495574"/>
    <w:rsid w:val="00497384"/>
    <w:rsid w:val="004A072B"/>
    <w:rsid w:val="004A44FF"/>
    <w:rsid w:val="004B156C"/>
    <w:rsid w:val="004B5BCA"/>
    <w:rsid w:val="004C2C5B"/>
    <w:rsid w:val="004C36D0"/>
    <w:rsid w:val="004D09A3"/>
    <w:rsid w:val="004D3CB6"/>
    <w:rsid w:val="004E2D8F"/>
    <w:rsid w:val="004E5E61"/>
    <w:rsid w:val="004F1410"/>
    <w:rsid w:val="004F7A05"/>
    <w:rsid w:val="00500264"/>
    <w:rsid w:val="005023D4"/>
    <w:rsid w:val="005037FD"/>
    <w:rsid w:val="00507320"/>
    <w:rsid w:val="00510B1E"/>
    <w:rsid w:val="005120A9"/>
    <w:rsid w:val="00512A19"/>
    <w:rsid w:val="0051304D"/>
    <w:rsid w:val="00517D7C"/>
    <w:rsid w:val="00520646"/>
    <w:rsid w:val="0052176F"/>
    <w:rsid w:val="0052604B"/>
    <w:rsid w:val="0053088D"/>
    <w:rsid w:val="005338EE"/>
    <w:rsid w:val="00534BF6"/>
    <w:rsid w:val="00537CDE"/>
    <w:rsid w:val="005409FC"/>
    <w:rsid w:val="00542D48"/>
    <w:rsid w:val="005563D3"/>
    <w:rsid w:val="00557712"/>
    <w:rsid w:val="00575F76"/>
    <w:rsid w:val="005766CE"/>
    <w:rsid w:val="005773F2"/>
    <w:rsid w:val="00580F0E"/>
    <w:rsid w:val="00581B53"/>
    <w:rsid w:val="0058347C"/>
    <w:rsid w:val="005848B7"/>
    <w:rsid w:val="00587265"/>
    <w:rsid w:val="00591388"/>
    <w:rsid w:val="0059358B"/>
    <w:rsid w:val="00593C63"/>
    <w:rsid w:val="00593D77"/>
    <w:rsid w:val="005944F9"/>
    <w:rsid w:val="00596428"/>
    <w:rsid w:val="00596CC5"/>
    <w:rsid w:val="005A13C1"/>
    <w:rsid w:val="005A49BD"/>
    <w:rsid w:val="005A4D1C"/>
    <w:rsid w:val="005A5DD3"/>
    <w:rsid w:val="005B046D"/>
    <w:rsid w:val="005B33AE"/>
    <w:rsid w:val="005B4BC4"/>
    <w:rsid w:val="005C029C"/>
    <w:rsid w:val="005C49D7"/>
    <w:rsid w:val="005C60FB"/>
    <w:rsid w:val="005C6FB2"/>
    <w:rsid w:val="005C7538"/>
    <w:rsid w:val="005C7EF5"/>
    <w:rsid w:val="005D1C7F"/>
    <w:rsid w:val="005D2402"/>
    <w:rsid w:val="005D2854"/>
    <w:rsid w:val="005D2BF6"/>
    <w:rsid w:val="005E2D44"/>
    <w:rsid w:val="005E7C53"/>
    <w:rsid w:val="005F0356"/>
    <w:rsid w:val="005F2E28"/>
    <w:rsid w:val="005F3DC1"/>
    <w:rsid w:val="005F4594"/>
    <w:rsid w:val="005F73BC"/>
    <w:rsid w:val="005F7E95"/>
    <w:rsid w:val="00600923"/>
    <w:rsid w:val="00600E20"/>
    <w:rsid w:val="006053FC"/>
    <w:rsid w:val="006054C4"/>
    <w:rsid w:val="00612F3F"/>
    <w:rsid w:val="00623637"/>
    <w:rsid w:val="006279C6"/>
    <w:rsid w:val="0063460B"/>
    <w:rsid w:val="00644F1D"/>
    <w:rsid w:val="00646B59"/>
    <w:rsid w:val="006604C2"/>
    <w:rsid w:val="00673A21"/>
    <w:rsid w:val="006855CF"/>
    <w:rsid w:val="006861F5"/>
    <w:rsid w:val="00690120"/>
    <w:rsid w:val="00693332"/>
    <w:rsid w:val="00697FBB"/>
    <w:rsid w:val="006A5D14"/>
    <w:rsid w:val="006B2085"/>
    <w:rsid w:val="006B21B8"/>
    <w:rsid w:val="006B7B58"/>
    <w:rsid w:val="006C36EB"/>
    <w:rsid w:val="006D4B15"/>
    <w:rsid w:val="006D59F7"/>
    <w:rsid w:val="006E273E"/>
    <w:rsid w:val="006E2CB6"/>
    <w:rsid w:val="006E5E07"/>
    <w:rsid w:val="006F0434"/>
    <w:rsid w:val="006F1CC7"/>
    <w:rsid w:val="00701D12"/>
    <w:rsid w:val="0070239F"/>
    <w:rsid w:val="00704113"/>
    <w:rsid w:val="0071487E"/>
    <w:rsid w:val="00722033"/>
    <w:rsid w:val="0072309C"/>
    <w:rsid w:val="0072695B"/>
    <w:rsid w:val="00726A65"/>
    <w:rsid w:val="00731884"/>
    <w:rsid w:val="00733834"/>
    <w:rsid w:val="0074224C"/>
    <w:rsid w:val="0074539E"/>
    <w:rsid w:val="00750A70"/>
    <w:rsid w:val="00751F4C"/>
    <w:rsid w:val="00752912"/>
    <w:rsid w:val="00754E86"/>
    <w:rsid w:val="007556BE"/>
    <w:rsid w:val="00760965"/>
    <w:rsid w:val="007621CC"/>
    <w:rsid w:val="007643E3"/>
    <w:rsid w:val="0076668A"/>
    <w:rsid w:val="007825DD"/>
    <w:rsid w:val="00784C08"/>
    <w:rsid w:val="00785EDF"/>
    <w:rsid w:val="00786A29"/>
    <w:rsid w:val="00792044"/>
    <w:rsid w:val="007925FD"/>
    <w:rsid w:val="00795F59"/>
    <w:rsid w:val="00797BF9"/>
    <w:rsid w:val="00797C0F"/>
    <w:rsid w:val="007A0FEF"/>
    <w:rsid w:val="007A678F"/>
    <w:rsid w:val="007B1F72"/>
    <w:rsid w:val="007B38C6"/>
    <w:rsid w:val="007C0A5B"/>
    <w:rsid w:val="007C205A"/>
    <w:rsid w:val="007D22AB"/>
    <w:rsid w:val="007D5C07"/>
    <w:rsid w:val="007E71E6"/>
    <w:rsid w:val="007F5726"/>
    <w:rsid w:val="007F68E3"/>
    <w:rsid w:val="008067E0"/>
    <w:rsid w:val="00813E54"/>
    <w:rsid w:val="008168FB"/>
    <w:rsid w:val="00822BA6"/>
    <w:rsid w:val="00826619"/>
    <w:rsid w:val="00830F92"/>
    <w:rsid w:val="008419E9"/>
    <w:rsid w:val="008548FB"/>
    <w:rsid w:val="008623FD"/>
    <w:rsid w:val="00866774"/>
    <w:rsid w:val="00873B97"/>
    <w:rsid w:val="00897B24"/>
    <w:rsid w:val="008A0183"/>
    <w:rsid w:val="008A3D6D"/>
    <w:rsid w:val="008A5EE9"/>
    <w:rsid w:val="008A62AC"/>
    <w:rsid w:val="008A776A"/>
    <w:rsid w:val="008B2206"/>
    <w:rsid w:val="008C255D"/>
    <w:rsid w:val="008D3291"/>
    <w:rsid w:val="008D4FBF"/>
    <w:rsid w:val="008D59AA"/>
    <w:rsid w:val="008E145D"/>
    <w:rsid w:val="008E25F5"/>
    <w:rsid w:val="008E2B56"/>
    <w:rsid w:val="008F0F4C"/>
    <w:rsid w:val="00900232"/>
    <w:rsid w:val="00900BAA"/>
    <w:rsid w:val="00903734"/>
    <w:rsid w:val="00903878"/>
    <w:rsid w:val="00903CF6"/>
    <w:rsid w:val="009048B8"/>
    <w:rsid w:val="00904CF6"/>
    <w:rsid w:val="009052C7"/>
    <w:rsid w:val="00905FFA"/>
    <w:rsid w:val="00912D2B"/>
    <w:rsid w:val="0092017A"/>
    <w:rsid w:val="00922032"/>
    <w:rsid w:val="0092575F"/>
    <w:rsid w:val="00925C23"/>
    <w:rsid w:val="00927E08"/>
    <w:rsid w:val="00930180"/>
    <w:rsid w:val="009303FA"/>
    <w:rsid w:val="00934753"/>
    <w:rsid w:val="00943004"/>
    <w:rsid w:val="00943F8C"/>
    <w:rsid w:val="00947FA5"/>
    <w:rsid w:val="00955763"/>
    <w:rsid w:val="00963275"/>
    <w:rsid w:val="00966A88"/>
    <w:rsid w:val="00970AE9"/>
    <w:rsid w:val="00972829"/>
    <w:rsid w:val="00973A47"/>
    <w:rsid w:val="009749F4"/>
    <w:rsid w:val="00981ED8"/>
    <w:rsid w:val="00982AA3"/>
    <w:rsid w:val="009863EF"/>
    <w:rsid w:val="00986A41"/>
    <w:rsid w:val="0098719A"/>
    <w:rsid w:val="00991FF2"/>
    <w:rsid w:val="0099315B"/>
    <w:rsid w:val="00995DD9"/>
    <w:rsid w:val="009B5475"/>
    <w:rsid w:val="009C1F02"/>
    <w:rsid w:val="009C3783"/>
    <w:rsid w:val="009C4E7E"/>
    <w:rsid w:val="009D3B0A"/>
    <w:rsid w:val="009D5606"/>
    <w:rsid w:val="009D6951"/>
    <w:rsid w:val="009D7DD1"/>
    <w:rsid w:val="009E0351"/>
    <w:rsid w:val="009E214B"/>
    <w:rsid w:val="009E3262"/>
    <w:rsid w:val="009E53AF"/>
    <w:rsid w:val="009F0270"/>
    <w:rsid w:val="009F18F7"/>
    <w:rsid w:val="009F1B3E"/>
    <w:rsid w:val="009F61FA"/>
    <w:rsid w:val="00A05796"/>
    <w:rsid w:val="00A13CB0"/>
    <w:rsid w:val="00A14FD8"/>
    <w:rsid w:val="00A16A34"/>
    <w:rsid w:val="00A22CA1"/>
    <w:rsid w:val="00A370A4"/>
    <w:rsid w:val="00A42231"/>
    <w:rsid w:val="00A4595D"/>
    <w:rsid w:val="00A51146"/>
    <w:rsid w:val="00A61D3A"/>
    <w:rsid w:val="00A627F3"/>
    <w:rsid w:val="00A6645A"/>
    <w:rsid w:val="00A66833"/>
    <w:rsid w:val="00A70DCF"/>
    <w:rsid w:val="00A72437"/>
    <w:rsid w:val="00A73FDF"/>
    <w:rsid w:val="00A870DD"/>
    <w:rsid w:val="00A9046A"/>
    <w:rsid w:val="00A931F2"/>
    <w:rsid w:val="00A951AD"/>
    <w:rsid w:val="00A96157"/>
    <w:rsid w:val="00A969AF"/>
    <w:rsid w:val="00A9729E"/>
    <w:rsid w:val="00A976E4"/>
    <w:rsid w:val="00AA05EA"/>
    <w:rsid w:val="00AA1F69"/>
    <w:rsid w:val="00AA28BC"/>
    <w:rsid w:val="00AB348F"/>
    <w:rsid w:val="00AB7D36"/>
    <w:rsid w:val="00AC1390"/>
    <w:rsid w:val="00AC4663"/>
    <w:rsid w:val="00AD112A"/>
    <w:rsid w:val="00AD1862"/>
    <w:rsid w:val="00AE1DD2"/>
    <w:rsid w:val="00AE4106"/>
    <w:rsid w:val="00AE5482"/>
    <w:rsid w:val="00AF11F6"/>
    <w:rsid w:val="00AF1991"/>
    <w:rsid w:val="00AF1C63"/>
    <w:rsid w:val="00AF3DA0"/>
    <w:rsid w:val="00AF69A0"/>
    <w:rsid w:val="00B05BF9"/>
    <w:rsid w:val="00B07FD6"/>
    <w:rsid w:val="00B12138"/>
    <w:rsid w:val="00B1251B"/>
    <w:rsid w:val="00B13B31"/>
    <w:rsid w:val="00B17749"/>
    <w:rsid w:val="00B17AE9"/>
    <w:rsid w:val="00B17C05"/>
    <w:rsid w:val="00B20334"/>
    <w:rsid w:val="00B20819"/>
    <w:rsid w:val="00B225B9"/>
    <w:rsid w:val="00B2494E"/>
    <w:rsid w:val="00B24AB1"/>
    <w:rsid w:val="00B34510"/>
    <w:rsid w:val="00B36BD9"/>
    <w:rsid w:val="00B41A4C"/>
    <w:rsid w:val="00B41E60"/>
    <w:rsid w:val="00B43095"/>
    <w:rsid w:val="00B446CA"/>
    <w:rsid w:val="00B476C4"/>
    <w:rsid w:val="00B5093C"/>
    <w:rsid w:val="00B532B3"/>
    <w:rsid w:val="00B54356"/>
    <w:rsid w:val="00B55FE5"/>
    <w:rsid w:val="00B62917"/>
    <w:rsid w:val="00B66C1D"/>
    <w:rsid w:val="00B66F93"/>
    <w:rsid w:val="00B74609"/>
    <w:rsid w:val="00B752B2"/>
    <w:rsid w:val="00B80A7C"/>
    <w:rsid w:val="00B80BF9"/>
    <w:rsid w:val="00B80E39"/>
    <w:rsid w:val="00B81410"/>
    <w:rsid w:val="00B824A5"/>
    <w:rsid w:val="00B84056"/>
    <w:rsid w:val="00B8588F"/>
    <w:rsid w:val="00B858F1"/>
    <w:rsid w:val="00B85D69"/>
    <w:rsid w:val="00B8684C"/>
    <w:rsid w:val="00B92A23"/>
    <w:rsid w:val="00BA03A7"/>
    <w:rsid w:val="00BA5A2D"/>
    <w:rsid w:val="00BA5B8F"/>
    <w:rsid w:val="00BB0480"/>
    <w:rsid w:val="00BB2B54"/>
    <w:rsid w:val="00BB62C6"/>
    <w:rsid w:val="00BC2EA4"/>
    <w:rsid w:val="00BC3CA1"/>
    <w:rsid w:val="00BC49E5"/>
    <w:rsid w:val="00BC5B74"/>
    <w:rsid w:val="00BC757B"/>
    <w:rsid w:val="00BD1650"/>
    <w:rsid w:val="00BD26E2"/>
    <w:rsid w:val="00BD3194"/>
    <w:rsid w:val="00BD5FA8"/>
    <w:rsid w:val="00BE23E5"/>
    <w:rsid w:val="00BE31E6"/>
    <w:rsid w:val="00BE458B"/>
    <w:rsid w:val="00BF757E"/>
    <w:rsid w:val="00BF7C0E"/>
    <w:rsid w:val="00BF7F5A"/>
    <w:rsid w:val="00C017CF"/>
    <w:rsid w:val="00C05D61"/>
    <w:rsid w:val="00C10639"/>
    <w:rsid w:val="00C11C7C"/>
    <w:rsid w:val="00C150B5"/>
    <w:rsid w:val="00C17719"/>
    <w:rsid w:val="00C20D21"/>
    <w:rsid w:val="00C2470A"/>
    <w:rsid w:val="00C335D8"/>
    <w:rsid w:val="00C50E12"/>
    <w:rsid w:val="00C54046"/>
    <w:rsid w:val="00C54491"/>
    <w:rsid w:val="00C5748C"/>
    <w:rsid w:val="00C71B43"/>
    <w:rsid w:val="00C73DFF"/>
    <w:rsid w:val="00C74D8F"/>
    <w:rsid w:val="00C751A9"/>
    <w:rsid w:val="00C766DD"/>
    <w:rsid w:val="00C76BDF"/>
    <w:rsid w:val="00C76F5C"/>
    <w:rsid w:val="00C775CE"/>
    <w:rsid w:val="00C8030E"/>
    <w:rsid w:val="00C84CFD"/>
    <w:rsid w:val="00C91697"/>
    <w:rsid w:val="00C92EAA"/>
    <w:rsid w:val="00C92F9B"/>
    <w:rsid w:val="00C93855"/>
    <w:rsid w:val="00CA148F"/>
    <w:rsid w:val="00CA29F9"/>
    <w:rsid w:val="00CA7EB3"/>
    <w:rsid w:val="00CB0505"/>
    <w:rsid w:val="00CB6B73"/>
    <w:rsid w:val="00CC218D"/>
    <w:rsid w:val="00CC6334"/>
    <w:rsid w:val="00CC677A"/>
    <w:rsid w:val="00CD008E"/>
    <w:rsid w:val="00CD6EDC"/>
    <w:rsid w:val="00CE0241"/>
    <w:rsid w:val="00CE24B9"/>
    <w:rsid w:val="00CE2D1F"/>
    <w:rsid w:val="00CF02A6"/>
    <w:rsid w:val="00CF1561"/>
    <w:rsid w:val="00CF1A40"/>
    <w:rsid w:val="00CF36EF"/>
    <w:rsid w:val="00CF4864"/>
    <w:rsid w:val="00CF4AE2"/>
    <w:rsid w:val="00D01898"/>
    <w:rsid w:val="00D02745"/>
    <w:rsid w:val="00D0405C"/>
    <w:rsid w:val="00D1110F"/>
    <w:rsid w:val="00D15B10"/>
    <w:rsid w:val="00D23E20"/>
    <w:rsid w:val="00D32842"/>
    <w:rsid w:val="00D3491E"/>
    <w:rsid w:val="00D36E64"/>
    <w:rsid w:val="00D4297E"/>
    <w:rsid w:val="00D454AB"/>
    <w:rsid w:val="00D536AB"/>
    <w:rsid w:val="00D54E0C"/>
    <w:rsid w:val="00D5537A"/>
    <w:rsid w:val="00D6147D"/>
    <w:rsid w:val="00D62A54"/>
    <w:rsid w:val="00D71136"/>
    <w:rsid w:val="00D7458E"/>
    <w:rsid w:val="00D77F36"/>
    <w:rsid w:val="00D85B78"/>
    <w:rsid w:val="00D9057D"/>
    <w:rsid w:val="00D92823"/>
    <w:rsid w:val="00D95D24"/>
    <w:rsid w:val="00D96C51"/>
    <w:rsid w:val="00DA026E"/>
    <w:rsid w:val="00DA576E"/>
    <w:rsid w:val="00DB0A86"/>
    <w:rsid w:val="00DB57B7"/>
    <w:rsid w:val="00DC06E4"/>
    <w:rsid w:val="00DC33CF"/>
    <w:rsid w:val="00DC3415"/>
    <w:rsid w:val="00DC341D"/>
    <w:rsid w:val="00DD0BF3"/>
    <w:rsid w:val="00DD25F5"/>
    <w:rsid w:val="00DD35AB"/>
    <w:rsid w:val="00DD3DE6"/>
    <w:rsid w:val="00DD59CF"/>
    <w:rsid w:val="00DE4534"/>
    <w:rsid w:val="00DF3D3A"/>
    <w:rsid w:val="00DF4228"/>
    <w:rsid w:val="00E06670"/>
    <w:rsid w:val="00E10E12"/>
    <w:rsid w:val="00E17363"/>
    <w:rsid w:val="00E2403C"/>
    <w:rsid w:val="00E263B0"/>
    <w:rsid w:val="00E30FFE"/>
    <w:rsid w:val="00E32FD6"/>
    <w:rsid w:val="00E34F46"/>
    <w:rsid w:val="00E47752"/>
    <w:rsid w:val="00E501AB"/>
    <w:rsid w:val="00E53030"/>
    <w:rsid w:val="00E54BEB"/>
    <w:rsid w:val="00E56652"/>
    <w:rsid w:val="00E61624"/>
    <w:rsid w:val="00E62C9E"/>
    <w:rsid w:val="00E63369"/>
    <w:rsid w:val="00E63569"/>
    <w:rsid w:val="00E80756"/>
    <w:rsid w:val="00E81F96"/>
    <w:rsid w:val="00E8302B"/>
    <w:rsid w:val="00E83E34"/>
    <w:rsid w:val="00E84F8C"/>
    <w:rsid w:val="00E85360"/>
    <w:rsid w:val="00E85641"/>
    <w:rsid w:val="00E85DA4"/>
    <w:rsid w:val="00E86B42"/>
    <w:rsid w:val="00E90BB7"/>
    <w:rsid w:val="00E95892"/>
    <w:rsid w:val="00E97354"/>
    <w:rsid w:val="00EA6408"/>
    <w:rsid w:val="00EA66DB"/>
    <w:rsid w:val="00EC02C6"/>
    <w:rsid w:val="00EC0483"/>
    <w:rsid w:val="00EC0D9B"/>
    <w:rsid w:val="00ED0897"/>
    <w:rsid w:val="00ED24BE"/>
    <w:rsid w:val="00ED73FF"/>
    <w:rsid w:val="00ED7F01"/>
    <w:rsid w:val="00EE51DE"/>
    <w:rsid w:val="00EE551A"/>
    <w:rsid w:val="00EF1CA5"/>
    <w:rsid w:val="00EF5E01"/>
    <w:rsid w:val="00EF6675"/>
    <w:rsid w:val="00EF6EC0"/>
    <w:rsid w:val="00F02058"/>
    <w:rsid w:val="00F0343C"/>
    <w:rsid w:val="00F04CE5"/>
    <w:rsid w:val="00F13514"/>
    <w:rsid w:val="00F1360F"/>
    <w:rsid w:val="00F16AA8"/>
    <w:rsid w:val="00F2506E"/>
    <w:rsid w:val="00F3133C"/>
    <w:rsid w:val="00F3226A"/>
    <w:rsid w:val="00F33265"/>
    <w:rsid w:val="00F33DB0"/>
    <w:rsid w:val="00F374D1"/>
    <w:rsid w:val="00F45DB8"/>
    <w:rsid w:val="00F463E7"/>
    <w:rsid w:val="00F54426"/>
    <w:rsid w:val="00F54D29"/>
    <w:rsid w:val="00F60C30"/>
    <w:rsid w:val="00F62BCD"/>
    <w:rsid w:val="00F74B77"/>
    <w:rsid w:val="00F764FE"/>
    <w:rsid w:val="00F802D3"/>
    <w:rsid w:val="00F827B6"/>
    <w:rsid w:val="00F922F2"/>
    <w:rsid w:val="00F9257D"/>
    <w:rsid w:val="00F92A21"/>
    <w:rsid w:val="00F92BE5"/>
    <w:rsid w:val="00FA0574"/>
    <w:rsid w:val="00FB3282"/>
    <w:rsid w:val="00FB68D3"/>
    <w:rsid w:val="00FC4B75"/>
    <w:rsid w:val="00FC513F"/>
    <w:rsid w:val="00FC5EC8"/>
    <w:rsid w:val="00FD0BD6"/>
    <w:rsid w:val="00FE3FD1"/>
    <w:rsid w:val="00FE7554"/>
    <w:rsid w:val="00FF0F55"/>
    <w:rsid w:val="00FF17FE"/>
    <w:rsid w:val="00FF3CFF"/>
    <w:rsid w:val="011A337F"/>
    <w:rsid w:val="01C40516"/>
    <w:rsid w:val="01F3521E"/>
    <w:rsid w:val="04CB2483"/>
    <w:rsid w:val="05080FE1"/>
    <w:rsid w:val="064072CA"/>
    <w:rsid w:val="067A38E7"/>
    <w:rsid w:val="06EF370B"/>
    <w:rsid w:val="070D0E94"/>
    <w:rsid w:val="07C440E8"/>
    <w:rsid w:val="0834033F"/>
    <w:rsid w:val="090C3459"/>
    <w:rsid w:val="09684E9E"/>
    <w:rsid w:val="0A0107ED"/>
    <w:rsid w:val="0A5E5C25"/>
    <w:rsid w:val="0B8B471A"/>
    <w:rsid w:val="0BA13F3D"/>
    <w:rsid w:val="0CF63E15"/>
    <w:rsid w:val="0D6E0D2F"/>
    <w:rsid w:val="0D821B4C"/>
    <w:rsid w:val="0E9D17C6"/>
    <w:rsid w:val="10294501"/>
    <w:rsid w:val="105E051F"/>
    <w:rsid w:val="1068327B"/>
    <w:rsid w:val="107240FA"/>
    <w:rsid w:val="10DE353E"/>
    <w:rsid w:val="10EA0805"/>
    <w:rsid w:val="135D4BEE"/>
    <w:rsid w:val="13675A6C"/>
    <w:rsid w:val="137F4B64"/>
    <w:rsid w:val="13C75032"/>
    <w:rsid w:val="161A6DC6"/>
    <w:rsid w:val="172822BB"/>
    <w:rsid w:val="17E76718"/>
    <w:rsid w:val="18504D21"/>
    <w:rsid w:val="188E5849"/>
    <w:rsid w:val="189A205E"/>
    <w:rsid w:val="19380E72"/>
    <w:rsid w:val="19761132"/>
    <w:rsid w:val="19801636"/>
    <w:rsid w:val="1998697F"/>
    <w:rsid w:val="1A6E0414"/>
    <w:rsid w:val="1ABA38AA"/>
    <w:rsid w:val="1B925650"/>
    <w:rsid w:val="1BA07D6D"/>
    <w:rsid w:val="1BB64B2C"/>
    <w:rsid w:val="1C1962B1"/>
    <w:rsid w:val="1C1B6A4E"/>
    <w:rsid w:val="1E312EFF"/>
    <w:rsid w:val="1EA12B58"/>
    <w:rsid w:val="1ED03973"/>
    <w:rsid w:val="200A6A16"/>
    <w:rsid w:val="203767C6"/>
    <w:rsid w:val="2073362B"/>
    <w:rsid w:val="20811A2A"/>
    <w:rsid w:val="20C32267"/>
    <w:rsid w:val="20C77B4A"/>
    <w:rsid w:val="20F546B7"/>
    <w:rsid w:val="21122A7A"/>
    <w:rsid w:val="21450638"/>
    <w:rsid w:val="23874E71"/>
    <w:rsid w:val="23B01195"/>
    <w:rsid w:val="246102B6"/>
    <w:rsid w:val="2474565C"/>
    <w:rsid w:val="24D44C08"/>
    <w:rsid w:val="24E16D01"/>
    <w:rsid w:val="25145328"/>
    <w:rsid w:val="255B6AB3"/>
    <w:rsid w:val="263B52D5"/>
    <w:rsid w:val="27610CD3"/>
    <w:rsid w:val="27906EE8"/>
    <w:rsid w:val="28DB0637"/>
    <w:rsid w:val="290A4A78"/>
    <w:rsid w:val="2916341D"/>
    <w:rsid w:val="2A264090"/>
    <w:rsid w:val="2A6308E4"/>
    <w:rsid w:val="2BE11DCE"/>
    <w:rsid w:val="2C3A5674"/>
    <w:rsid w:val="2C632468"/>
    <w:rsid w:val="2C6B3A80"/>
    <w:rsid w:val="2CE83322"/>
    <w:rsid w:val="2D3B3143"/>
    <w:rsid w:val="2DAC186C"/>
    <w:rsid w:val="2DD11845"/>
    <w:rsid w:val="2F3F643D"/>
    <w:rsid w:val="2FA379D4"/>
    <w:rsid w:val="2FD85109"/>
    <w:rsid w:val="2FEA73B1"/>
    <w:rsid w:val="3185110C"/>
    <w:rsid w:val="318F5A5F"/>
    <w:rsid w:val="31CA11A2"/>
    <w:rsid w:val="3236068C"/>
    <w:rsid w:val="328E7A61"/>
    <w:rsid w:val="32B4391B"/>
    <w:rsid w:val="330C7993"/>
    <w:rsid w:val="33242BDA"/>
    <w:rsid w:val="334D3EDF"/>
    <w:rsid w:val="33666594"/>
    <w:rsid w:val="33953AD8"/>
    <w:rsid w:val="345D471B"/>
    <w:rsid w:val="34A57D4B"/>
    <w:rsid w:val="3526120F"/>
    <w:rsid w:val="35BF0D30"/>
    <w:rsid w:val="361A40E1"/>
    <w:rsid w:val="362A09AF"/>
    <w:rsid w:val="362D624A"/>
    <w:rsid w:val="37005AA7"/>
    <w:rsid w:val="37177E83"/>
    <w:rsid w:val="373D426B"/>
    <w:rsid w:val="375E0EBB"/>
    <w:rsid w:val="37BC1633"/>
    <w:rsid w:val="38FE5C7B"/>
    <w:rsid w:val="395B38B6"/>
    <w:rsid w:val="3A0E30A6"/>
    <w:rsid w:val="3AC739FF"/>
    <w:rsid w:val="3AD13648"/>
    <w:rsid w:val="3C200311"/>
    <w:rsid w:val="3C6A4768"/>
    <w:rsid w:val="3CBE0765"/>
    <w:rsid w:val="3CDC5A84"/>
    <w:rsid w:val="3D5D7415"/>
    <w:rsid w:val="3D903E83"/>
    <w:rsid w:val="3DE10046"/>
    <w:rsid w:val="3DF24001"/>
    <w:rsid w:val="3E333186"/>
    <w:rsid w:val="3E954A7D"/>
    <w:rsid w:val="3F931DD9"/>
    <w:rsid w:val="3FB53538"/>
    <w:rsid w:val="3FCE6149"/>
    <w:rsid w:val="40CB28E7"/>
    <w:rsid w:val="414A3B23"/>
    <w:rsid w:val="41581B97"/>
    <w:rsid w:val="41722CB8"/>
    <w:rsid w:val="42200080"/>
    <w:rsid w:val="42C24FD0"/>
    <w:rsid w:val="42DA1507"/>
    <w:rsid w:val="438911A7"/>
    <w:rsid w:val="439D14D1"/>
    <w:rsid w:val="44480992"/>
    <w:rsid w:val="454D7D6F"/>
    <w:rsid w:val="45A27E9E"/>
    <w:rsid w:val="47C3301C"/>
    <w:rsid w:val="47F64219"/>
    <w:rsid w:val="48567212"/>
    <w:rsid w:val="48645AFB"/>
    <w:rsid w:val="488C513A"/>
    <w:rsid w:val="48BB1493"/>
    <w:rsid w:val="4ACC3E2B"/>
    <w:rsid w:val="4B673E2B"/>
    <w:rsid w:val="4C746529"/>
    <w:rsid w:val="4D875DE8"/>
    <w:rsid w:val="4D897DB2"/>
    <w:rsid w:val="4DA1334D"/>
    <w:rsid w:val="4E305CA0"/>
    <w:rsid w:val="4EE259CC"/>
    <w:rsid w:val="4FD30759"/>
    <w:rsid w:val="50734954"/>
    <w:rsid w:val="50834F8C"/>
    <w:rsid w:val="51B15B29"/>
    <w:rsid w:val="51C969CF"/>
    <w:rsid w:val="52FB52AE"/>
    <w:rsid w:val="52FE4D9E"/>
    <w:rsid w:val="53083527"/>
    <w:rsid w:val="53DF697E"/>
    <w:rsid w:val="541008E5"/>
    <w:rsid w:val="544C41DB"/>
    <w:rsid w:val="54AF13BB"/>
    <w:rsid w:val="557A3E90"/>
    <w:rsid w:val="55C4657B"/>
    <w:rsid w:val="56024BA5"/>
    <w:rsid w:val="56576C9F"/>
    <w:rsid w:val="56730AB1"/>
    <w:rsid w:val="567F0E43"/>
    <w:rsid w:val="58445ACC"/>
    <w:rsid w:val="58ED7447"/>
    <w:rsid w:val="595A2602"/>
    <w:rsid w:val="59E21F44"/>
    <w:rsid w:val="5A0532AE"/>
    <w:rsid w:val="5A5D23AA"/>
    <w:rsid w:val="5A754462"/>
    <w:rsid w:val="5AE0479A"/>
    <w:rsid w:val="5C013209"/>
    <w:rsid w:val="5D261179"/>
    <w:rsid w:val="5D680B0D"/>
    <w:rsid w:val="5D9C73F0"/>
    <w:rsid w:val="5DB355D0"/>
    <w:rsid w:val="5DF272AD"/>
    <w:rsid w:val="5EA66A16"/>
    <w:rsid w:val="5F8B5C0B"/>
    <w:rsid w:val="60275C02"/>
    <w:rsid w:val="61E0223F"/>
    <w:rsid w:val="627D3DDC"/>
    <w:rsid w:val="64187DDE"/>
    <w:rsid w:val="64591E34"/>
    <w:rsid w:val="64D9720F"/>
    <w:rsid w:val="650B0595"/>
    <w:rsid w:val="65110961"/>
    <w:rsid w:val="66236B9E"/>
    <w:rsid w:val="663F32AC"/>
    <w:rsid w:val="67937849"/>
    <w:rsid w:val="683464C5"/>
    <w:rsid w:val="686C7104"/>
    <w:rsid w:val="68E93F12"/>
    <w:rsid w:val="69012A9A"/>
    <w:rsid w:val="699B5F44"/>
    <w:rsid w:val="69DA3900"/>
    <w:rsid w:val="69E71C90"/>
    <w:rsid w:val="6ABC3EF9"/>
    <w:rsid w:val="6B4355EC"/>
    <w:rsid w:val="6C0B7E34"/>
    <w:rsid w:val="6C467142"/>
    <w:rsid w:val="6CDB0838"/>
    <w:rsid w:val="6D0773A5"/>
    <w:rsid w:val="6E5F44BF"/>
    <w:rsid w:val="70366D4F"/>
    <w:rsid w:val="706606E2"/>
    <w:rsid w:val="70735EBF"/>
    <w:rsid w:val="71754026"/>
    <w:rsid w:val="71D13952"/>
    <w:rsid w:val="724A54B2"/>
    <w:rsid w:val="724A7260"/>
    <w:rsid w:val="7327134F"/>
    <w:rsid w:val="73593BFF"/>
    <w:rsid w:val="738A200A"/>
    <w:rsid w:val="745E6304"/>
    <w:rsid w:val="75121B9E"/>
    <w:rsid w:val="76407FE1"/>
    <w:rsid w:val="769D3E02"/>
    <w:rsid w:val="76B4073B"/>
    <w:rsid w:val="784634FC"/>
    <w:rsid w:val="7A205476"/>
    <w:rsid w:val="7A24483B"/>
    <w:rsid w:val="7AEA7832"/>
    <w:rsid w:val="7B5B68D6"/>
    <w:rsid w:val="7B8A242A"/>
    <w:rsid w:val="7C0861C2"/>
    <w:rsid w:val="7C183F2B"/>
    <w:rsid w:val="7C5238E1"/>
    <w:rsid w:val="7DBD4D8A"/>
    <w:rsid w:val="7E1A3F8B"/>
    <w:rsid w:val="7E4636BC"/>
    <w:rsid w:val="7E81225C"/>
    <w:rsid w:val="7E977CD1"/>
    <w:rsid w:val="7F4734A5"/>
    <w:rsid w:val="7F8B1063"/>
    <w:rsid w:val="7F9D30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28"/>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9"/>
    <w:qFormat/>
    <w:uiPriority w:val="0"/>
    <w:pPr>
      <w:keepNext/>
      <w:keepLines/>
      <w:spacing w:before="260" w:after="260" w:line="416" w:lineRule="auto"/>
      <w:outlineLvl w:val="2"/>
    </w:pPr>
    <w:rPr>
      <w:b/>
      <w:bCs/>
      <w:sz w:val="30"/>
      <w:szCs w:val="30"/>
    </w:rPr>
  </w:style>
  <w:style w:type="paragraph" w:styleId="5">
    <w:name w:val="heading 4"/>
    <w:basedOn w:val="1"/>
    <w:next w:val="1"/>
    <w:link w:val="30"/>
    <w:qFormat/>
    <w:uiPriority w:val="9"/>
    <w:pPr>
      <w:keepNext/>
      <w:keepLines/>
      <w:numPr>
        <w:ilvl w:val="3"/>
        <w:numId w:val="1"/>
      </w:numPr>
      <w:spacing w:before="280" w:after="290" w:line="376" w:lineRule="auto"/>
      <w:outlineLvl w:val="3"/>
    </w:pPr>
    <w:rPr>
      <w:rFonts w:ascii="宋体" w:hAnsi="宋体"/>
      <w:b/>
      <w:bCs/>
      <w:sz w:val="28"/>
      <w:szCs w:val="28"/>
    </w:rPr>
  </w:style>
  <w:style w:type="paragraph" w:styleId="6">
    <w:name w:val="heading 5"/>
    <w:basedOn w:val="1"/>
    <w:next w:val="1"/>
    <w:link w:val="31"/>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2"/>
    <w:qFormat/>
    <w:uiPriority w:val="9"/>
    <w:pPr>
      <w:keepNext/>
      <w:keepLines/>
      <w:numPr>
        <w:ilvl w:val="5"/>
        <w:numId w:val="1"/>
      </w:numPr>
      <w:spacing w:before="240" w:after="64" w:line="320" w:lineRule="auto"/>
      <w:outlineLvl w:val="5"/>
    </w:pPr>
    <w:rPr>
      <w:rFonts w:ascii="等线 Light" w:hAnsi="等线 Light" w:eastAsia="等线 Light"/>
      <w:b/>
      <w:bCs/>
      <w:sz w:val="24"/>
    </w:rPr>
  </w:style>
  <w:style w:type="paragraph" w:styleId="8">
    <w:name w:val="heading 7"/>
    <w:basedOn w:val="1"/>
    <w:next w:val="1"/>
    <w:link w:val="33"/>
    <w:qFormat/>
    <w:uiPriority w:val="9"/>
    <w:pPr>
      <w:keepNext/>
      <w:keepLines/>
      <w:numPr>
        <w:ilvl w:val="6"/>
        <w:numId w:val="1"/>
      </w:numPr>
      <w:spacing w:before="240" w:after="64" w:line="320" w:lineRule="auto"/>
      <w:outlineLvl w:val="6"/>
    </w:pPr>
    <w:rPr>
      <w:b/>
      <w:bCs/>
      <w:sz w:val="24"/>
    </w:rPr>
  </w:style>
  <w:style w:type="paragraph" w:styleId="9">
    <w:name w:val="heading 8"/>
    <w:basedOn w:val="1"/>
    <w:next w:val="1"/>
    <w:link w:val="34"/>
    <w:qFormat/>
    <w:uiPriority w:val="0"/>
    <w:pPr>
      <w:keepNext/>
      <w:keepLines/>
      <w:numPr>
        <w:ilvl w:val="7"/>
        <w:numId w:val="1"/>
      </w:numPr>
      <w:spacing w:before="240" w:after="64" w:line="320" w:lineRule="auto"/>
      <w:outlineLvl w:val="7"/>
    </w:pPr>
    <w:rPr>
      <w:rFonts w:ascii="等线 Light" w:hAnsi="等线 Light" w:eastAsia="等线 Light"/>
      <w:sz w:val="24"/>
    </w:rPr>
  </w:style>
  <w:style w:type="paragraph" w:styleId="10">
    <w:name w:val="heading 9"/>
    <w:basedOn w:val="1"/>
    <w:next w:val="1"/>
    <w:link w:val="35"/>
    <w:qFormat/>
    <w:uiPriority w:val="0"/>
    <w:pPr>
      <w:keepNext/>
      <w:keepLines/>
      <w:numPr>
        <w:ilvl w:val="8"/>
        <w:numId w:val="1"/>
      </w:numPr>
      <w:spacing w:before="240" w:after="64" w:line="320" w:lineRule="auto"/>
      <w:outlineLvl w:val="8"/>
    </w:pPr>
    <w:rPr>
      <w:rFonts w:ascii="等线 Light" w:hAnsi="等线 Light" w:eastAsia="等线 Light"/>
      <w:szCs w:val="21"/>
    </w:rPr>
  </w:style>
  <w:style w:type="character" w:default="1" w:styleId="23">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6"/>
    <w:qFormat/>
    <w:uiPriority w:val="99"/>
    <w:pPr>
      <w:spacing w:beforeLines="50" w:line="360" w:lineRule="auto"/>
      <w:ind w:firstLine="512" w:firstLineChars="200"/>
    </w:pPr>
    <w:rPr>
      <w:spacing w:val="8"/>
      <w:sz w:val="24"/>
      <w:szCs w:val="20"/>
    </w:rPr>
  </w:style>
  <w:style w:type="paragraph" w:styleId="12">
    <w:name w:val="Document Map"/>
    <w:basedOn w:val="1"/>
    <w:link w:val="67"/>
    <w:qFormat/>
    <w:uiPriority w:val="0"/>
    <w:rPr>
      <w:rFonts w:ascii="宋体"/>
      <w:sz w:val="18"/>
      <w:szCs w:val="18"/>
    </w:rPr>
  </w:style>
  <w:style w:type="paragraph" w:styleId="13">
    <w:name w:val="annotation text"/>
    <w:basedOn w:val="1"/>
    <w:link w:val="37"/>
    <w:unhideWhenUsed/>
    <w:qFormat/>
    <w:uiPriority w:val="0"/>
    <w:pPr>
      <w:jc w:val="left"/>
    </w:pPr>
    <w:rPr>
      <w:kern w:val="0"/>
      <w:sz w:val="20"/>
    </w:rPr>
  </w:style>
  <w:style w:type="paragraph" w:styleId="14">
    <w:name w:val="Plain Text"/>
    <w:basedOn w:val="1"/>
    <w:link w:val="38"/>
    <w:qFormat/>
    <w:uiPriority w:val="0"/>
    <w:rPr>
      <w:rFonts w:ascii="Calibri" w:hAnsi="Courier New"/>
      <w:szCs w:val="20"/>
    </w:rPr>
  </w:style>
  <w:style w:type="paragraph" w:styleId="15">
    <w:name w:val="Balloon Text"/>
    <w:basedOn w:val="1"/>
    <w:link w:val="39"/>
    <w:qFormat/>
    <w:uiPriority w:val="0"/>
    <w:rPr>
      <w:sz w:val="18"/>
      <w:szCs w:val="18"/>
    </w:rPr>
  </w:style>
  <w:style w:type="paragraph" w:styleId="16">
    <w:name w:val="footer"/>
    <w:basedOn w:val="1"/>
    <w:link w:val="40"/>
    <w:qFormat/>
    <w:uiPriority w:val="0"/>
    <w:pPr>
      <w:tabs>
        <w:tab w:val="center" w:pos="4153"/>
        <w:tab w:val="right" w:pos="8306"/>
      </w:tabs>
      <w:snapToGrid w:val="0"/>
      <w:jc w:val="left"/>
    </w:pPr>
    <w:rPr>
      <w:sz w:val="18"/>
      <w:szCs w:val="18"/>
    </w:rPr>
  </w:style>
  <w:style w:type="paragraph" w:styleId="17">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annotation subject"/>
    <w:basedOn w:val="13"/>
    <w:next w:val="13"/>
    <w:link w:val="66"/>
    <w:qFormat/>
    <w:uiPriority w:val="0"/>
    <w:rPr>
      <w:b/>
      <w:bCs/>
      <w:kern w:val="2"/>
      <w:sz w:val="21"/>
    </w:rPr>
  </w:style>
  <w:style w:type="table" w:styleId="21">
    <w:name w:val="Table Grid"/>
    <w:basedOn w:val="2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
    <w:name w:val="Table Theme"/>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22"/>
    <w:rPr>
      <w:b/>
      <w:bCs/>
    </w:rPr>
  </w:style>
  <w:style w:type="character" w:styleId="25">
    <w:name w:val="Hyperlink"/>
    <w:qFormat/>
    <w:uiPriority w:val="0"/>
    <w:rPr>
      <w:color w:val="0563C1"/>
      <w:u w:val="single"/>
    </w:rPr>
  </w:style>
  <w:style w:type="character" w:styleId="26">
    <w:name w:val="annotation reference"/>
    <w:unhideWhenUsed/>
    <w:qFormat/>
    <w:uiPriority w:val="99"/>
    <w:rPr>
      <w:sz w:val="21"/>
      <w:szCs w:val="21"/>
    </w:rPr>
  </w:style>
  <w:style w:type="character" w:customStyle="1" w:styleId="27">
    <w:name w:val="标题 1 字符"/>
    <w:link w:val="2"/>
    <w:qFormat/>
    <w:uiPriority w:val="99"/>
    <w:rPr>
      <w:b/>
      <w:bCs/>
      <w:kern w:val="44"/>
      <w:sz w:val="44"/>
      <w:szCs w:val="44"/>
    </w:rPr>
  </w:style>
  <w:style w:type="character" w:customStyle="1" w:styleId="28">
    <w:name w:val="标题 2 字符"/>
    <w:link w:val="3"/>
    <w:qFormat/>
    <w:uiPriority w:val="0"/>
    <w:rPr>
      <w:rFonts w:ascii="等线 Light" w:hAnsi="等线 Light" w:eastAsia="等线 Light" w:cs="Times New Roman"/>
      <w:b/>
      <w:bCs/>
      <w:kern w:val="2"/>
      <w:sz w:val="32"/>
      <w:szCs w:val="32"/>
    </w:rPr>
  </w:style>
  <w:style w:type="character" w:customStyle="1" w:styleId="29">
    <w:name w:val="标题 3 字符"/>
    <w:link w:val="4"/>
    <w:qFormat/>
    <w:uiPriority w:val="0"/>
    <w:rPr>
      <w:b/>
      <w:bCs/>
      <w:kern w:val="2"/>
      <w:sz w:val="30"/>
      <w:szCs w:val="30"/>
    </w:rPr>
  </w:style>
  <w:style w:type="character" w:customStyle="1" w:styleId="30">
    <w:name w:val="标题 4 字符"/>
    <w:link w:val="5"/>
    <w:qFormat/>
    <w:uiPriority w:val="0"/>
    <w:rPr>
      <w:rFonts w:ascii="宋体" w:hAnsi="宋体"/>
      <w:b/>
      <w:bCs/>
      <w:kern w:val="2"/>
      <w:sz w:val="28"/>
      <w:szCs w:val="28"/>
    </w:rPr>
  </w:style>
  <w:style w:type="character" w:customStyle="1" w:styleId="31">
    <w:name w:val="标题 5 字符"/>
    <w:link w:val="6"/>
    <w:qFormat/>
    <w:uiPriority w:val="0"/>
    <w:rPr>
      <w:b/>
      <w:bCs/>
      <w:kern w:val="2"/>
      <w:sz w:val="28"/>
      <w:szCs w:val="28"/>
    </w:rPr>
  </w:style>
  <w:style w:type="character" w:customStyle="1" w:styleId="32">
    <w:name w:val="标题 6 字符"/>
    <w:link w:val="7"/>
    <w:semiHidden/>
    <w:qFormat/>
    <w:uiPriority w:val="0"/>
    <w:rPr>
      <w:rFonts w:ascii="等线 Light" w:hAnsi="等线 Light" w:eastAsia="等线 Light"/>
      <w:b/>
      <w:bCs/>
      <w:kern w:val="2"/>
      <w:sz w:val="24"/>
      <w:szCs w:val="24"/>
    </w:rPr>
  </w:style>
  <w:style w:type="character" w:customStyle="1" w:styleId="33">
    <w:name w:val="标题 7 字符"/>
    <w:link w:val="8"/>
    <w:semiHidden/>
    <w:qFormat/>
    <w:uiPriority w:val="0"/>
    <w:rPr>
      <w:b/>
      <w:bCs/>
      <w:kern w:val="2"/>
      <w:sz w:val="24"/>
      <w:szCs w:val="24"/>
    </w:rPr>
  </w:style>
  <w:style w:type="character" w:customStyle="1" w:styleId="34">
    <w:name w:val="标题 8 字符"/>
    <w:link w:val="9"/>
    <w:semiHidden/>
    <w:qFormat/>
    <w:uiPriority w:val="0"/>
    <w:rPr>
      <w:rFonts w:ascii="等线 Light" w:hAnsi="等线 Light" w:eastAsia="等线 Light"/>
      <w:kern w:val="2"/>
      <w:sz w:val="24"/>
      <w:szCs w:val="24"/>
    </w:rPr>
  </w:style>
  <w:style w:type="character" w:customStyle="1" w:styleId="35">
    <w:name w:val="标题 9 字符"/>
    <w:link w:val="10"/>
    <w:semiHidden/>
    <w:qFormat/>
    <w:uiPriority w:val="0"/>
    <w:rPr>
      <w:rFonts w:ascii="等线 Light" w:hAnsi="等线 Light" w:eastAsia="等线 Light"/>
      <w:kern w:val="2"/>
      <w:sz w:val="21"/>
      <w:szCs w:val="21"/>
    </w:rPr>
  </w:style>
  <w:style w:type="character" w:customStyle="1" w:styleId="36">
    <w:name w:val="正文缩进 字符"/>
    <w:link w:val="11"/>
    <w:qFormat/>
    <w:uiPriority w:val="99"/>
    <w:rPr>
      <w:spacing w:val="8"/>
      <w:kern w:val="2"/>
      <w:sz w:val="24"/>
      <w:lang w:val="en-US" w:eastAsia="zh-CN"/>
    </w:rPr>
  </w:style>
  <w:style w:type="character" w:customStyle="1" w:styleId="37">
    <w:name w:val="批注文字 字符1"/>
    <w:link w:val="13"/>
    <w:qFormat/>
    <w:uiPriority w:val="0"/>
    <w:rPr>
      <w:szCs w:val="24"/>
    </w:rPr>
  </w:style>
  <w:style w:type="character" w:customStyle="1" w:styleId="38">
    <w:name w:val="纯文本 字符"/>
    <w:link w:val="14"/>
    <w:qFormat/>
    <w:uiPriority w:val="0"/>
    <w:rPr>
      <w:rFonts w:ascii="Calibri" w:hAnsi="Courier New"/>
      <w:kern w:val="2"/>
      <w:sz w:val="21"/>
    </w:rPr>
  </w:style>
  <w:style w:type="character" w:customStyle="1" w:styleId="39">
    <w:name w:val="批注框文本 字符"/>
    <w:link w:val="15"/>
    <w:qFormat/>
    <w:uiPriority w:val="0"/>
    <w:rPr>
      <w:kern w:val="2"/>
      <w:sz w:val="18"/>
      <w:szCs w:val="18"/>
    </w:rPr>
  </w:style>
  <w:style w:type="character" w:customStyle="1" w:styleId="40">
    <w:name w:val="页脚 字符1"/>
    <w:link w:val="16"/>
    <w:qFormat/>
    <w:uiPriority w:val="0"/>
    <w:rPr>
      <w:kern w:val="2"/>
      <w:sz w:val="18"/>
      <w:szCs w:val="18"/>
    </w:rPr>
  </w:style>
  <w:style w:type="character" w:customStyle="1" w:styleId="41">
    <w:name w:val="页眉 字符"/>
    <w:link w:val="17"/>
    <w:qFormat/>
    <w:uiPriority w:val="0"/>
    <w:rPr>
      <w:kern w:val="2"/>
      <w:sz w:val="18"/>
      <w:szCs w:val="18"/>
    </w:rPr>
  </w:style>
  <w:style w:type="character" w:customStyle="1" w:styleId="42">
    <w:name w:val="已访问的超链接1"/>
    <w:qFormat/>
    <w:uiPriority w:val="0"/>
    <w:rPr>
      <w:color w:val="800080"/>
      <w:u w:val="single"/>
    </w:rPr>
  </w:style>
  <w:style w:type="character" w:customStyle="1" w:styleId="43">
    <w:name w:val="正文（首行缩进2字符） Char"/>
    <w:link w:val="44"/>
    <w:qFormat/>
    <w:uiPriority w:val="0"/>
    <w:rPr>
      <w:kern w:val="2"/>
      <w:sz w:val="24"/>
      <w:szCs w:val="24"/>
    </w:rPr>
  </w:style>
  <w:style w:type="paragraph" w:customStyle="1" w:styleId="44">
    <w:name w:val="正文（首行缩进2字符）"/>
    <w:basedOn w:val="1"/>
    <w:link w:val="43"/>
    <w:qFormat/>
    <w:uiPriority w:val="0"/>
    <w:pPr>
      <w:spacing w:line="360" w:lineRule="auto"/>
      <w:ind w:firstLine="480" w:firstLineChars="200"/>
    </w:pPr>
    <w:rPr>
      <w:sz w:val="24"/>
    </w:rPr>
  </w:style>
  <w:style w:type="character" w:customStyle="1" w:styleId="45">
    <w:name w:val="段落 Char1"/>
    <w:link w:val="46"/>
    <w:qFormat/>
    <w:uiPriority w:val="0"/>
    <w:rPr>
      <w:rFonts w:eastAsia="仿宋_GB2312"/>
      <w:sz w:val="24"/>
      <w:szCs w:val="24"/>
      <w:lang w:val="en-US" w:eastAsia="zh-CN" w:bidi="ar-SA"/>
    </w:rPr>
  </w:style>
  <w:style w:type="paragraph" w:customStyle="1" w:styleId="46">
    <w:name w:val="段落"/>
    <w:link w:val="45"/>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7">
    <w:name w:val="正文（安华金和） Char"/>
    <w:link w:val="48"/>
    <w:qFormat/>
    <w:uiPriority w:val="0"/>
    <w:rPr>
      <w:rFonts w:ascii="Arial" w:hAnsi="Arial"/>
      <w:sz w:val="21"/>
      <w:szCs w:val="21"/>
      <w:lang w:val="en-US" w:eastAsia="zh-CN" w:bidi="ar-SA"/>
    </w:rPr>
  </w:style>
  <w:style w:type="paragraph" w:customStyle="1" w:styleId="48">
    <w:name w:val="正文（安华金和）"/>
    <w:link w:val="47"/>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9">
    <w:name w:val="页脚 字符"/>
    <w:qFormat/>
    <w:uiPriority w:val="99"/>
  </w:style>
  <w:style w:type="character" w:customStyle="1" w:styleId="50">
    <w:name w:val="列出段落 Char"/>
    <w:link w:val="51"/>
    <w:qFormat/>
    <w:uiPriority w:val="34"/>
    <w:rPr>
      <w:rFonts w:ascii="等线" w:hAnsi="等线" w:eastAsia="等线"/>
      <w:kern w:val="2"/>
      <w:sz w:val="21"/>
      <w:szCs w:val="22"/>
    </w:rPr>
  </w:style>
  <w:style w:type="paragraph" w:customStyle="1" w:styleId="51">
    <w:name w:val="列出段落1"/>
    <w:basedOn w:val="1"/>
    <w:link w:val="50"/>
    <w:qFormat/>
    <w:uiPriority w:val="34"/>
    <w:pPr>
      <w:ind w:firstLine="420" w:firstLineChars="200"/>
    </w:pPr>
    <w:rPr>
      <w:rFonts w:ascii="等线" w:hAnsi="等线" w:eastAsia="等线"/>
      <w:szCs w:val="22"/>
    </w:rPr>
  </w:style>
  <w:style w:type="paragraph" w:customStyle="1" w:styleId="52">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3">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4">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5">
    <w:name w:val="_Style 27"/>
    <w:basedOn w:val="1"/>
    <w:next w:val="51"/>
    <w:qFormat/>
    <w:uiPriority w:val="34"/>
    <w:pPr>
      <w:widowControl/>
      <w:spacing w:line="240" w:lineRule="atLeast"/>
      <w:ind w:firstLine="420" w:firstLineChars="200"/>
    </w:pPr>
    <w:rPr>
      <w:rFonts w:ascii="Arial" w:hAnsi="Arial"/>
      <w:kern w:val="0"/>
      <w:szCs w:val="21"/>
    </w:rPr>
  </w:style>
  <w:style w:type="paragraph" w:customStyle="1" w:styleId="56">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7">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8">
    <w:name w:val="标题 4（DBSec）"/>
    <w:basedOn w:val="5"/>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59">
    <w:name w:val="标题 3（DBSec）"/>
    <w:basedOn w:val="4"/>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60">
    <w:name w:val="标题 1（DBSec）"/>
    <w:basedOn w:val="2"/>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rPr>
  </w:style>
  <w:style w:type="paragraph" w:customStyle="1" w:styleId="61">
    <w:name w:val="彩色列表 - 着色 11"/>
    <w:basedOn w:val="1"/>
    <w:qFormat/>
    <w:uiPriority w:val="34"/>
    <w:pPr>
      <w:spacing w:line="360" w:lineRule="auto"/>
      <w:ind w:firstLine="420" w:firstLineChars="200"/>
    </w:pPr>
    <w:rPr>
      <w:rFonts w:ascii="Arial" w:hAnsi="Arial"/>
      <w:szCs w:val="21"/>
    </w:rPr>
  </w:style>
  <w:style w:type="paragraph" w:customStyle="1" w:styleId="62">
    <w:name w:val="表格标注（安华金和）"/>
    <w:basedOn w:val="52"/>
    <w:next w:val="1"/>
    <w:qFormat/>
    <w:uiPriority w:val="0"/>
    <w:pPr>
      <w:numPr>
        <w:ilvl w:val="7"/>
      </w:numPr>
    </w:pPr>
  </w:style>
  <w:style w:type="paragraph" w:customStyle="1" w:styleId="63">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4">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5">
    <w:name w:val="批注文字 字符"/>
    <w:qFormat/>
    <w:uiPriority w:val="99"/>
    <w:rPr>
      <w:kern w:val="2"/>
      <w:sz w:val="21"/>
      <w:szCs w:val="24"/>
    </w:rPr>
  </w:style>
  <w:style w:type="character" w:customStyle="1" w:styleId="66">
    <w:name w:val="批注主题 字符"/>
    <w:basedOn w:val="37"/>
    <w:link w:val="19"/>
    <w:qFormat/>
    <w:uiPriority w:val="0"/>
    <w:rPr>
      <w:b/>
      <w:bCs/>
      <w:kern w:val="2"/>
      <w:sz w:val="21"/>
      <w:szCs w:val="24"/>
    </w:rPr>
  </w:style>
  <w:style w:type="character" w:customStyle="1" w:styleId="67">
    <w:name w:val="文档结构图 字符"/>
    <w:basedOn w:val="23"/>
    <w:link w:val="12"/>
    <w:qFormat/>
    <w:uiPriority w:val="0"/>
    <w:rPr>
      <w:rFonts w:ascii="宋体"/>
      <w:kern w:val="2"/>
      <w:sz w:val="18"/>
      <w:szCs w:val="18"/>
    </w:rPr>
  </w:style>
  <w:style w:type="paragraph" w:styleId="68">
    <w:name w:val="List Paragraph"/>
    <w:basedOn w:val="1"/>
    <w:qFormat/>
    <w:uiPriority w:val="34"/>
    <w:pPr>
      <w:ind w:firstLine="420" w:firstLineChars="200"/>
    </w:pPr>
  </w:style>
  <w:style w:type="character" w:customStyle="1" w:styleId="69">
    <w:name w:val="font21"/>
    <w:basedOn w:val="23"/>
    <w:qFormat/>
    <w:uiPriority w:val="0"/>
    <w:rPr>
      <w:rFonts w:hint="eastAsia" w:ascii="宋体" w:hAnsi="宋体" w:eastAsia="宋体" w:cs="宋体"/>
      <w:color w:val="000000"/>
      <w:sz w:val="24"/>
      <w:szCs w:val="24"/>
      <w:u w:val="none"/>
    </w:rPr>
  </w:style>
  <w:style w:type="character" w:customStyle="1" w:styleId="70">
    <w:name w:val="font31"/>
    <w:basedOn w:val="23"/>
    <w:qFormat/>
    <w:uiPriority w:val="0"/>
    <w:rPr>
      <w:rFonts w:hint="eastAsia" w:ascii="宋体" w:hAnsi="宋体" w:eastAsia="宋体" w:cs="宋体"/>
      <w:color w:val="000000"/>
      <w:sz w:val="24"/>
      <w:szCs w:val="24"/>
      <w:u w:val="none"/>
    </w:rPr>
  </w:style>
  <w:style w:type="character" w:customStyle="1" w:styleId="71">
    <w:name w:val="font11"/>
    <w:basedOn w:val="2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3610</Words>
  <Characters>3661</Characters>
  <Lines>20</Lines>
  <Paragraphs>5</Paragraphs>
  <TotalTime>12</TotalTime>
  <ScaleCrop>false</ScaleCrop>
  <LinksUpToDate>false</LinksUpToDate>
  <CharactersWithSpaces>3677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2023-04-10T08:28:00Z</dcterms:created>
  <dc:creator>陈永辉</dc:creator>
  <cp:lastModifiedBy>LINXL</cp:lastModifiedBy>
  <cp:lastPrinted>2023-10-07T07:43:00Z</cp:lastPrinted>
  <dcterms:modified xsi:type="dcterms:W3CDTF">2024-10-24T06:58:33Z</dcterms:modified>
  <dc:title>1</dc:title>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E6BF652D54F944798887341195E59480</vt:lpwstr>
  </property>
</Properties>
</file>