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A46">
      <w:pPr>
        <w:spacing w:before="624" w:beforeLines="200" w:after="312" w:afterLines="100" w:line="360" w:lineRule="auto"/>
        <w:jc w:val="center"/>
        <w:rPr>
          <w:rFonts w:ascii="微软雅黑" w:hAnsi="微软雅黑" w:eastAsia="微软雅黑" w:cs="微软雅黑"/>
          <w:b/>
          <w:sz w:val="44"/>
          <w:szCs w:val="30"/>
        </w:rPr>
      </w:pPr>
      <w:r>
        <w:rPr>
          <w:rFonts w:hint="eastAsia" w:ascii="微软雅黑" w:hAnsi="微软雅黑" w:eastAsia="微软雅黑" w:cs="微软雅黑"/>
          <w:b/>
          <w:sz w:val="44"/>
          <w:szCs w:val="30"/>
        </w:rPr>
        <w:t>不可收费类耗材管控模块项目需求</w:t>
      </w:r>
    </w:p>
    <w:p w14:paraId="3E0FFC9A">
      <w:pPr>
        <w:pStyle w:val="72"/>
        <w:rPr>
          <w:rFonts w:hint="default"/>
        </w:rPr>
      </w:pPr>
      <w:r>
        <w:t>项目名称</w:t>
      </w:r>
    </w:p>
    <w:p w14:paraId="4A0CBED9">
      <w:pPr>
        <w:snapToGrid w:val="0"/>
        <w:spacing w:line="360" w:lineRule="auto"/>
        <w:ind w:left="431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项目名称：不可收费类耗材管控模块</w:t>
      </w:r>
    </w:p>
    <w:p w14:paraId="4111BEE1">
      <w:pPr>
        <w:pStyle w:val="72"/>
        <w:rPr>
          <w:rFonts w:hint="default"/>
        </w:rPr>
      </w:pPr>
      <w:r>
        <w:rPr>
          <w:rFonts w:hint="eastAsia"/>
          <w:lang w:val="en-US" w:eastAsia="zh-CN"/>
        </w:rPr>
        <w:t>系统</w:t>
      </w:r>
      <w:r>
        <w:t>内容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205"/>
        <w:gridCol w:w="5297"/>
      </w:tblGrid>
      <w:tr w14:paraId="42A6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AA1F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FC09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系统名称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0749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功能模块</w:t>
            </w:r>
          </w:p>
        </w:tc>
      </w:tr>
      <w:tr w14:paraId="27E6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469D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061A">
            <w:pPr>
              <w:snapToGrid w:val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不可收费类耗材管控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模块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DBBC">
            <w:pPr>
              <w:snapToGrid w:val="0"/>
              <w:rPr>
                <w:rFonts w:ascii="微软雅黑" w:hAnsi="微软雅黑" w:eastAsia="微软雅黑" w:cs="微软雅黑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微软雅黑"/>
              </w:rPr>
              <w:t>详见详细功能描述中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不可收费类耗材管控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模块</w:t>
            </w:r>
            <w:r>
              <w:rPr>
                <w:rFonts w:hint="eastAsia" w:ascii="微软雅黑" w:hAnsi="微软雅黑" w:eastAsia="微软雅黑" w:cs="微软雅黑"/>
              </w:rPr>
              <w:t>细项</w:t>
            </w:r>
          </w:p>
        </w:tc>
      </w:tr>
      <w:tr w14:paraId="7940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D29D">
            <w:pPr>
              <w:snapToGrid w:val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35A4">
            <w:pPr>
              <w:snapToGrid w:val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不可收费类耗材入表模块</w:t>
            </w:r>
          </w:p>
        </w:tc>
        <w:tc>
          <w:tcPr>
            <w:tcW w:w="5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DB5">
            <w:pPr>
              <w:snapToGrid w:val="0"/>
              <w:rPr>
                <w:rFonts w:ascii="微软雅黑" w:hAnsi="微软雅黑" w:eastAsia="微软雅黑" w:cs="微软雅黑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微软雅黑"/>
              </w:rPr>
              <w:t>详见详细功能描述中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不可收费类耗材入表模块</w:t>
            </w:r>
            <w:r>
              <w:rPr>
                <w:rFonts w:hint="eastAsia" w:ascii="微软雅黑" w:hAnsi="微软雅黑" w:eastAsia="微软雅黑" w:cs="微软雅黑"/>
              </w:rPr>
              <w:t>细项</w:t>
            </w:r>
          </w:p>
        </w:tc>
      </w:tr>
    </w:tbl>
    <w:p w14:paraId="6D95CB9E">
      <w:pPr>
        <w:pStyle w:val="5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7BE2A842">
      <w:pPr>
        <w:pStyle w:val="5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5D8DEB18">
      <w:pPr>
        <w:pStyle w:val="5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2D269788">
      <w:pPr>
        <w:pStyle w:val="54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微软雅黑" w:hAnsi="微软雅黑" w:eastAsia="微软雅黑" w:cs="微软雅黑"/>
          <w:b/>
          <w:bCs/>
          <w:vanish/>
          <w:kern w:val="44"/>
          <w:szCs w:val="44"/>
        </w:rPr>
      </w:pPr>
    </w:p>
    <w:p w14:paraId="32F46CEF">
      <w:pPr>
        <w:pStyle w:val="70"/>
        <w:numPr>
          <w:ilvl w:val="2"/>
          <w:numId w:val="0"/>
        </w:numPr>
        <w:rPr>
          <w:rFonts w:hint="default"/>
        </w:rPr>
      </w:pPr>
    </w:p>
    <w:p w14:paraId="122FADF3">
      <w:pPr>
        <w:pStyle w:val="72"/>
        <w:rPr>
          <w:rFonts w:hint="default"/>
        </w:rPr>
      </w:pPr>
      <w:r>
        <w:rPr>
          <w:rFonts w:hint="eastAsia"/>
          <w:lang w:val="en-US" w:eastAsia="zh-CN"/>
        </w:rPr>
        <w:t>详细配置参数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244"/>
      </w:tblGrid>
      <w:tr w14:paraId="0DF1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6B2">
            <w:pPr>
              <w:widowControl/>
              <w:snapToGrid w:val="0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bookmarkStart w:id="0" w:name="_6.1.1、大数据服务器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不可收费类耗材管控模块细项</w:t>
            </w:r>
          </w:p>
        </w:tc>
      </w:tr>
      <w:tr w14:paraId="1604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8AE6">
            <w:pPr>
              <w:widowControl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1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A7C1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不可收费类耗材数据集</w:t>
            </w:r>
          </w:p>
        </w:tc>
      </w:tr>
      <w:tr w14:paraId="575EA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9638">
            <w:pPr>
              <w:widowControl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2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942B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不可收费类耗材收费管理模块</w:t>
            </w:r>
          </w:p>
        </w:tc>
      </w:tr>
      <w:tr w14:paraId="6511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0AD7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C7C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不可收费类耗材自动化判定模块</w:t>
            </w:r>
          </w:p>
        </w:tc>
      </w:tr>
    </w:tbl>
    <w:p w14:paraId="32D8FFEE">
      <w:pPr>
        <w:pStyle w:val="71"/>
        <w:rPr>
          <w:rFonts w:hint="default"/>
        </w:rPr>
      </w:pPr>
      <w:bookmarkStart w:id="1" w:name="_6.1.2、容器服务器"/>
      <w:bookmarkEnd w:id="1"/>
      <w:r>
        <w:rPr>
          <w:rFonts w:hint="default"/>
        </w:rPr>
        <w:t>不可收费类耗材数据集</w:t>
      </w:r>
    </w:p>
    <w:p w14:paraId="471A8710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数据集管理功能：按照院方的要求，搭建不可收费类耗材数据集，并提供数据集管理工具供临床工作人员使用。相应的数据变动应以数据接口形式准备好，以备短信提醒功能或者类似的其它模块进行使用。</w:t>
      </w:r>
    </w:p>
    <w:p w14:paraId="315B6CB2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数据集自动化采集对接：对接包括但不限于SPD项目组数据库等的数据流入接口，完成数据的自动化同步录入。</w:t>
      </w:r>
    </w:p>
    <w:p w14:paraId="0C031968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建设</w:t>
      </w:r>
      <w:r>
        <w:rPr>
          <w:rFonts w:hint="default"/>
        </w:rPr>
        <w:t>不可收费类耗材</w:t>
      </w:r>
      <w:r>
        <w:rPr>
          <w:rFonts w:hint="eastAsia"/>
          <w:lang w:val="en-US" w:eastAsia="zh-CN"/>
        </w:rPr>
        <w:t>入库审核机制：同步</w:t>
      </w:r>
      <w:r>
        <w:rPr>
          <w:rFonts w:hint="default"/>
        </w:rPr>
        <w:t>不可收费类耗材</w:t>
      </w:r>
      <w:r>
        <w:rPr>
          <w:rFonts w:hint="eastAsia"/>
          <w:lang w:val="en-US" w:eastAsia="zh-CN"/>
        </w:rPr>
        <w:t>审核的院内流程，明确定义不同分组的耗材的不可收费场景，搭建</w:t>
      </w:r>
      <w:r>
        <w:rPr>
          <w:rFonts w:hint="default"/>
        </w:rPr>
        <w:t>不可收费类耗材</w:t>
      </w:r>
      <w:r>
        <w:rPr>
          <w:rFonts w:hint="eastAsia"/>
          <w:lang w:val="en-US" w:eastAsia="zh-CN"/>
        </w:rPr>
        <w:t>入库审核流程，必要的话建设其他辅助数据库完成入库审核。</w:t>
      </w:r>
    </w:p>
    <w:p w14:paraId="769DD25C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不可收费类耗材收费管理模块</w:t>
      </w:r>
    </w:p>
    <w:p w14:paraId="72FEB3F4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收费模块对接：按照院方的要求，对接收费模块，获取即时收费数据，同步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不可收费类耗材自动化判定</w:t>
      </w:r>
      <w:r>
        <w:rPr>
          <w:rFonts w:hint="eastAsia" w:cs="微软雅黑"/>
          <w:color w:val="000000"/>
          <w:szCs w:val="21"/>
          <w:lang w:val="en-US" w:eastAsia="zh-CN"/>
        </w:rPr>
        <w:t>，并回传给收费系统相关判定</w:t>
      </w:r>
      <w:r>
        <w:rPr>
          <w:rFonts w:hint="eastAsia"/>
          <w:lang w:val="en-US" w:eastAsia="zh-CN"/>
        </w:rPr>
        <w:t>。</w:t>
      </w:r>
    </w:p>
    <w:p w14:paraId="2F0D55A0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不可收费类耗材自动化判定模块</w:t>
      </w:r>
    </w:p>
    <w:p w14:paraId="1668AB5C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自动化判定模块结构一览：可大致按照以下架构构建不可收费类耗材自动化判定模块（仅供参考）。</w:t>
      </w:r>
    </w:p>
    <w:p w14:paraId="1E577492">
      <w:pPr>
        <w:pStyle w:val="70"/>
        <w:numPr>
          <w:ilvl w:val="2"/>
          <w:numId w:val="0"/>
        </w:numPr>
        <w:bidi w:val="0"/>
        <w:ind w:left="567" w:leftChars="0"/>
        <w:jc w:val="center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509135" cy="2502535"/>
            <wp:effectExtent l="0" t="0" r="5715" b="12065"/>
            <wp:docPr id="1" name="图片 1" descr="不可收费类耗材管控模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可收费类耗材管控模块"/>
                    <pic:cNvPicPr>
                      <a:picLocks noChangeAspect="1"/>
                    </pic:cNvPicPr>
                  </pic:nvPicPr>
                  <pic:blipFill>
                    <a:blip r:embed="rId5"/>
                    <a:srcRect r="1280" b="22667"/>
                    <a:stretch>
                      <a:fillRect/>
                    </a:stretch>
                  </pic:blipFill>
                  <pic:spPr>
                    <a:xfrm>
                      <a:off x="0" y="0"/>
                      <a:ext cx="450913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A8FA">
      <w:pPr>
        <w:pStyle w:val="13"/>
        <w:numPr>
          <w:ilvl w:val="0"/>
          <w:numId w:val="0"/>
        </w:numPr>
        <w:bidi w:val="0"/>
        <w:ind w:left="567" w:leftChars="0"/>
        <w:jc w:val="center"/>
        <w:rPr>
          <w:rFonts w:hint="eastAsia" w:eastAsia="微软雅黑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 xml:space="preserve"> 不可收费类耗材自动化判定模块</w:t>
      </w:r>
    </w:p>
    <w:p w14:paraId="63070138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判定范围：按照院方要求，将所有</w:t>
      </w:r>
      <w:r>
        <w:rPr>
          <w:rFonts w:hint="eastAsia"/>
          <w:lang w:eastAsia="zh-CN"/>
        </w:rPr>
        <w:t>不可收费类耗材</w:t>
      </w:r>
      <w:r>
        <w:rPr>
          <w:rFonts w:hint="eastAsia"/>
          <w:lang w:val="en-US" w:eastAsia="zh-CN"/>
        </w:rPr>
        <w:t>纳入管控。考虑到实际不可收费类耗材管理，应按照先后顺序将“高值耗材（一物一码）、手术室耗材、可多次使用耗材、其它一般性耗材”逐步纳入不可收费类耗材监控管理，目标是完成全院不可收费类耗材的收费管理。</w:t>
      </w:r>
    </w:p>
    <w:p w14:paraId="6443F994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回传即时性：收费系统因其特殊性，供应商在构建模块时需考虑回传的即时性，保证响应时间。按照院方要求，必要时需要考虑通过重构数据库之类的方案，在0.05s的响应时间内完成自动化判定，充分考虑可能的意外状况，不能影响实际收费业务。</w:t>
      </w:r>
    </w:p>
    <w:p w14:paraId="1C75091A">
      <w:pPr>
        <w:pStyle w:val="70"/>
        <w:numPr>
          <w:ilvl w:val="2"/>
          <w:numId w:val="0"/>
        </w:numPr>
        <w:bidi w:val="0"/>
        <w:ind w:left="567" w:leftChars="0"/>
        <w:rPr>
          <w:rFonts w:hint="default"/>
        </w:rPr>
      </w:pP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244"/>
      </w:tblGrid>
      <w:tr w14:paraId="1881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F58">
            <w:pPr>
              <w:widowControl/>
              <w:snapToGrid w:val="0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</w:rPr>
              <w:t>不可收费类耗材入表模块细项</w:t>
            </w:r>
          </w:p>
        </w:tc>
      </w:tr>
      <w:tr w14:paraId="040C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A355">
            <w:pPr>
              <w:widowControl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1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7810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不可收费类耗材收费记录表</w:t>
            </w:r>
          </w:p>
        </w:tc>
      </w:tr>
      <w:tr w14:paraId="258D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466D">
            <w:pPr>
              <w:widowControl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2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B62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耗材汇总收费表</w:t>
            </w:r>
          </w:p>
        </w:tc>
      </w:tr>
      <w:tr w14:paraId="19B5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2869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A172">
            <w:pPr>
              <w:widowControl/>
              <w:snapToGrid w:val="0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其它功能模块</w:t>
            </w:r>
          </w:p>
        </w:tc>
      </w:tr>
    </w:tbl>
    <w:p w14:paraId="3136FE07">
      <w:pPr>
        <w:pStyle w:val="70"/>
        <w:numPr>
          <w:ilvl w:val="2"/>
          <w:numId w:val="0"/>
        </w:numPr>
        <w:bidi w:val="0"/>
        <w:ind w:left="567" w:leftChars="0"/>
        <w:rPr>
          <w:rFonts w:hint="default"/>
        </w:rPr>
      </w:pPr>
    </w:p>
    <w:p w14:paraId="7D911113">
      <w:pPr>
        <w:pStyle w:val="71"/>
        <w:numPr>
          <w:ilvl w:val="1"/>
          <w:numId w:val="4"/>
        </w:numPr>
        <w:bidi w:val="0"/>
        <w:rPr>
          <w:rFonts w:hint="default"/>
        </w:rPr>
      </w:pP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不可收费类耗材收费记录表</w:t>
      </w:r>
    </w:p>
    <w:p w14:paraId="3A2CF5C0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表单功能：参考院内可收费耗材记录表，完成各项参数的表单功能搭建。并按照院方要求进行UI等的调整，以求和院内可收费耗材记录表维持功能以及形态的统一。</w:t>
      </w:r>
    </w:p>
    <w:p w14:paraId="6D8F0C24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表单权限控制：按照不同的账号级别进行基础的访问控制设计。</w:t>
      </w:r>
    </w:p>
    <w:p w14:paraId="6D732F62">
      <w:pPr>
        <w:pStyle w:val="71"/>
        <w:bidi w:val="0"/>
        <w:rPr>
          <w:rFonts w:hint="default"/>
        </w:rPr>
      </w:pP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耗材汇总收费表</w:t>
      </w:r>
    </w:p>
    <w:p w14:paraId="389324FD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表单功能：按照院方要求，汇总合并可收费耗材记录表和不可收费类耗材收费记录表，包括但不限于不可收费耗材进销存总表、不可收费耗材进销存科室表、可重复使用耗材使用明细表、手术平台类科室材料使用明细表、手术平台类科室材料使用汇总表及打包耗材进销存核查表等（具体的清单筛选目录</w:t>
      </w:r>
      <w:bookmarkStart w:id="2" w:name="_GoBack"/>
      <w:bookmarkEnd w:id="2"/>
      <w:r>
        <w:rPr>
          <w:rFonts w:hint="eastAsia"/>
          <w:lang w:val="en-US" w:eastAsia="zh-CN"/>
        </w:rPr>
        <w:t>由院方提供）。完成各项参数的表单功能搭建，完成筛选系统搭建，并按照院方要求进行多项汇总指标以及模块UI等的调整。</w:t>
      </w:r>
    </w:p>
    <w:p w14:paraId="68636D20">
      <w:pPr>
        <w:pStyle w:val="70"/>
        <w:bidi w:val="0"/>
        <w:rPr>
          <w:rFonts w:hint="default"/>
        </w:rPr>
      </w:pPr>
      <w:r>
        <w:rPr>
          <w:rFonts w:hint="eastAsia"/>
          <w:lang w:val="en-US" w:eastAsia="zh-CN"/>
        </w:rPr>
        <w:t>表单权限控制：按照不同的账号级别进行基础的访问控制设计。</w:t>
      </w:r>
    </w:p>
    <w:p w14:paraId="40A90E2D">
      <w:pPr>
        <w:pStyle w:val="71"/>
        <w:bidi w:val="0"/>
        <w:rPr>
          <w:rFonts w:hint="default"/>
        </w:rPr>
      </w:pPr>
      <w:r>
        <w:rPr>
          <w:rFonts w:hint="eastAsia"/>
          <w:lang w:val="en-US" w:eastAsia="zh-CN"/>
        </w:rPr>
        <w:t>其它功能模块</w:t>
      </w:r>
    </w:p>
    <w:p w14:paraId="76E09AC6">
      <w:pPr>
        <w:pStyle w:val="70"/>
        <w:bidi w:val="0"/>
        <w:ind w:left="1670" w:leftChars="0" w:hanging="1103" w:firstLineChars="0"/>
        <w:rPr>
          <w:rFonts w:hint="default"/>
        </w:rPr>
      </w:pPr>
      <w:r>
        <w:rPr>
          <w:rFonts w:hint="eastAsia"/>
          <w:lang w:val="en-US" w:eastAsia="zh-CN"/>
        </w:rPr>
        <w:t>表单管理：按照院方要求，提供表单的打印，导出等基础文件管理功能。</w:t>
      </w:r>
    </w:p>
    <w:p w14:paraId="0FD65473">
      <w:pPr>
        <w:pStyle w:val="71"/>
        <w:numPr>
          <w:ilvl w:val="1"/>
          <w:numId w:val="0"/>
        </w:numPr>
        <w:bidi w:val="0"/>
        <w:rPr>
          <w:rFonts w:hint="default"/>
        </w:rPr>
      </w:pPr>
    </w:p>
    <w:p w14:paraId="0262F4E8">
      <w:pPr>
        <w:pStyle w:val="72"/>
        <w:numPr>
          <w:ilvl w:val="0"/>
          <w:numId w:val="5"/>
        </w:numPr>
        <w:rPr>
          <w:rFonts w:hint="default"/>
        </w:rPr>
      </w:pPr>
      <w:r>
        <w:rPr>
          <w:rFonts w:hint="eastAsia"/>
          <w:lang w:val="en-US" w:eastAsia="zh-CN"/>
        </w:rPr>
        <w:t>项目其它需求</w:t>
      </w:r>
    </w:p>
    <w:p w14:paraId="1B141B0A">
      <w:pPr>
        <w:pStyle w:val="71"/>
        <w:numPr>
          <w:ilvl w:val="1"/>
          <w:numId w:val="4"/>
        </w:numPr>
        <w:rPr>
          <w:rFonts w:hint="default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Style w:val="75"/>
          <w:rFonts w:hint="eastAsia"/>
          <w:lang w:val="en-US" w:eastAsia="zh-CN"/>
        </w:rPr>
        <w:t>项目承建商</w:t>
      </w:r>
      <w:r>
        <w:rPr>
          <w:rFonts w:hint="eastAsia" w:cs="微软雅黑"/>
          <w:color w:val="000000"/>
          <w:szCs w:val="21"/>
          <w:lang w:val="en-US" w:eastAsia="zh-CN"/>
        </w:rPr>
        <w:t>需要在医院的收费模块的基础上进行建设，不独立新设系统、平台等，可操作化模块在基于收费系统的基础上进行改造设计完成。</w:t>
      </w:r>
    </w:p>
    <w:p w14:paraId="14612416">
      <w:pPr>
        <w:pStyle w:val="71"/>
        <w:numPr>
          <w:ilvl w:val="1"/>
          <w:numId w:val="4"/>
        </w:numPr>
        <w:rPr>
          <w:rFonts w:hint="default"/>
        </w:rPr>
      </w:pPr>
      <w:r>
        <w:rPr>
          <w:rStyle w:val="75"/>
          <w:rFonts w:hint="eastAsia"/>
          <w:lang w:val="en-US" w:eastAsia="zh-CN"/>
        </w:rPr>
        <w:t>项目承建商须配合院方展开对于信息产出的知识产权保护工作，包括但不仅限于通过软件著作权，国家发明专利，数字专利等形式来进行知识产权保护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。</w:t>
      </w:r>
    </w:p>
    <w:p w14:paraId="36F991E7">
      <w:pPr>
        <w:pStyle w:val="71"/>
        <w:numPr>
          <w:ilvl w:val="1"/>
          <w:numId w:val="4"/>
        </w:numPr>
        <w:rPr>
          <w:rFonts w:hint="default"/>
        </w:rPr>
      </w:pPr>
      <w:r>
        <w:rPr>
          <w:rFonts w:hint="eastAsia"/>
          <w:lang w:val="en-US" w:eastAsia="zh-CN"/>
        </w:rPr>
        <w:t>项目承建商</w:t>
      </w:r>
      <w:r>
        <w:t>须</w:t>
      </w:r>
      <w:r>
        <w:rPr>
          <w:rFonts w:hint="eastAsia"/>
          <w:lang w:val="en-US" w:eastAsia="zh-CN"/>
        </w:rPr>
        <w:t>配合院方完成基于本项目的科研成果产出，完成基于本项目的数据标准化工作（相应的成果列表会在合同签订后进行合作规划拟定）。如有必要，项目承建商也需配合院方完成基于项目的相关课题申报和实施。</w:t>
      </w:r>
    </w:p>
    <w:p w14:paraId="23E4AF6C">
      <w:pPr>
        <w:pStyle w:val="72"/>
        <w:numPr>
          <w:ilvl w:val="0"/>
          <w:numId w:val="5"/>
        </w:numPr>
        <w:rPr>
          <w:rFonts w:hint="default"/>
        </w:rPr>
      </w:pPr>
      <w:r>
        <w:t>项目工期</w:t>
      </w:r>
    </w:p>
    <w:p w14:paraId="64E9A576">
      <w:pPr>
        <w:pStyle w:val="71"/>
        <w:numPr>
          <w:ilvl w:val="1"/>
          <w:numId w:val="5"/>
        </w:numPr>
        <w:rPr>
          <w:rFonts w:hint="default"/>
        </w:rPr>
      </w:pPr>
      <w:r>
        <w:t>自合同签订日起，须在</w:t>
      </w:r>
      <w:r>
        <w:rPr>
          <w:rFonts w:hint="eastAsia"/>
          <w:lang w:val="en-US" w:eastAsia="zh-CN"/>
        </w:rPr>
        <w:t>15</w:t>
      </w:r>
      <w:r>
        <w:t>个工作日内对《用户需求说明书》进行补充、确认或提出意见。</w:t>
      </w:r>
    </w:p>
    <w:p w14:paraId="77036D3A">
      <w:pPr>
        <w:pStyle w:val="71"/>
        <w:numPr>
          <w:ilvl w:val="1"/>
          <w:numId w:val="5"/>
        </w:numPr>
        <w:rPr>
          <w:rFonts w:hint="default"/>
        </w:rPr>
      </w:pPr>
      <w: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/>
          <w:lang w:val="en-US" w:eastAsia="zh-CN"/>
        </w:rPr>
        <w:t>15</w:t>
      </w:r>
      <w:r>
        <w:t>个工作日内确认《需求规格说明书》。</w:t>
      </w:r>
    </w:p>
    <w:p w14:paraId="3D04790F">
      <w:pPr>
        <w:pStyle w:val="71"/>
        <w:numPr>
          <w:ilvl w:val="1"/>
          <w:numId w:val="5"/>
        </w:numPr>
        <w:rPr>
          <w:rFonts w:hint="default"/>
        </w:rPr>
      </w:pPr>
      <w:r>
        <w:t>须在《需求规格说明书》确认后的</w:t>
      </w:r>
      <w:r>
        <w:rPr>
          <w:rFonts w:hint="eastAsia"/>
          <w:lang w:val="en-US" w:eastAsia="zh-CN"/>
        </w:rPr>
        <w:t>4</w:t>
      </w:r>
      <w:r>
        <w:t>个月内完成实施导入和保证系统正常工作。</w:t>
      </w:r>
    </w:p>
    <w:p w14:paraId="7D9CE74D">
      <w:pPr>
        <w:pStyle w:val="71"/>
        <w:numPr>
          <w:ilvl w:val="1"/>
          <w:numId w:val="5"/>
        </w:numPr>
        <w:rPr>
          <w:rFonts w:hint="default"/>
        </w:rPr>
      </w:pPr>
      <w:r>
        <w:t>完成软件实施，并根据院方提出的新需求完成修改后，系统运行6个月以上无软件故障出现，则向院方申请验收。</w:t>
      </w:r>
    </w:p>
    <w:p w14:paraId="2766D75A">
      <w:pPr>
        <w:pStyle w:val="71"/>
        <w:numPr>
          <w:ilvl w:val="1"/>
          <w:numId w:val="5"/>
        </w:numPr>
        <w:rPr>
          <w:rFonts w:hint="default"/>
        </w:rPr>
      </w:pPr>
      <w:r>
        <w:t>软件验收完成后，供应商应提供24个月软件维护服务，维护服务的内容应包括但不仅限于软件的常规更新维护，按照模板帮助新增系统流程，进行软件的外观调整等。</w:t>
      </w:r>
    </w:p>
    <w:p w14:paraId="34A547E1">
      <w:pPr>
        <w:rPr>
          <w:rFonts w:ascii="微软雅黑" w:hAnsi="微软雅黑" w:eastAsia="微软雅黑" w:cs="微软雅黑"/>
          <w:lang w:val="zh-CN"/>
        </w:rPr>
      </w:pPr>
    </w:p>
    <w:p w14:paraId="08A14031">
      <w:pPr>
        <w:pStyle w:val="72"/>
        <w:numPr>
          <w:ilvl w:val="0"/>
          <w:numId w:val="5"/>
        </w:numPr>
        <w:rPr>
          <w:rFonts w:hint="default"/>
        </w:rPr>
      </w:pPr>
      <w:r>
        <w:t>集成技术及实施服务要求</w:t>
      </w:r>
    </w:p>
    <w:p w14:paraId="0E630910">
      <w:pPr>
        <w:pStyle w:val="71"/>
        <w:numPr>
          <w:ilvl w:val="1"/>
          <w:numId w:val="6"/>
        </w:numPr>
        <w:rPr>
          <w:rFonts w:hint="default"/>
        </w:rPr>
      </w:pPr>
      <w:r>
        <w:t>项目实施期内承建商提供专职工程师</w:t>
      </w:r>
      <w:r>
        <w:rPr>
          <w:rFonts w:hint="eastAsia"/>
          <w:lang w:val="en-US" w:eastAsia="zh-CN"/>
        </w:rPr>
        <w:t>1</w:t>
      </w:r>
      <w:r>
        <w:t>名驻扎本院，工作时间与院方工作时间一致，并且提供7*24小时响应服务。</w:t>
      </w:r>
    </w:p>
    <w:p w14:paraId="06B70796">
      <w:pPr>
        <w:pStyle w:val="71"/>
        <w:numPr>
          <w:ilvl w:val="1"/>
          <w:numId w:val="6"/>
        </w:numPr>
        <w:rPr>
          <w:rFonts w:hint="default"/>
        </w:rPr>
      </w:pPr>
      <w: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03618D8B">
      <w:pPr>
        <w:pStyle w:val="71"/>
        <w:numPr>
          <w:ilvl w:val="1"/>
          <w:numId w:val="6"/>
        </w:numPr>
        <w:rPr>
          <w:rFonts w:hint="default"/>
        </w:rPr>
      </w:pPr>
      <w: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33F5939F">
      <w:pPr>
        <w:pStyle w:val="71"/>
        <w:numPr>
          <w:ilvl w:val="1"/>
          <w:numId w:val="6"/>
        </w:numPr>
        <w:rPr>
          <w:rFonts w:hint="default"/>
        </w:rPr>
      </w:pPr>
      <w:r>
        <w:t>项目承建商需根据院方的详细需求，提交项目系统的安装、调试及培训实施方案，方案得到院方确认后实施，保证系统按时、正常地投入运行。</w:t>
      </w:r>
    </w:p>
    <w:p w14:paraId="45227E88">
      <w:pPr>
        <w:pStyle w:val="71"/>
        <w:numPr>
          <w:ilvl w:val="1"/>
          <w:numId w:val="4"/>
        </w:numPr>
        <w:bidi w:val="0"/>
        <w:rPr>
          <w:rFonts w:hint="default"/>
        </w:rPr>
      </w:pPr>
      <w: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112A6D3E">
      <w:pPr>
        <w:pStyle w:val="71"/>
        <w:numPr>
          <w:ilvl w:val="1"/>
          <w:numId w:val="6"/>
        </w:numPr>
        <w:rPr>
          <w:rFonts w:hint="default"/>
        </w:rPr>
      </w:pPr>
      <w:r>
        <w:t>验收由承建商给出具体的验收计划、测试的内容和方法，经院方审核通过后，方可进行验收测试。</w:t>
      </w:r>
    </w:p>
    <w:p w14:paraId="6163E853">
      <w:pPr>
        <w:snapToGrid w:val="0"/>
        <w:spacing w:line="360" w:lineRule="auto"/>
        <w:rPr>
          <w:rFonts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CB30">
    <w:pPr>
      <w:pStyle w:val="18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99792A5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3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6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2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1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6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5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5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20BB29D"/>
    <w:multiLevelType w:val="multilevel"/>
    <w:tmpl w:val="520BB29D"/>
    <w:lvl w:ilvl="0" w:tentative="0">
      <w:start w:val="1"/>
      <w:numFmt w:val="chineseCounting"/>
      <w:pStyle w:val="72"/>
      <w:lvlText w:val="%1、"/>
      <w:lvlJc w:val="left"/>
      <w:pPr>
        <w:ind w:left="1130" w:hanging="1130"/>
      </w:pPr>
      <w:rPr>
        <w:rFonts w:hint="eastAsia"/>
      </w:rPr>
    </w:lvl>
    <w:lvl w:ilvl="1" w:tentative="0">
      <w:start w:val="1"/>
      <w:numFmt w:val="decimalFullWidth"/>
      <w:pStyle w:val="71"/>
      <w:lvlText w:val="%2)"/>
      <w:lvlJc w:val="left"/>
      <w:pPr>
        <w:ind w:left="1250" w:hanging="967"/>
      </w:pPr>
      <w:rPr>
        <w:rFonts w:hint="eastAsia" w:ascii="微软雅黑" w:hAnsi="微软雅黑" w:eastAsia="微软雅黑" w:cs="微软雅黑"/>
      </w:rPr>
    </w:lvl>
    <w:lvl w:ilvl="2" w:tentative="0">
      <w:start w:val="1"/>
      <w:numFmt w:val="lowerRoman"/>
      <w:pStyle w:val="70"/>
      <w:lvlText w:val="%3."/>
      <w:lvlJc w:val="right"/>
      <w:pPr>
        <w:ind w:left="1670" w:hanging="110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9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1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3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5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7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9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ODkyMGI1MjJlZTVjNjk3YjY2Y2JiMjgwZTI2NjA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77858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061AC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CCE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579A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610FB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23D3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21214"/>
    <w:rsid w:val="00E255DF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38D3451"/>
    <w:rsid w:val="03EC461B"/>
    <w:rsid w:val="06C7367B"/>
    <w:rsid w:val="0A4664AE"/>
    <w:rsid w:val="0DFA7935"/>
    <w:rsid w:val="1A1678A4"/>
    <w:rsid w:val="1B8C4248"/>
    <w:rsid w:val="21CF43D4"/>
    <w:rsid w:val="23E96D0C"/>
    <w:rsid w:val="318D2E01"/>
    <w:rsid w:val="324B4DD1"/>
    <w:rsid w:val="42200080"/>
    <w:rsid w:val="44661A09"/>
    <w:rsid w:val="475B47F1"/>
    <w:rsid w:val="488C513A"/>
    <w:rsid w:val="48CA33FC"/>
    <w:rsid w:val="50226E86"/>
    <w:rsid w:val="51026F09"/>
    <w:rsid w:val="555479E9"/>
    <w:rsid w:val="5A10717D"/>
    <w:rsid w:val="5B410F66"/>
    <w:rsid w:val="5E276C23"/>
    <w:rsid w:val="5EBC76FA"/>
    <w:rsid w:val="624C7F79"/>
    <w:rsid w:val="639962F3"/>
    <w:rsid w:val="642936E5"/>
    <w:rsid w:val="655D23CE"/>
    <w:rsid w:val="6921611D"/>
    <w:rsid w:val="7EE06CB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3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3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5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6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8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12">
    <w:name w:val="Normal Indent"/>
    <w:basedOn w:val="1"/>
    <w:link w:val="39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4">
    <w:name w:val="annotation text"/>
    <w:basedOn w:val="1"/>
    <w:link w:val="40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4"/>
    </w:rPr>
  </w:style>
  <w:style w:type="paragraph" w:styleId="16">
    <w:name w:val="Plain Text"/>
    <w:basedOn w:val="1"/>
    <w:link w:val="41"/>
    <w:autoRedefine/>
    <w:qFormat/>
    <w:uiPriority w:val="0"/>
    <w:rPr>
      <w:rFonts w:ascii="Calibri" w:hAnsi="Courier New"/>
      <w:szCs w:val="20"/>
      <w:lang w:val="zh-CN"/>
    </w:rPr>
  </w:style>
  <w:style w:type="paragraph" w:styleId="17">
    <w:name w:val="Balloon Text"/>
    <w:basedOn w:val="1"/>
    <w:link w:val="42"/>
    <w:autoRedefine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9">
    <w:name w:val="header"/>
    <w:basedOn w:val="1"/>
    <w:link w:val="4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0">
    <w:name w:val="Subtitle"/>
    <w:basedOn w:val="1"/>
    <w:next w:val="1"/>
    <w:link w:val="69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annotation subject"/>
    <w:basedOn w:val="14"/>
    <w:next w:val="14"/>
    <w:link w:val="73"/>
    <w:autoRedefine/>
    <w:qFormat/>
    <w:uiPriority w:val="0"/>
    <w:rPr>
      <w:b/>
      <w:bCs/>
      <w:kern w:val="2"/>
      <w:sz w:val="21"/>
      <w:lang w:val="en-US"/>
    </w:rPr>
  </w:style>
  <w:style w:type="paragraph" w:styleId="23">
    <w:name w:val="Body Text First Indent 2"/>
    <w:basedOn w:val="15"/>
    <w:autoRedefine/>
    <w:unhideWhenUsed/>
    <w:qFormat/>
    <w:uiPriority w:val="0"/>
    <w:pPr>
      <w:spacing w:after="0"/>
      <w:ind w:firstLine="200" w:firstLineChars="200"/>
    </w:pPr>
  </w:style>
  <w:style w:type="table" w:styleId="25">
    <w:name w:val="Table Grid"/>
    <w:basedOn w:val="2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autoRedefine/>
    <w:qFormat/>
    <w:uiPriority w:val="0"/>
    <w:rPr>
      <w:color w:val="0563C1"/>
      <w:u w:val="single"/>
    </w:rPr>
  </w:style>
  <w:style w:type="character" w:styleId="29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0">
    <w:name w:val="标题 1 Char"/>
    <w:link w:val="3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1">
    <w:name w:val="标题 2 Char"/>
    <w:link w:val="4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Char"/>
    <w:link w:val="5"/>
    <w:autoRedefine/>
    <w:qFormat/>
    <w:uiPriority w:val="0"/>
    <w:rPr>
      <w:b/>
      <w:bCs/>
      <w:kern w:val="2"/>
      <w:sz w:val="30"/>
      <w:szCs w:val="30"/>
    </w:rPr>
  </w:style>
  <w:style w:type="character" w:customStyle="1" w:styleId="33">
    <w:name w:val="标题 4 Char"/>
    <w:link w:val="6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4">
    <w:name w:val="标题 5 Char"/>
    <w:link w:val="7"/>
    <w:autoRedefine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Char"/>
    <w:link w:val="8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6">
    <w:name w:val="标题 7 Char"/>
    <w:link w:val="9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Char"/>
    <w:link w:val="10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8">
    <w:name w:val="标题 9 Char"/>
    <w:link w:val="11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9">
    <w:name w:val="正文缩进 Char"/>
    <w:link w:val="12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0">
    <w:name w:val="批注文字 Char"/>
    <w:link w:val="14"/>
    <w:autoRedefine/>
    <w:qFormat/>
    <w:uiPriority w:val="0"/>
    <w:rPr>
      <w:szCs w:val="24"/>
    </w:rPr>
  </w:style>
  <w:style w:type="character" w:customStyle="1" w:styleId="41">
    <w:name w:val="纯文本 Char"/>
    <w:link w:val="16"/>
    <w:autoRedefine/>
    <w:qFormat/>
    <w:uiPriority w:val="0"/>
    <w:rPr>
      <w:rFonts w:ascii="Calibri" w:hAnsi="Courier New"/>
      <w:kern w:val="2"/>
      <w:sz w:val="21"/>
    </w:rPr>
  </w:style>
  <w:style w:type="character" w:customStyle="1" w:styleId="42">
    <w:name w:val="批注框文本 Char"/>
    <w:link w:val="17"/>
    <w:autoRedefine/>
    <w:qFormat/>
    <w:uiPriority w:val="0"/>
    <w:rPr>
      <w:kern w:val="2"/>
      <w:sz w:val="18"/>
      <w:szCs w:val="18"/>
    </w:rPr>
  </w:style>
  <w:style w:type="character" w:customStyle="1" w:styleId="43">
    <w:name w:val="页脚 Char"/>
    <w:link w:val="18"/>
    <w:autoRedefine/>
    <w:qFormat/>
    <w:uiPriority w:val="0"/>
    <w:rPr>
      <w:kern w:val="2"/>
      <w:sz w:val="18"/>
      <w:szCs w:val="18"/>
    </w:rPr>
  </w:style>
  <w:style w:type="character" w:customStyle="1" w:styleId="44">
    <w:name w:val="页眉 Char"/>
    <w:link w:val="19"/>
    <w:autoRedefine/>
    <w:qFormat/>
    <w:uiPriority w:val="0"/>
    <w:rPr>
      <w:kern w:val="2"/>
      <w:sz w:val="18"/>
      <w:szCs w:val="18"/>
    </w:rPr>
  </w:style>
  <w:style w:type="character" w:customStyle="1" w:styleId="45">
    <w:name w:val="已访问的超链接1"/>
    <w:autoRedefine/>
    <w:qFormat/>
    <w:uiPriority w:val="0"/>
    <w:rPr>
      <w:color w:val="800080"/>
      <w:u w:val="single"/>
    </w:rPr>
  </w:style>
  <w:style w:type="character" w:customStyle="1" w:styleId="46">
    <w:name w:val="正文（首行缩进2字符） Char"/>
    <w:link w:val="47"/>
    <w:autoRedefine/>
    <w:qFormat/>
    <w:uiPriority w:val="0"/>
    <w:rPr>
      <w:kern w:val="2"/>
      <w:sz w:val="24"/>
      <w:szCs w:val="24"/>
    </w:rPr>
  </w:style>
  <w:style w:type="paragraph" w:customStyle="1" w:styleId="47">
    <w:name w:val="正文（首行缩进2字符）"/>
    <w:basedOn w:val="1"/>
    <w:link w:val="46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8">
    <w:name w:val="段落 Char1"/>
    <w:link w:val="49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9">
    <w:name w:val="段落"/>
    <w:link w:val="48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0">
    <w:name w:val="正文（安华金和） Char"/>
    <w:link w:val="51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1">
    <w:name w:val="正文（安华金和）"/>
    <w:link w:val="50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2">
    <w:name w:val="页脚 字符"/>
    <w:autoRedefine/>
    <w:qFormat/>
    <w:uiPriority w:val="99"/>
  </w:style>
  <w:style w:type="character" w:customStyle="1" w:styleId="53">
    <w:name w:val="列出段落 Char"/>
    <w:link w:val="54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4">
    <w:name w:val="List Paragraph"/>
    <w:basedOn w:val="1"/>
    <w:link w:val="53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5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6">
    <w:name w:val="标题 2（DBSec）"/>
    <w:basedOn w:val="4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8">
    <w:name w:val="_Style 27"/>
    <w:basedOn w:val="1"/>
    <w:next w:val="54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1">
    <w:name w:val="标题 4（DBSec）"/>
    <w:basedOn w:val="6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3（DBSec）"/>
    <w:basedOn w:val="5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1（DBSec）"/>
    <w:basedOn w:val="3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4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5">
    <w:name w:val="表格标注（安华金和）"/>
    <w:basedOn w:val="55"/>
    <w:next w:val="1"/>
    <w:autoRedefine/>
    <w:qFormat/>
    <w:uiPriority w:val="0"/>
    <w:pPr>
      <w:numPr>
        <w:ilvl w:val="7"/>
      </w:numPr>
    </w:pPr>
  </w:style>
  <w:style w:type="paragraph" w:customStyle="1" w:styleId="66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7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8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9">
    <w:name w:val="副标题 Char"/>
    <w:link w:val="20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70">
    <w:name w:val="条目3"/>
    <w:basedOn w:val="1"/>
    <w:link w:val="74"/>
    <w:autoRedefine/>
    <w:qFormat/>
    <w:uiPriority w:val="0"/>
    <w:pPr>
      <w:numPr>
        <w:ilvl w:val="2"/>
        <w:numId w:val="3"/>
      </w:numPr>
      <w:ind w:left="1134" w:hanging="567"/>
    </w:pPr>
    <w:rPr>
      <w:rFonts w:hint="eastAsia" w:ascii="微软雅黑" w:hAnsi="微软雅黑" w:eastAsia="微软雅黑" w:cs="微软雅黑"/>
      <w:sz w:val="18"/>
      <w:szCs w:val="18"/>
    </w:rPr>
  </w:style>
  <w:style w:type="paragraph" w:customStyle="1" w:styleId="71">
    <w:name w:val="条目2"/>
    <w:basedOn w:val="1"/>
    <w:link w:val="75"/>
    <w:autoRedefine/>
    <w:qFormat/>
    <w:uiPriority w:val="0"/>
    <w:pPr>
      <w:numPr>
        <w:ilvl w:val="1"/>
        <w:numId w:val="3"/>
      </w:numPr>
    </w:pPr>
    <w:rPr>
      <w:rFonts w:hint="eastAsia" w:ascii="微软雅黑" w:hAnsi="微软雅黑" w:eastAsia="微软雅黑" w:cs="微软雅黑"/>
    </w:rPr>
  </w:style>
  <w:style w:type="paragraph" w:customStyle="1" w:styleId="72">
    <w:name w:val="条目1"/>
    <w:basedOn w:val="1"/>
    <w:next w:val="1"/>
    <w:autoRedefine/>
    <w:qFormat/>
    <w:uiPriority w:val="0"/>
    <w:pPr>
      <w:keepNext/>
      <w:keepLines/>
      <w:numPr>
        <w:ilvl w:val="0"/>
        <w:numId w:val="3"/>
      </w:numPr>
      <w:spacing w:line="578" w:lineRule="auto"/>
      <w:outlineLvl w:val="0"/>
    </w:pPr>
    <w:rPr>
      <w:rFonts w:hint="eastAsia" w:ascii="微软雅黑" w:hAnsi="微软雅黑" w:eastAsia="微软雅黑" w:cs="微软雅黑"/>
      <w:b/>
      <w:bCs/>
      <w:kern w:val="44"/>
      <w:sz w:val="32"/>
      <w:szCs w:val="32"/>
      <w:lang w:val="zh-CN"/>
    </w:rPr>
  </w:style>
  <w:style w:type="character" w:customStyle="1" w:styleId="73">
    <w:name w:val="批注主题 Char"/>
    <w:basedOn w:val="40"/>
    <w:link w:val="22"/>
    <w:autoRedefine/>
    <w:qFormat/>
    <w:uiPriority w:val="0"/>
    <w:rPr>
      <w:b/>
      <w:bCs/>
      <w:kern w:val="2"/>
      <w:sz w:val="21"/>
      <w:szCs w:val="24"/>
    </w:rPr>
  </w:style>
  <w:style w:type="character" w:customStyle="1" w:styleId="74">
    <w:name w:val="条目3 Char"/>
    <w:link w:val="70"/>
    <w:qFormat/>
    <w:uiPriority w:val="0"/>
    <w:rPr>
      <w:rFonts w:hint="eastAsia" w:ascii="微软雅黑" w:hAnsi="微软雅黑" w:eastAsia="微软雅黑" w:cs="微软雅黑"/>
      <w:sz w:val="18"/>
      <w:szCs w:val="18"/>
    </w:rPr>
  </w:style>
  <w:style w:type="character" w:customStyle="1" w:styleId="75">
    <w:name w:val="条目2 Char"/>
    <w:link w:val="71"/>
    <w:qFormat/>
    <w:uiPriority w:val="0"/>
    <w:rPr>
      <w:rFonts w:hint="eastAsia"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2094</Words>
  <Characters>2108</Characters>
  <Lines>30</Lines>
  <Paragraphs>8</Paragraphs>
  <TotalTime>123</TotalTime>
  <ScaleCrop>false</ScaleCrop>
  <LinksUpToDate>false</LinksUpToDate>
  <CharactersWithSpaces>2110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微信用户</cp:lastModifiedBy>
  <cp:lastPrinted>2024-02-28T07:39:00Z</cp:lastPrinted>
  <dcterms:modified xsi:type="dcterms:W3CDTF">2025-01-02T03:45:15Z</dcterms:modified>
  <dc:title>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DFEA4F70D65046068264F963E7381DDF_13</vt:lpwstr>
  </property>
</Properties>
</file>